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47" w:lineRule="exact"/>
        <w:rPr>
          <w:sz w:val="24"/>
          <w:szCs w:val="24"/>
          <w:color w:val="auto"/>
        </w:rPr>
      </w:pPr>
    </w:p>
    <w:p>
      <w:pPr>
        <w:ind w:right="1920" w:firstLine="8"/>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right="1900" w:firstLine="8"/>
        <w:spacing w:after="0" w:line="498"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 to 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001-12830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Lineage Cell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3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94-3127919</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2173 Salk Avenue, Suite 200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Carlsbad, California 92008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40"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(442) 287-8990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4"/>
        </w:trPr>
        <w:tc>
          <w:tcPr>
            <w:tcW w:w="3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Pr>
          <w:p>
            <w:pPr>
              <w:spacing w:after="0"/>
              <w:rPr>
                <w:sz w:val="20"/>
                <w:szCs w:val="20"/>
                <w:color w:val="auto"/>
              </w:rPr>
            </w:pPr>
          </w:p>
        </w:tc>
        <w:tc>
          <w:tcPr>
            <w:tcW w:w="3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LCTX</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type w:val="continuous"/>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5" w:lineRule="exact"/>
        <w:rPr>
          <w:sz w:val="24"/>
          <w:szCs w:val="24"/>
          <w:color w:val="auto"/>
        </w:rPr>
      </w:pPr>
    </w:p>
    <w:p>
      <w:pPr>
        <w:sectPr>
          <w:pgSz w:w="11900" w:h="16838" w:orient="portrait"/>
          <w:cols w:equalWidth="0" w:num="2">
            <w:col w:w="4900" w:space="720"/>
            <w:col w:w="5620"/>
          </w:cols>
          <w:pgMar w:left="320" w:top="740" w:right="339" w:bottom="1440"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common shares outstanding as of November 3, 2020 was 149,991,454.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9"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This Report on Form 10-Q (this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Report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7"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success, cost and timing of our clinical trials and product development activities;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potential of our product candidates, and the disease indications for which we intend to develop our product candidates;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timing to advance our product candidates into, and to successfully initiate, conduct, enroll and complete, clinical trials;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for clinical development and, if approved, for commercialization, and the timing and costs of such manufacture;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 parties in connection with the development and manufacture of our product candidates, including third parties conducting our clinical trials as well as third-party suppliers and manufacturers;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cell therapy platform, and our plans to apply our platform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initiate and complete clinical trials of our product candidates;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rights;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licensors, to obtain, maintain, defend and enforce intellectual property rights protecting our product candidates, and our ability to develop and commercialize our product candidates without infringing the proprietary rights of third parties;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on our operations; and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under Part II, Item 1A, “Risk Factors” of this Report and Part I, Item 1A, “Risk Factors” in our most recent Annual Report on Form 10-K filed with the U.S. Securities and Exchange Commission (the “Commission”) on March 12, 2020.</w:t>
      </w:r>
    </w:p>
    <w:p>
      <w:pPr>
        <w:spacing w:after="0" w:line="162" w:lineRule="exact"/>
        <w:rPr>
          <w:sz w:val="20"/>
          <w:szCs w:val="20"/>
          <w:color w:val="auto"/>
        </w:rPr>
      </w:pPr>
    </w:p>
    <w:p>
      <w:pPr>
        <w:jc w:val="both"/>
        <w:ind w:firstLine="515"/>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of this Report and Part I, Item 1A, “Risk Factors” in our most recent Annual Report on Form 10-K filed with the Commission on March 12, 2020.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On August 9, 2019, BioTime, Inc. changed its corporate name to Lineage Cell Therapeutics, Inc. Unless the context requires otherwise, references in this Report to “Lineage,” “we,” “us,” and “our” refer to Lineage Cell Therapeutics, Inc.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5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18"/>
                <w:szCs w:val="18"/>
                <w:color w:val="auto"/>
              </w:rPr>
            </w:pPr>
          </w:p>
        </w:tc>
      </w:tr>
      <w:tr>
        <w:trPr>
          <w:trHeight w:val="245"/>
        </w:trPr>
        <w:tc>
          <w:tcPr>
            <w:tcW w:w="56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(Notes 2 and 3)</w:t>
            </w:r>
          </w:p>
        </w:tc>
      </w:tr>
      <w:tr>
        <w:trPr>
          <w:trHeight w:val="216"/>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32,565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9,497</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21,219</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 from Juvenescence (Note 5)</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23,616</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and grants receivable, net</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from affiliates, net</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3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w:t>
            </w:r>
          </w:p>
        </w:tc>
      </w:tr>
      <w:tr>
        <w:trPr>
          <w:trHeight w:val="216"/>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 (Notes 6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Deposits and other long-term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4,849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10,672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47,167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48,248</w:t>
            </w:r>
          </w:p>
        </w:tc>
      </w:tr>
      <w:tr>
        <w:trPr>
          <w:trHeight w:val="230"/>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125,478</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160" w:space="720"/>
            <w:col w:w="336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62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7,214</w:t>
            </w:r>
          </w:p>
        </w:tc>
        <w:tc>
          <w:tcPr>
            <w:tcW w:w="4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5,226</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and right of use lease liabilities, current portion (Note 15)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r>
      <w:tr>
        <w:trPr>
          <w:trHeight w:val="24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classified warrants, current portion</w:t>
            </w: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77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7,751</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6,494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3,137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revenues, net of current portion</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lease liability, net of current portion (Note 15)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3,868</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net of current portion</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r>
      <w:tr>
        <w:trPr>
          <w:trHeight w:val="25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classified warrants, net of current portion</w:t>
            </w: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03"/>
        </w:trPr>
        <w:tc>
          <w:tcPr>
            <w:tcW w:w="77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12,906</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14,231</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shares, no par value, authorized 2,000 shares; none issued and outstanding as of September</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2020 and December 31, 2019</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7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no par value, 250,000 shares authorized; 149,991 shares issued and outstanding as of</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2020 and 149,804 shares issued and outstanding as of December 31, 2019</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388,190</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387,062</w:t>
            </w:r>
          </w:p>
        </w:tc>
        <w:tc>
          <w:tcPr>
            <w:tcW w:w="80" w:type="dxa"/>
            <w:vAlign w:val="bottom"/>
          </w:tcPr>
          <w:p>
            <w:pPr>
              <w:spacing w:after="0"/>
              <w:rPr>
                <w:sz w:val="20"/>
                <w:szCs w:val="20"/>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(681)</w:t>
            </w:r>
          </w:p>
        </w:tc>
      </w:tr>
      <w:tr>
        <w:trPr>
          <w:trHeight w:val="23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(296,103)</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(273,422)</w:t>
            </w:r>
          </w:p>
        </w:tc>
      </w:tr>
      <w:tr>
        <w:trPr>
          <w:trHeight w:val="216"/>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Lineage Cell Therapeutics, Inc. shareholders’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deficit (Note 2)</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(1,712)</w:t>
            </w:r>
          </w:p>
        </w:tc>
      </w:tr>
      <w:tr>
        <w:trPr>
          <w:trHeight w:val="236"/>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111,247</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103,090</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125,478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620" w:type="dxa"/>
            <w:vAlign w:val="bottom"/>
            <w:gridSpan w:val="7"/>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864</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from product sales and license fees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7"/>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research products and services</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453</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3,566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4,266</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14,462</w:t>
            </w:r>
          </w:p>
        </w:tc>
        <w:tc>
          <w:tcPr>
            <w:tcW w:w="0" w:type="dxa"/>
            <w:vAlign w:val="bottom"/>
          </w:tcPr>
          <w:p>
            <w:pPr>
              <w:spacing w:after="0"/>
              <w:rPr>
                <w:sz w:val="1"/>
                <w:szCs w:val="1"/>
                <w:color w:val="auto"/>
              </w:rPr>
            </w:pPr>
          </w:p>
        </w:tc>
      </w:tr>
      <w:tr>
        <w:trPr>
          <w:trHeight w:val="24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3,628</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4,609</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12,055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19,527</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7,194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8,875</w:t>
            </w:r>
          </w:p>
        </w:tc>
        <w:tc>
          <w:tcPr>
            <w:tcW w:w="3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21,765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33,989</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(20,565</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INCOME/(EXPENSES):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2,055</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Gain on sale of equity method in OncoCyte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Corporation (“OncoCyte”)</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equity securities</w:t>
            </w:r>
          </w:p>
        </w:tc>
        <w:tc>
          <w:tcPr>
            <w:tcW w:w="26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(4,458)</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(3,134)</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Unrealized (loss)/gain on equity method investment in OncoCyte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 fair value</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(8,287)</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Unrealized gain on equity method investment in Asterias at fair</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warrant liability</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(7,950)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(17,506)</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(22,908)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(13,894)</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(7,772)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(16,515)</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(22,730)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(7,271)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ATTRIBUTABLE TO LINEAGE CELL</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THERAPEUTICS, INC.</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(7,760)</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(16,505)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(22,681)</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(7,227)</w:t>
            </w:r>
          </w:p>
        </w:tc>
        <w:tc>
          <w:tcPr>
            <w:tcW w:w="0" w:type="dxa"/>
            <w:vAlign w:val="bottom"/>
          </w:tcPr>
          <w:p>
            <w:pPr>
              <w:spacing w:after="0"/>
              <w:rPr>
                <w:sz w:val="1"/>
                <w:szCs w:val="1"/>
                <w:color w:val="auto"/>
              </w:rPr>
            </w:pP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(0.05)</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(0.15)</w:t>
            </w: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149,973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149,659</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149,868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149,973</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149,659</w:t>
            </w:r>
          </w:p>
        </w:tc>
        <w:tc>
          <w:tcPr>
            <w:tcW w:w="3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149,868</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144,097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620" w:type="dxa"/>
            <w:vAlign w:val="bottom"/>
            <w:gridSpan w:val="7"/>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100" w:type="dxa"/>
            <w:vAlign w:val="bottom"/>
            <w:gridSpan w:val="2"/>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(1,783)</w:t>
            </w:r>
          </w:p>
        </w:tc>
      </w:tr>
      <w:tr>
        <w:trPr>
          <w:trHeight w:val="203"/>
        </w:trPr>
        <w:tc>
          <w:tcPr>
            <w:tcW w:w="5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(8,107)</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(17,079)</w:t>
            </w: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(22,870)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(9,054)</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1"/>
                <w:szCs w:val="21"/>
                <w:color w:val="auto"/>
              </w:rPr>
            </w:pPr>
          </w:p>
        </w:tc>
      </w:tr>
      <w:tr>
        <w:trPr>
          <w:trHeight w:val="167"/>
        </w:trPr>
        <w:tc>
          <w:tcPr>
            <w:tcW w:w="52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COMPREHENSIVE LOSS ATTRIBUTABLE TO LINEAGE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65"/>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CELL THERAPEUTICS, INC. COMMON SHAREHOLDERS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(8,095)</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(17,069)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(22,821)</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(9,010)</w:t>
            </w: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LINEAGE CELL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Lineage Cell Therapeutics, Inc.</w:t>
            </w:r>
          </w:p>
        </w:tc>
        <w:tc>
          <w:tcPr>
            <w:tcW w:w="1160" w:type="dxa"/>
            <w:vAlign w:val="bottom"/>
            <w:gridSpan w:val="2"/>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7"/>
              </w:rPr>
              <w:t>(22,681)</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(7,227)</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allocable to noncontrolling interest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198"/>
        </w:trPr>
        <w:tc>
          <w:tcPr>
            <w:tcW w:w="7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attributable to Lineage Cell Therapeutics, Inc. to net cash used in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equity method investment in OncoCyte at fair value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(8,001)</w:t>
            </w: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equity method investment in Asterias at fair value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(6,744)</w:t>
            </w: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(2,601)</w:t>
            </w: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marketable equity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7,487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(6,623)</w:t>
            </w: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 including amortization of leasehold improvements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1,733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for services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write-off and sales of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gain on warrant liability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 of security deposit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license fee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remeasurement and other gain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(1,911)</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and grants receivable,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(1,134)</w:t>
            </w: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from OncoCyte and AgeX, net of payables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1,634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1,342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(2,788)</w:t>
            </w:r>
          </w:p>
        </w:tc>
      </w:tr>
      <w:tr>
        <w:trPr>
          <w:trHeight w:val="237"/>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other 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0"/>
                <w:szCs w:val="20"/>
                <w:color w:val="auto"/>
              </w:rPr>
            </w:pPr>
          </w:p>
        </w:tc>
      </w:tr>
      <w:tr>
        <w:trPr>
          <w:trHeight w:val="223"/>
        </w:trPr>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(14,112</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OncoCyte common shares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10,941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AgeX common shares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Hadasit common shares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acquired in the Asterias Merger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equipment and other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deposits and other</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payment of Juvenescence promissory note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24,624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received and retired for employee taxes paid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from landlord on tenant improvements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common shares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offering costs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financing lease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Paycheck Protection Program (“PPP”) Loan (Note 8)</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subsidiary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principal portion of promissory notes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36"/>
        </w:trPr>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25,051</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6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340" w:type="dxa"/>
            <w:vAlign w:val="bottom"/>
            <w:tcBorders>
              <w:bottom w:val="single" w:sz="8" w:color="CCEEFF"/>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gridSpan w:val="2"/>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beginning of the period</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10,096</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24,399</w:t>
            </w:r>
          </w:p>
        </w:tc>
        <w:tc>
          <w:tcPr>
            <w:tcW w:w="80" w:type="dxa"/>
            <w:vAlign w:val="bottom"/>
            <w:shd w:val="clear" w:color="auto" w:fill="CCEEFF"/>
          </w:tcPr>
          <w:p>
            <w:pPr>
              <w:spacing w:after="0"/>
              <w:rPr>
                <w:sz w:val="21"/>
                <w:szCs w:val="21"/>
                <w:color w:val="auto"/>
              </w:rPr>
            </w:pPr>
          </w:p>
        </w:tc>
      </w:tr>
      <w:tr>
        <w:trPr>
          <w:trHeight w:val="216"/>
        </w:trPr>
        <w:tc>
          <w:tcPr>
            <w:tcW w:w="76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At end of the period</w:t>
            </w: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33,135</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758"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LINEAGE CELL THERAPEUTICS, INC. AND SUBSIDIARIES NOTES TO THE CONDENSED CONSOLIDATED INTERIM FINANCIAL STATEMENTS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 Overview</w:t>
      </w:r>
    </w:p>
    <w:p>
      <w:pPr>
        <w:spacing w:after="0" w:line="22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Lineage is a clinical-stage biotechnology company developing novel cell therapies for unmet medical needs. Lineage’s focus is to develop therapies for degenerative retinal diseases, neurological conditions associated with demyelination, and aiding the body in detecting and combating cancer. Specifically, Lineage is testing therapies to treat dry age-related macular degeneration, spinal cord injuries, and non-small cell lung cancer. Lineage’s programs are based on its proprietary cell-based therapy platform and associated development and manufacturing capabilities. From this platform Lineage develops and manufactures specialized, terminally differentiated human cells from its pluripotent and progenitor cell starting materials. These differentiated cells are transplanted into a patient either to replace or support cells that are dysfunctional or absent due to degenerative disease or traumatic injury, or administered as a means of helping the body mount an effective immune response to cancer.</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Lineage has three allogeneic, or “off-the-shelf,” cell therapy programs in clinical development:</w:t>
      </w:r>
    </w:p>
    <w:p>
      <w:pPr>
        <w:spacing w:after="0" w:line="229" w:lineRule="exact"/>
        <w:rPr>
          <w:sz w:val="20"/>
          <w:szCs w:val="20"/>
          <w:color w:val="auto"/>
        </w:rPr>
      </w:pPr>
    </w:p>
    <w:p>
      <w:pPr>
        <w:jc w:val="both"/>
        <w:ind w:left="1300" w:hanging="320"/>
        <w:spacing w:after="0" w:line="213" w:lineRule="auto"/>
        <w:tabs>
          <w:tab w:leader="none" w:pos="130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OpRegen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 retinal pigment epithelium cell replacement therapy currently in a Phase 1/2a multicenter clinical trial for the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dry age-related macular degeneration (“AMD”) with geographic atrophy. There currently are no therapies approved by the U.S. Food and Drug Administration (“FDA”) for dry AMD, which accounts for approximately 85-90% of all AMD cases and is the leading cause of blindness in people over the age of 60.</w:t>
      </w:r>
    </w:p>
    <w:p>
      <w:pPr>
        <w:spacing w:after="0" w:line="196" w:lineRule="exact"/>
        <w:rPr>
          <w:rFonts w:ascii="Times New Roman" w:cs="Times New Roman" w:eastAsia="Times New Roman" w:hAnsi="Times New Roman"/>
          <w:sz w:val="36"/>
          <w:szCs w:val="36"/>
          <w:color w:val="auto"/>
          <w:vertAlign w:val="superscript"/>
        </w:rPr>
      </w:pPr>
    </w:p>
    <w:p>
      <w:pPr>
        <w:ind w:left="1300" w:hanging="320"/>
        <w:spacing w:after="0" w:line="284"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OPC1</w:t>
      </w:r>
      <w:r>
        <w:rPr>
          <w:rFonts w:ascii="Times New Roman" w:cs="Times New Roman" w:eastAsia="Times New Roman" w:hAnsi="Times New Roman"/>
          <w:sz w:val="18"/>
          <w:szCs w:val="18"/>
          <w:color w:val="auto"/>
        </w:rPr>
        <w:t>, an oligodendrocyte progenitor cell therapy currently in a Phase 1/2a multicenter clinical trial for acute spinal cord injuries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 This clinical trial has been partially funded by the California Institute for Regenerative Medicine.</w:t>
      </w:r>
    </w:p>
    <w:p>
      <w:pPr>
        <w:spacing w:after="0" w:line="158"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VAC2</w:t>
      </w:r>
      <w:r>
        <w:rPr>
          <w:rFonts w:ascii="Times New Roman" w:cs="Times New Roman" w:eastAsia="Times New Roman" w:hAnsi="Times New Roman"/>
          <w:sz w:val="18"/>
          <w:szCs w:val="18"/>
          <w:color w:val="auto"/>
        </w:rPr>
        <w:t>, a cancer immunotherapy of antigen-presenting dendritic cells currently in a Phase 1 clinical trial in non-small cell lung cancer.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clinical trial is being funded and conducted by Cancer Research UK, the world’s largest independent cancer research charity.</w:t>
      </w:r>
    </w:p>
    <w:p>
      <w:pPr>
        <w:spacing w:after="0" w:line="160" w:lineRule="exact"/>
        <w:rPr>
          <w:sz w:val="20"/>
          <w:szCs w:val="20"/>
          <w:color w:val="auto"/>
        </w:rPr>
      </w:pPr>
    </w:p>
    <w:p>
      <w:pPr>
        <w:jc w:val="both"/>
        <w:ind w:firstLine="495"/>
        <w:spacing w:after="0" w:line="226" w:lineRule="auto"/>
        <w:rPr>
          <w:sz w:val="20"/>
          <w:szCs w:val="20"/>
          <w:color w:val="auto"/>
        </w:rPr>
      </w:pPr>
      <w:r>
        <w:rPr>
          <w:rFonts w:ascii="Times New Roman" w:cs="Times New Roman" w:eastAsia="Times New Roman" w:hAnsi="Times New Roman"/>
          <w:sz w:val="18"/>
          <w:szCs w:val="18"/>
          <w:color w:val="auto"/>
        </w:rPr>
        <w:t>Lineage also is seeking to create value from additional assets, such as from patents or non-clinical candidates, including seeking to identify a commercialization or development partner for Renevia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Renevia is a proprietary three-dimensional scaffold designed to support adipose tissue transplants that was granted a Conformité Européenne (“CE”) Mark in September 2019.</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Asterias Merger</w:t>
      </w:r>
    </w:p>
    <w:p>
      <w:pPr>
        <w:spacing w:after="0" w:line="22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On November 7, 2018, Lineage, Asterias Biotherapeutics, Inc. (“Asterias”) and Patrick Merger Sub, Inc., a wholly owned subsidiary of Lineage, entered into an Agreement and Plan of Merger (the “Merger Agreement”) whereby Lineage agreed to acquire all of the outstanding common stock of Asterias in a stock-for-stock transaction (the “Asterias Merger”).</w:t>
      </w:r>
    </w:p>
    <w:p>
      <w:pPr>
        <w:spacing w:after="0" w:line="176"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On March 7, 2019, the shareholders of each of Lineage and Asterias approved the Merger Agreement. Prior to the Asterias Merger, Lineage owned approximately 38% of Asterias’ issued and outstanding common stock and accounted for Asterias as an equity method investment.</w:t>
      </w:r>
    </w:p>
    <w:p>
      <w:pPr>
        <w:spacing w:after="0" w:line="162"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On March 8, 2019, the Asterias Merger closed with Asterias surviving as a wholly owned subsidiary of Lineage. The former stockholders of Asterias (other than Lineage) received 0.71 common shares of Lineage for every share of Asterias common stock they owned. Lineage issued 24,695,898 common shares, including 58,085 shares issued in respect of restricted stock units issued by Asterias that immediately vested in connection with the closing of the Asterias Merger. The aggregate dollar value of such shares, based on the closing price of Lineage common shares on March 8, 2019, was $32.4 million. Lineage also assumed warrants to purchase shares of Asterias common stock.</w:t>
      </w:r>
    </w:p>
    <w:p>
      <w:pPr>
        <w:spacing w:after="0" w:line="183"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 xml:space="preserve">The Asterias Merger has been accounted for using the acquisition method of accounting in accordance with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which requires, among other things, that the assets and liabilities assumed be recognized at their fair values as of the acquisition date.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3 for a full discussion of the Asterias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Investment in OncoCyte</w:t>
      </w:r>
    </w:p>
    <w:p>
      <w:pPr>
        <w:spacing w:after="0" w:line="227"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Lineage has significant equity holdings in OncoCyte Corporation (“OncoCyte”), a publicly traded molecular diagnostic company (NYSE American: OCX), which Lineage founded and, in the past, was a majority-owned consolidated subsidiary until February 17, 2017, when Lineage deconsolidated OncoCyte’s financial statements. OncoCyte is focused on developing and commercializing laboratory-developed tests to serve unmet medical needs across the cancer care continuum. As of September 30, 2020, Lineage owned approximately 3.6 million shares of OncoCyte common stock, or 5.4% of its outstanding shares (see Note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Liquidity and Summary of Significant Accounting Policies</w:t>
      </w:r>
    </w:p>
    <w:p>
      <w:pPr>
        <w:spacing w:after="0" w:line="22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presented herein, and discussed below, have been prepared in accordance with GAAP for interim financial information and with the instructions to Form 10-Q and Article 8 of Regulation S-X. In accordance with those rules and regulations certain information and footnote disclosures normally included in comprehensive consolidated financial statements have been condensed or omitted. The condensed consolidated balance sheet as of December 31, 2019 was derived from the audited consolidated financial statements at that date, but does not include all the information and footnotes required by GAAP. These condensed consolidated interim financial statements should be read in conjunction with the audited consolidated financial statements and notes thereto included in Lineage’s Annual Report on Form 10-K for the year ended December 31, 2019.</w:t>
      </w:r>
    </w:p>
    <w:p>
      <w:pPr>
        <w:spacing w:after="0" w:line="18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interim financial statements, in the opinion of management, include all adjustments, consisting only of normal recurring adjustments, necessary for a fair presentation of Lineage’s financial condition and results of operations. The condensed consolidated results of operations are not necessarily indicative of the results to be expected for any other interim period or for the entire year.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Lineage’s condensed consolidated interim financial statements include the accounts of its subsidiaries. All material intercompany accounts and transactions have been eliminated in consolidation. The following table reflects Lineage’s ownership, directly or through one or more subsidiaries, of the outstanding shares of its operating subsidiaries as of September 30,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Lineage</w:t>
            </w: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6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20" w:type="dxa"/>
            <w:vAlign w:val="bottom"/>
          </w:tcPr>
          <w:p>
            <w:pPr>
              <w:spacing w:after="0"/>
              <w:rPr>
                <w:sz w:val="21"/>
                <w:szCs w:val="21"/>
                <w:color w:val="auto"/>
              </w:rPr>
            </w:pPr>
          </w:p>
        </w:tc>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Field of Business</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6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0" w:type="dxa"/>
            <w:vAlign w:val="bottom"/>
          </w:tcPr>
          <w:p>
            <w:pPr>
              <w:spacing w:after="0"/>
              <w:rPr>
                <w:sz w:val="1"/>
                <w:szCs w:val="1"/>
                <w:color w:val="auto"/>
              </w:rPr>
            </w:pPr>
          </w:p>
        </w:tc>
      </w:tr>
      <w:tr>
        <w:trPr>
          <w:trHeight w:val="198"/>
        </w:trPr>
        <w:tc>
          <w:tcPr>
            <w:tcW w:w="26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Asterias BioTherapeutics, Inc.</w:t>
            </w:r>
          </w:p>
        </w:tc>
        <w:tc>
          <w:tcPr>
            <w:tcW w:w="22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Cell therapy clinical development programs in spinal cord</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0" w:type="dxa"/>
            <w:vAlign w:val="bottom"/>
          </w:tcPr>
          <w:p>
            <w:pPr>
              <w:spacing w:after="0"/>
              <w:rPr>
                <w:sz w:val="1"/>
                <w:szCs w:val="1"/>
                <w:color w:val="auto"/>
              </w:rPr>
            </w:pPr>
          </w:p>
        </w:tc>
      </w:tr>
      <w:tr>
        <w:trPr>
          <w:trHeight w:val="126"/>
        </w:trPr>
        <w:tc>
          <w:tcPr>
            <w:tcW w:w="2600" w:type="dxa"/>
            <w:vAlign w:val="bottom"/>
            <w:shd w:val="clear" w:color="auto" w:fill="CCEEFF"/>
          </w:tcPr>
          <w:p>
            <w:pPr>
              <w:spacing w:after="0"/>
              <w:rPr>
                <w:sz w:val="10"/>
                <w:szCs w:val="10"/>
                <w:color w:val="auto"/>
              </w:rPr>
            </w:pPr>
          </w:p>
        </w:tc>
        <w:tc>
          <w:tcPr>
            <w:tcW w:w="5080" w:type="dxa"/>
            <w:vAlign w:val="bottom"/>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injury and oncology</w:t>
            </w:r>
          </w:p>
        </w:tc>
        <w:tc>
          <w:tcPr>
            <w:tcW w:w="14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shd w:val="clear" w:color="auto" w:fill="CCEEFF"/>
          </w:tcPr>
          <w:p>
            <w:pPr>
              <w:spacing w:after="0"/>
              <w:rPr>
                <w:sz w:val="10"/>
                <w:szCs w:val="10"/>
                <w:color w:val="auto"/>
              </w:rPr>
            </w:pPr>
          </w:p>
        </w:tc>
        <w:tc>
          <w:tcPr>
            <w:tcW w:w="1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spacing w:after="0"/>
              <w:rPr>
                <w:sz w:val="9"/>
                <w:szCs w:val="9"/>
                <w:color w:val="auto"/>
              </w:rPr>
            </w:pPr>
          </w:p>
        </w:tc>
        <w:tc>
          <w:tcPr>
            <w:tcW w:w="5080" w:type="dxa"/>
            <w:vAlign w:val="bottom"/>
            <w:gridSpan w:val="3"/>
            <w:vMerge w:val="continue"/>
            <w:shd w:val="clear" w:color="auto" w:fill="CCEEFF"/>
          </w:tcPr>
          <w:p>
            <w:pPr>
              <w:spacing w:after="0"/>
              <w:rPr>
                <w:sz w:val="9"/>
                <w:szCs w:val="9"/>
                <w:color w:val="auto"/>
              </w:rPr>
            </w:pPr>
          </w:p>
        </w:tc>
        <w:tc>
          <w:tcPr>
            <w:tcW w:w="1400" w:type="dxa"/>
            <w:vAlign w:val="bottom"/>
            <w:gridSpan w:val="2"/>
            <w:vMerge w:val="continue"/>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Cell Cure Neurosciences Ltd.</w:t>
            </w:r>
          </w:p>
        </w:tc>
        <w:tc>
          <w:tcPr>
            <w:tcW w:w="2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restart"/>
          </w:tcPr>
          <w:p>
            <w:pPr>
              <w:jc w:val="right"/>
              <w:ind w:right="325"/>
              <w:spacing w:after="0"/>
              <w:rPr>
                <w:sz w:val="20"/>
                <w:szCs w:val="20"/>
                <w:color w:val="auto"/>
              </w:rPr>
            </w:pPr>
            <w:r>
              <w:rPr>
                <w:rFonts w:ascii="Times New Roman" w:cs="Times New Roman" w:eastAsia="Times New Roman" w:hAnsi="Times New Roman"/>
                <w:sz w:val="15"/>
                <w:szCs w:val="15"/>
                <w:color w:val="auto"/>
              </w:rPr>
              <w:t>(1)</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0" w:type="dxa"/>
            <w:vAlign w:val="bottom"/>
          </w:tcPr>
          <w:p>
            <w:pPr>
              <w:spacing w:after="0"/>
              <w:rPr>
                <w:sz w:val="1"/>
                <w:szCs w:val="1"/>
                <w:color w:val="auto"/>
              </w:rPr>
            </w:pPr>
          </w:p>
        </w:tc>
      </w:tr>
      <w:tr>
        <w:trPr>
          <w:trHeight w:val="126"/>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(“Cell Cure”)</w:t>
            </w:r>
          </w:p>
        </w:tc>
        <w:tc>
          <w:tcPr>
            <w:tcW w:w="50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Products to treat age-related macular degeneration</w:t>
            </w:r>
          </w:p>
        </w:tc>
        <w:tc>
          <w:tcPr>
            <w:tcW w:w="1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6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tcPr>
          <w:p>
            <w:pPr>
              <w:spacing w:after="0"/>
              <w:rPr>
                <w:sz w:val="9"/>
                <w:szCs w:val="9"/>
                <w:color w:val="auto"/>
              </w:rPr>
            </w:pPr>
          </w:p>
        </w:tc>
        <w:tc>
          <w:tcPr>
            <w:tcW w:w="5080" w:type="dxa"/>
            <w:vAlign w:val="bottom"/>
            <w:gridSpan w:val="3"/>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 Cell International Pte. Ltd.</w:t>
            </w:r>
          </w:p>
        </w:tc>
        <w:tc>
          <w:tcPr>
            <w:tcW w:w="508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Stem cell products for research, including clinical grade cell</w:t>
            </w: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r>
        <w:trPr>
          <w:trHeight w:val="126"/>
        </w:trPr>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(“ESI”)</w:t>
            </w:r>
          </w:p>
        </w:tc>
        <w:tc>
          <w:tcPr>
            <w:tcW w:w="5080" w:type="dxa"/>
            <w:vAlign w:val="bottom"/>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lines produced under cGMP</w:t>
            </w:r>
          </w:p>
        </w:tc>
        <w:tc>
          <w:tcPr>
            <w:tcW w:w="14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shd w:val="clear" w:color="auto" w:fill="CCEEFF"/>
          </w:tcPr>
          <w:p>
            <w:pPr>
              <w:spacing w:after="0"/>
              <w:rPr>
                <w:sz w:val="10"/>
                <w:szCs w:val="10"/>
                <w:color w:val="auto"/>
              </w:rPr>
            </w:pPr>
          </w:p>
        </w:tc>
        <w:tc>
          <w:tcPr>
            <w:tcW w:w="1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shd w:val="clear" w:color="auto" w:fill="CCEEFF"/>
          </w:tcPr>
          <w:p>
            <w:pPr>
              <w:spacing w:after="0"/>
              <w:rPr>
                <w:sz w:val="9"/>
                <w:szCs w:val="9"/>
                <w:color w:val="auto"/>
              </w:rPr>
            </w:pPr>
          </w:p>
        </w:tc>
        <w:tc>
          <w:tcPr>
            <w:tcW w:w="5080" w:type="dxa"/>
            <w:vAlign w:val="bottom"/>
            <w:gridSpan w:val="3"/>
            <w:vMerge w:val="continue"/>
            <w:shd w:val="clear" w:color="auto" w:fill="CCEEFF"/>
          </w:tcPr>
          <w:p>
            <w:pPr>
              <w:spacing w:after="0"/>
              <w:rPr>
                <w:sz w:val="9"/>
                <w:szCs w:val="9"/>
                <w:color w:val="auto"/>
              </w:rPr>
            </w:pPr>
          </w:p>
        </w:tc>
        <w:tc>
          <w:tcPr>
            <w:tcW w:w="1400" w:type="dxa"/>
            <w:vAlign w:val="bottom"/>
            <w:gridSpan w:val="2"/>
            <w:vMerge w:val="continue"/>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OrthoCyte Corporation</w:t>
            </w:r>
          </w:p>
        </w:tc>
        <w:tc>
          <w:tcPr>
            <w:tcW w:w="508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Developing bone grafting products for orthopedic diseases and</w:t>
            </w: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0" w:type="dxa"/>
            <w:vAlign w:val="bottom"/>
          </w:tcPr>
          <w:p>
            <w:pPr>
              <w:spacing w:after="0"/>
              <w:rPr>
                <w:sz w:val="1"/>
                <w:szCs w:val="1"/>
                <w:color w:val="auto"/>
              </w:rPr>
            </w:pPr>
          </w:p>
        </w:tc>
      </w:tr>
      <w:tr>
        <w:trPr>
          <w:trHeight w:val="126"/>
        </w:trPr>
        <w:tc>
          <w:tcPr>
            <w:tcW w:w="2600" w:type="dxa"/>
            <w:vAlign w:val="bottom"/>
          </w:tcPr>
          <w:p>
            <w:pPr>
              <w:spacing w:after="0"/>
              <w:rPr>
                <w:sz w:val="10"/>
                <w:szCs w:val="10"/>
                <w:color w:val="auto"/>
              </w:rPr>
            </w:pPr>
          </w:p>
        </w:tc>
        <w:tc>
          <w:tcPr>
            <w:tcW w:w="50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injuries</w:t>
            </w:r>
          </w:p>
        </w:tc>
        <w:tc>
          <w:tcPr>
            <w:tcW w:w="1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6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5080" w:type="dxa"/>
            <w:vAlign w:val="bottom"/>
            <w:gridSpan w:val="3"/>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shares owned by Lineage and ESI.</w:t>
      </w:r>
    </w:p>
    <w:p>
      <w:pPr>
        <w:spacing w:after="0" w:line="198"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As of September 30, 2020, Lineage consolidated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 w:name="page9"/>
    <w:bookmarkEnd w:id="8"/>
    <w:p>
      <w:pPr>
        <w:ind w:left="50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Since inception, Lineage has incurred significant operating losses and has funded its operations primarily through sale of common stock of AgeX Therapeutics, Inc. (“AgeX”) and OncoCyte, both former subsidiaries, sale of common stock of Hadasit Bio-Holdings (“HBL”), receipt of research grants, royalties from product sales, license revenues, sales of research products and issuance of equity securities.</w:t>
      </w:r>
    </w:p>
    <w:p>
      <w:pPr>
        <w:spacing w:after="0" w:line="179" w:lineRule="exact"/>
        <w:rPr>
          <w:sz w:val="20"/>
          <w:szCs w:val="20"/>
          <w:color w:val="auto"/>
        </w:rPr>
      </w:pPr>
    </w:p>
    <w:p>
      <w:pPr>
        <w:jc w:val="both"/>
        <w:ind w:firstLine="495"/>
        <w:spacing w:after="0" w:line="225" w:lineRule="auto"/>
        <w:rPr>
          <w:sz w:val="20"/>
          <w:szCs w:val="20"/>
          <w:color w:val="auto"/>
        </w:rPr>
      </w:pPr>
      <w:r>
        <w:rPr>
          <w:rFonts w:ascii="Times New Roman" w:cs="Times New Roman" w:eastAsia="Times New Roman" w:hAnsi="Times New Roman"/>
          <w:sz w:val="18"/>
          <w:szCs w:val="18"/>
          <w:color w:val="auto"/>
        </w:rPr>
        <w:t>On May 1, 2020, Lineage entered into a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Fitzgerald”), pursuant to which Lineage may, but is not obligated to, raise up to $25.0 million through the sale of common shares from time to time in at-the-market transactions under the Sales Agreement. As of September 30, 2020, no sales had been made under the Sales Agreement.</w:t>
      </w:r>
    </w:p>
    <w:p>
      <w:pPr>
        <w:spacing w:after="0" w:line="200"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At September 30, 2020, Lineage had an accumulated deficit of approximately $296.1 million, working capital of $32.0 million and shareholders’ equity of $90.2 million. Lineage has evaluated its projected cash flows and believes that its $38.0 million of cash, cash equivalents and marketable equity securities are sufficient to fund Lineage’s planned operations for at least the next twelve months from the issuance date of the condensed consolidated financial statements included herein. If Lineage needs near term working capital or liquidity to supplement its cash and cash equivalents for its operations, Lineage may sell some, or all, of its marketable equity securities, as necessary.</w:t>
      </w:r>
    </w:p>
    <w:p>
      <w:pPr>
        <w:spacing w:after="0" w:line="183"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On March 8, 2019, Asterias became Lineage’s wholly owned subsidiary, and Lineage began consolidating Asterias’ operations and results with its operations and results (see Note 3). Lineage has made extensive reductions in headcount and reduced non-clinical related spend, in each case, as compared to Asterias’ operations before the Asterias Merger.</w:t>
      </w:r>
    </w:p>
    <w:p>
      <w:pPr>
        <w:spacing w:after="0" w:line="176"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8"/>
          <w:szCs w:val="18"/>
          <w:color w:val="auto"/>
        </w:rPr>
        <w:t>Lineage’s projected cash flows are subject to various risks and uncertainties, and the unavailability or inadequacy of financing to meet future capital needs could force Lineage to modify, curtail, delay, or suspend some or all aspects of its planned operations. Lineage’s determination as to when it will seek new financing and the amount of financing that it will need will be based on Lineage’s evaluation of the progress it makes in its research and development programs, any changes to the scope and focus of those programs, any changes in grant funding for certain of those programs, and projection of future costs, revenues, and rates of expenditure. Lineage’s ability to raise additional funds may be adversely impacted by deteriorating global economic conditions and the disruptions to and volatility in the credit and financial markets in the United States and worldwide resulting from the ongoing COVID-19 pandemic. Lineage may be required to delay, postpone, or cancel clinical trials or limit the number of clinical trial sites, unless it is able to obtain adequate financing. In addition, Lineage has incurred significant costs in connection with the acquisition of Asterias and with integrating its operations. Lineage may incur additional costs to maintain employee morale and to retain key employees. Lineage cannot assure that adequate financing will be available on favorable terms, if at all. Sales of additional equity securities by Lineage or its subsidiaries and affiliates could result in the dilution of the interests of current shareholders.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Lineage accounts for business combinations, such as the Asterias Merger completed in March 2019, in accordance with ASC Topic 805, which requires the purchase price to be measured at fair value. When the purchase consideration consists entirely of Lineage common shares, Lineage calculates the purchase price by determining the fair value, as of the acquisition date, of shares issued in connection with the closing of the acquisition. Lineage recognizes estimated fair values of the tangible assets and intangible assets acquired, including in-process research and development (“IPR&amp;D”), and liabilities assumed as of the acquisition date, and records as goodwill any amount of the fair value of the tangible and intangible assets acquired and liabilities assumed in excess of the purchase price.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22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 xml:space="preserve">Lineage accounts for the shares it holds in OncoCyte, AgeX and HBL as marketable equity securities in accordance with ASC 320-10-25,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as amended by Accounting Standards Update (“ASU”) 2016-01,</w:t>
      </w:r>
      <w:r>
        <w:rPr>
          <w:rFonts w:ascii="Times New Roman" w:cs="Times New Roman" w:eastAsia="Times New Roman" w:hAnsi="Times New Roman"/>
          <w:sz w:val="18"/>
          <w:szCs w:val="18"/>
          <w:i w:val="1"/>
          <w:iCs w:val="1"/>
          <w:color w:val="auto"/>
        </w:rPr>
        <w:t xml:space="preserve"> Financial Instruments–Overall: Recognition and Measurement of Financial Assets and Financial Liabilities, </w:t>
      </w:r>
      <w:r>
        <w:rPr>
          <w:rFonts w:ascii="Times New Roman" w:cs="Times New Roman" w:eastAsia="Times New Roman" w:hAnsi="Times New Roman"/>
          <w:sz w:val="18"/>
          <w:szCs w:val="18"/>
          <w:color w:val="auto"/>
        </w:rPr>
        <w:t>further discussed below</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The OncoCyte and AgeX shares have readily determinable fair values quoted on the NYSE American under trading symbols “OCX” and “AGE”. The HBL shares have a readily determinable fair value quoted on the Tel Aviv Stock Exchange (“TASE”) under trading symbol “HDST” where share prices are denominated in New Israeli Shekels (NIS).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 w:name="page10"/>
    <w:bookmarkEnd w:id="9"/>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Prior to September 11, 2019, Lineage accounted for its OncoCyte shares held at fair value, using the equity method of accounting. On September 11, 2019, Lineage’s ownership percentage decreased from 24% to 16% when it sold 4.0 million shares of OncoCyte common stock. Accordingly, as the ownership percentage was reduced to less than 20%, Lineage is no longer considered to exercise significant influence over OncoCyte and is now accounting for its OncoCyte holdings as marketable equity securities. Prior to the Asterias Merger completed on March 8, 2019, Lineage accounted for its Asterias shares held at fair value, using the equity method of accounting.</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 xml:space="preserve">Lineage recognizes revenue in accordance with Financial Accounting Standards Board (“FASB”) Accounting Standards Update (“ASU”)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2014-09, Revenues from Contracts with Customers (Topic 606), </w:t>
      </w:r>
      <w:r>
        <w:rPr>
          <w:rFonts w:ascii="Times New Roman" w:cs="Times New Roman" w:eastAsia="Times New Roman" w:hAnsi="Times New Roman"/>
          <w:sz w:val="18"/>
          <w:szCs w:val="18"/>
          <w:color w:val="auto"/>
        </w:rPr>
        <w:t>and in a manner that depicts the transfer of control of a product or a service to a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reflects the amount of the consideration it is entitled to receive in exchange for such product or service. In doing so, Lineage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Lineage considers the terms of a contract and all relevant facts and circumstances when applying the revenue recognition standard. Lineage applies the revenue recognition standard, including the use of any practical expedients, consistently to contracts with similar characteristics and in similar circumstances.</w:t>
      </w:r>
    </w:p>
    <w:p>
      <w:pPr>
        <w:spacing w:after="0" w:line="187"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8"/>
          <w:szCs w:val="18"/>
          <w:color w:val="auto"/>
        </w:rPr>
        <w:t xml:space="preserve">Lineage’s largest source of revenue is currently related to government grants. In applying the provisions of ASU 2014-09, Lineage has determined that government grants are out of the scope of ASU 2014-09 because the government entities do not meet the definition of a “customer,” as defined by ASU 2014-09, as there is not considered to be a transfer of control of good or services to the government entities funding the grant. Lineage has, and will continue to, account for grants received to perform research and development services in accordance with ASC 730-20,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which requires an assessment, at the inception of the grant, of whether the grant is a liability or a contract to perform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for others. If Lineage or a subsidiary receiving the grant is obligated to repay the grant funds to the grantor regardless of the outcome of the research and development activities, then Lineage is required to estimate and recognize that liability. Alternatively, if Lineage or a subsidiary receiving the grant is not required to repay, or if it is required to repay the grant funds only if the research and development activities are successful, then the grant agreement is accounted for as a contract to perform research and development services for others, in which case, grant revenue is recognized when the related research and development expenses are incurred (see Note 15).</w:t>
      </w:r>
    </w:p>
    <w:p>
      <w:pPr>
        <w:spacing w:after="0" w:line="194" w:lineRule="exact"/>
        <w:rPr>
          <w:sz w:val="20"/>
          <w:szCs w:val="20"/>
          <w:color w:val="auto"/>
        </w:rPr>
      </w:pPr>
    </w:p>
    <w:p>
      <w:pPr>
        <w:jc w:val="both"/>
        <w:ind w:right="20" w:firstLine="495"/>
        <w:spacing w:after="0" w:line="282" w:lineRule="auto"/>
        <w:rPr>
          <w:sz w:val="20"/>
          <w:szCs w:val="20"/>
          <w:color w:val="auto"/>
        </w:rPr>
      </w:pPr>
      <w:r>
        <w:rPr>
          <w:rFonts w:ascii="Times New Roman" w:cs="Times New Roman" w:eastAsia="Times New Roman" w:hAnsi="Times New Roman"/>
          <w:sz w:val="18"/>
          <w:szCs w:val="18"/>
          <w:color w:val="auto"/>
        </w:rPr>
        <w:t>Deferred grant revenues represent grant funds received from the governmental funding agencies for which the allowable expenses have not yet been incurred as of the balance sheet date reported. As of September 30, 2020, deferred grant revenue was $46,000.</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Basic and diluted net income (loss) per share attributable to common shareholders</w:t>
      </w:r>
    </w:p>
    <w:p>
      <w:pPr>
        <w:spacing w:after="0" w:line="227"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or loss attributable to Lineage common shareholders by the weighted average number of common shares outstanding, net of unvested restricted stock or restricted stock units,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outstanding stock options and warrants, using the treasury-stock method, convertible preferred stock, if any, using the if-converted method, and treasury stock held by subsidiaries, if any.</w:t>
      </w:r>
    </w:p>
    <w:p>
      <w:pPr>
        <w:spacing w:after="0" w:line="183"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2020 and 2019, respectively, Lineage reported a net loss attributable to common shareholders, and therefore, all potentially dilutive common shares were considered antidilutive for those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firstLine="495"/>
        <w:spacing w:after="0" w:line="282" w:lineRule="auto"/>
        <w:rPr>
          <w:sz w:val="20"/>
          <w:szCs w:val="20"/>
          <w:color w:val="auto"/>
        </w:rPr>
      </w:pPr>
      <w:r>
        <w:rPr>
          <w:rFonts w:ascii="Times New Roman" w:cs="Times New Roman" w:eastAsia="Times New Roman" w:hAnsi="Times New Roman"/>
          <w:sz w:val="18"/>
          <w:szCs w:val="18"/>
          <w:color w:val="auto"/>
        </w:rPr>
        <w:t>The following weighted average common share equivalents were excluded from the computation of diluted net income (loss) per common share for the periods presented because including them would have been antidilutive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16"/>
        </w:trPr>
        <w:tc>
          <w:tcPr>
            <w:tcW w:w="5520" w:type="dxa"/>
            <w:vAlign w:val="bottom"/>
          </w:tcPr>
          <w:p>
            <w:pPr>
              <w:spacing w:after="0"/>
              <w:rPr>
                <w:sz w:val="18"/>
                <w:szCs w:val="18"/>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5520" w:type="dxa"/>
            <w:vAlign w:val="bottom"/>
          </w:tcPr>
          <w:p>
            <w:pPr>
              <w:spacing w:after="0"/>
              <w:rPr>
                <w:sz w:val="21"/>
                <w:szCs w:val="21"/>
                <w:color w:val="auto"/>
              </w:rPr>
            </w:pPr>
          </w:p>
        </w:tc>
        <w:tc>
          <w:tcPr>
            <w:tcW w:w="192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00" w:type="dxa"/>
            <w:vAlign w:val="bottom"/>
            <w:shd w:val="clear" w:color="auto" w:fill="CCEEFF"/>
          </w:tcPr>
          <w:p>
            <w:pPr>
              <w:spacing w:after="0"/>
              <w:rPr>
                <w:sz w:val="19"/>
                <w:szCs w:val="19"/>
                <w:color w:val="auto"/>
              </w:rPr>
            </w:pPr>
          </w:p>
        </w:tc>
      </w:tr>
      <w:tr>
        <w:trPr>
          <w:trHeight w:val="257"/>
        </w:trPr>
        <w:tc>
          <w:tcPr>
            <w:tcW w:w="55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Lineage Warrants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(Note 3)</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1,090</w:t>
            </w:r>
          </w:p>
        </w:tc>
        <w:tc>
          <w:tcPr>
            <w:tcW w:w="4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1,090</w:t>
            </w:r>
          </w:p>
        </w:tc>
        <w:tc>
          <w:tcPr>
            <w:tcW w:w="4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Although the Lineage Warrants are classified as liabilities, these warrants are considered for dilutive earnings per share calculations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and determined to be anti-dilutive for the period presented.</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5" w:lineRule="exact"/>
        <w:rPr>
          <w:sz w:val="20"/>
          <w:szCs w:val="20"/>
          <w:color w:val="auto"/>
        </w:rPr>
      </w:pPr>
    </w:p>
    <w:p>
      <w:pPr>
        <w:jc w:val="both"/>
        <w:ind w:firstLine="495"/>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Lineage explains the change during the period in the total of cash, cash equivalents and restricted cash, and includes restricted cash with cash and cash equivalents when reconciling the beginning-of-period and end-of-period total amounts shown on the condensed consolidated statements of cash flows.</w:t>
      </w:r>
    </w:p>
    <w:p>
      <w:pPr>
        <w:spacing w:after="0" w:line="175"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dates that comprise the total of the same such amounts shown in the condensed consolidated statements of cash flows for all periods presented herein (in thousands):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00" w:right="60"/>
        <w:spacing w:after="0" w:line="255" w:lineRule="auto"/>
        <w:rPr>
          <w:sz w:val="20"/>
          <w:szCs w:val="20"/>
          <w:color w:val="auto"/>
        </w:rPr>
      </w:pPr>
      <w:r>
        <w:rPr>
          <w:rFonts w:ascii="Times New Roman" w:cs="Times New Roman" w:eastAsia="Times New Roman" w:hAnsi="Times New Roman"/>
          <w:sz w:val="18"/>
          <w:szCs w:val="18"/>
          <w:color w:val="auto"/>
        </w:rPr>
        <w:t>Restricted cash included in deposits and other long-term assets (see Note 15)</w:t>
      </w:r>
    </w:p>
    <w:p>
      <w:pPr>
        <w:spacing w:after="0" w:line="1" w:lineRule="exact"/>
        <w:rPr>
          <w:sz w:val="20"/>
          <w:szCs w:val="20"/>
          <w:color w:val="auto"/>
        </w:rPr>
      </w:pPr>
    </w:p>
    <w:p>
      <w:pPr>
        <w:ind w:left="1700"/>
        <w:spacing w:after="0" w:line="282" w:lineRule="auto"/>
        <w:rPr>
          <w:sz w:val="20"/>
          <w:szCs w:val="20"/>
          <w:color w:val="auto"/>
        </w:rPr>
      </w:pPr>
      <w:r>
        <w:rPr>
          <w:rFonts w:ascii="Times New Roman" w:cs="Times New Roman" w:eastAsia="Times New Roman" w:hAnsi="Times New Roman"/>
          <w:sz w:val="18"/>
          <w:szCs w:val="18"/>
          <w:color w:val="auto"/>
        </w:rPr>
        <w:t>Total cash, cash equivalents, and restricted cash as shown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-296545</wp:posOffset>
            </wp:positionV>
            <wp:extent cx="4989195"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89195" cy="300355"/>
                    </a:xfrm>
                    <a:prstGeom prst="rect">
                      <a:avLst/>
                    </a:prstGeom>
                    <a:noFill/>
                  </pic:spPr>
                </pic:pic>
              </a:graphicData>
            </a:graphic>
          </wp:anchor>
        </w:drawing>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Lease accounting and impact of adoption of the new lease standard</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98"/>
        </w:trPr>
        <w:tc>
          <w:tcPr>
            <w:tcW w:w="120" w:type="dxa"/>
            <w:vAlign w:val="bottom"/>
          </w:tcPr>
          <w:p>
            <w:pPr>
              <w:spacing w:after="0"/>
              <w:rPr>
                <w:sz w:val="17"/>
                <w:szCs w:val="17"/>
                <w:color w:val="auto"/>
              </w:rPr>
            </w:pPr>
          </w:p>
        </w:tc>
        <w:tc>
          <w:tcPr>
            <w:tcW w:w="124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w:t>
            </w:r>
          </w:p>
        </w:tc>
      </w:tr>
      <w:tr>
        <w:trPr>
          <w:trHeight w:val="452"/>
        </w:trPr>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44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33,135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280" w:space="280"/>
            <w:col w:w="4680"/>
          </w:cols>
          <w:pgMar w:left="320" w:top="661" w:right="339" w:bottom="1440" w:gutter="0" w:footer="0" w:header="0"/>
          <w:type w:val="continuous"/>
        </w:sectPr>
      </w:pPr>
    </w:p>
    <w:p>
      <w:pPr>
        <w:spacing w:after="0" w:line="25" w:lineRule="exact"/>
        <w:rPr>
          <w:sz w:val="20"/>
          <w:szCs w:val="20"/>
          <w:color w:val="auto"/>
        </w:rPr>
      </w:pPr>
    </w:p>
    <w:p>
      <w:pPr>
        <w:jc w:val="both"/>
        <w:ind w:firstLine="495"/>
        <w:spacing w:after="0" w:line="267" w:lineRule="auto"/>
        <w:rPr>
          <w:sz w:val="20"/>
          <w:szCs w:val="20"/>
          <w:color w:val="auto"/>
        </w:rPr>
      </w:pPr>
      <w:r>
        <w:rPr>
          <w:rFonts w:ascii="Times New Roman" w:cs="Times New Roman" w:eastAsia="Times New Roman" w:hAnsi="Times New Roman"/>
          <w:sz w:val="18"/>
          <w:szCs w:val="18"/>
          <w:color w:val="auto"/>
        </w:rPr>
        <w:t xml:space="preserve">On January 1, 2019, Lineage adopted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“ASC 842”) and its subsequent amendments affecting Lineage: (i)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and (ii)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using the modified retrospective method.</w:t>
      </w:r>
    </w:p>
    <w:p>
      <w:pPr>
        <w:spacing w:after="0" w:line="175"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8"/>
          <w:szCs w:val="18"/>
          <w:color w:val="auto"/>
        </w:rPr>
        <w:t>Lineage management determines if an arrangement is a lease at inception. Leases are classified as either financing or operating, with classification affecting the pattern of expense recognition in the consolidated statements of operations. When determining whether a lease is a finance lease or an operating lease, ASC 842 does not specifically define criteria to determine “major part of remaining economic life of the underlying asset” and “substantially all of the fair value of the underlying asset.” For lease classification determination, Lineage continues to use: (i) greater than or equal to 75% to determine whether the lease term is a major part of the remaining economic life of the underlying asset; and (ii) greater than or equal to 90% to determine whether the present value of the sum of lease payments is substantially all of the fair value of the underlying asset. Under the available practical expedients, Lineage accounts for the lease and non-lease components as a single lease component. Lineage recognizes right-of-use (“ROU”) assets and lease liabilities for leases with terms greater than twelve months in the condensed consolidated balance sheet.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1" w:name="page12"/>
    <w:bookmarkEnd w:id="11"/>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ROU assets represent Lineage’s right to use an underlying asset during the lease term and lease liabilities represent Lineage’s obligation to make lease payments arising from the lease. Operating lease ROU assets and liabilities are recognized at commencement date based on the present value of lease payments over the lease term. As most of Lineage’s leases do not provide an implicit rate, Lineage uses its incremental borrowing rate based on the information available at commencement date in determining the present value of lease payments. Lineage uses the implicit rate when readily determinable. The operating lease ROU asset also includes any lease payments made and excludes lease incentives. Lineage’s lease terms may include options to extend or terminate the lease when it is reasonably certain that Lineage will exercise that option. Lease expense for lease payments is recognized on a straight-line basis over the lease term.</w:t>
      </w:r>
    </w:p>
    <w:p>
      <w:pPr>
        <w:spacing w:after="0" w:line="18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Operating leases are included as right-of-use assets in property and equipment (see Note 6), and ROU lease liabilities, current and long-term, in the condensed consolidated balance sheets. Financing leases are included in property and equipment, and in financing lease liabilities, current and long-term, in Lineage’s condensed consolidated balance sheets.</w:t>
      </w:r>
    </w:p>
    <w:p>
      <w:pPr>
        <w:spacing w:after="0" w:line="176"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8"/>
          <w:szCs w:val="18"/>
          <w:color w:val="auto"/>
        </w:rPr>
        <w:t>In connection with the adoption on ASC 842 on January 1, 2019, Lineage derecognized net book value of leasehold improvements and corresponding lease liabilities of $1.9 million and $2.0 million, respectively, which was the carrying value of certain operating leases as of December 31, 2018, included in property and equipment and lease liabilities, respectively, recorded pursuant to build to suit lease accounting under the previous ASC 840 lease standard. The derecognition of these amounts from the superseded ASC 840 lease standard was offset by a cumulative effect adjustment of $0.1 million as a reduction of Lineage’s accumulated deficit on January 1, 2019. These build to suit leases were primarily related to Lineage’s prior leases in Alameda, California and Cell Cure’s leases in Jerusalem, Israel (See Note 15). ASC 842 requires build to suit leases recognized on Lineage’s consolidated balance sheets as of December 31, 2018 to be derecognized upon the adoption of the new lease standard and be recognized in accordance with the new standard on January 1, 2019.</w:t>
      </w:r>
    </w:p>
    <w:p>
      <w:pPr>
        <w:spacing w:after="0" w:line="192"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The adoption of ASC 842 had a material impact in Lineage’s consolidated balance sheets, with the most significant impact resulting from the recognition of ROU assets and lease liabilities for operating leases with remaining terms greater than twelve months on the adoption date. Lineage’s accounting for financing leases (previously referred to as “capital leases”) remained substantially unchanged (see Note 15).</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 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which modifies certain disclosure requirements for reporting fair value measurements. ASU 2018-13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fiscal years, and interim periods within those fiscal years, beginning after December 15, 2019. Lineage adopted this standard on January 1, 2020 and it did not have a significant impact on our consolidated financial statements.</w:t>
      </w:r>
    </w:p>
    <w:p>
      <w:pPr>
        <w:spacing w:after="0" w:line="180" w:lineRule="exact"/>
        <w:rPr>
          <w:sz w:val="20"/>
          <w:szCs w:val="20"/>
          <w:color w:val="auto"/>
        </w:rPr>
      </w:pPr>
    </w:p>
    <w:p>
      <w:pPr>
        <w:jc w:val="both"/>
        <w:ind w:firstLine="49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Pronouncements Not Yet Adopted </w:t>
      </w:r>
      <w:r>
        <w:rPr>
          <w:rFonts w:ascii="Times New Roman" w:cs="Times New Roman" w:eastAsia="Times New Roman" w:hAnsi="Times New Roman"/>
          <w:sz w:val="18"/>
          <w:szCs w:val="18"/>
          <w:color w:val="auto"/>
        </w:rPr>
        <w:t>- The recently issued accounting pronouncements applicable to Lineage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yet effective should be read in conjunction with the recently issued accounting pronouncements, as applicable and disclosed in Lineage’s Annual Report on Form 10-K for the year ended December 31, 2019.</w:t>
      </w:r>
    </w:p>
    <w:p>
      <w:pPr>
        <w:spacing w:after="0" w:line="173" w:lineRule="exact"/>
        <w:rPr>
          <w:sz w:val="20"/>
          <w:szCs w:val="20"/>
          <w:color w:val="auto"/>
        </w:rPr>
      </w:pPr>
    </w:p>
    <w:p>
      <w:pPr>
        <w:jc w:val="both"/>
        <w:ind w:firstLine="495"/>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The ASU enhances and simplifies various aspects of the income tax accounting guidance in ASC 740 and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This ASU is effective for fiscal years beginning after December 15, 2020, and interim periods within those fiscal years with early adoption permitted. Lineage is currently evaluating the impact the adoption of this guidance may have on its consolidated financial statements.</w:t>
      </w:r>
    </w:p>
    <w:p>
      <w:pPr>
        <w:spacing w:after="0" w:line="182"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ASU 2016-13 is intended to provide financial statement users with more decision-useful information about the expected credit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and other commitments and requires consideration of a broader range of reasonable and supportable information to inform credit loss estimates. ASU 2016-13 is effective for Lineage beginning January 1, 2023. Lineage has not yet completed its assessment of the impact of the new standard on its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Asterias Merger</w:t>
      </w:r>
    </w:p>
    <w:p>
      <w:pPr>
        <w:spacing w:after="0" w:line="229"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On March 8, 2019, the Asterias Merger closed with Asterias surviving as a wholly owned subsidiary of Lineage. The former stockholders of Asterias (other than Lineage) received 0.71 common shares of Lineage (the “Merger Consideration”) for every share of Asterias common stock they owned (the “Merger Exchange Ratio”). Lineage issued 24,695,898 common shares, including 58,085 shares issued in respect of restricted stock units issued by Asterias that immediately vested in connection with the closing of the Asterias Merger. The fair value of such shares, based on the closing price of Lineage common shares on March 8, 2019, was $32.4 million.</w:t>
      </w:r>
    </w:p>
    <w:p>
      <w:pPr>
        <w:spacing w:after="0" w:line="183"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Asterias Merger, Lineage assumed outstanding warrants to purchase shares of Asterias common stock, as further discussed below and in Note 11, and assumed sponsorship of the Asterias 2013 Equity Incentive Plan (see Note 12). All stock options to purchase shares of Asterias common stock outstanding immediately prior to the closing of the Asterias Merger were canceled at the closing for no consideration.</w:t>
      </w:r>
    </w:p>
    <w:p>
      <w:pPr>
        <w:spacing w:after="0" w:line="176"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As of March 8, 2019, the assets and liabilities of Asterias have been included in the condensed consolidated balance sheet of Lineage. The results of operations of Asterias from March 8, 2019 through December 31, 2019 have been included in the condensed consolidated statement of operations of Lineage for the year ended December 31, 2019.</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Calculation of the purchase price</w:t>
      </w:r>
    </w:p>
    <w:p>
      <w:pPr>
        <w:spacing w:after="0" w:line="227" w:lineRule="exact"/>
        <w:rPr>
          <w:sz w:val="20"/>
          <w:szCs w:val="20"/>
          <w:color w:val="auto"/>
        </w:rPr>
      </w:pPr>
    </w:p>
    <w:p>
      <w:pPr>
        <w:jc w:val="both"/>
        <w:ind w:firstLine="535"/>
        <w:spacing w:after="0" w:line="282" w:lineRule="auto"/>
        <w:rPr>
          <w:sz w:val="20"/>
          <w:szCs w:val="20"/>
          <w:color w:val="auto"/>
        </w:rPr>
      </w:pPr>
      <w:r>
        <w:rPr>
          <w:rFonts w:ascii="Times New Roman" w:cs="Times New Roman" w:eastAsia="Times New Roman" w:hAnsi="Times New Roman"/>
          <w:sz w:val="18"/>
          <w:szCs w:val="18"/>
          <w:color w:val="auto"/>
        </w:rPr>
        <w:t>The calculation of the purchase price for the Asterias Merger and the Merger Consideration transferred on March 8, 2019 was as follows (in thousands, except for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center"/>
              <w:ind w:right="9"/>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285"/>
              <w:spacing w:after="0"/>
              <w:rPr>
                <w:sz w:val="20"/>
                <w:szCs w:val="20"/>
                <w:color w:val="auto"/>
              </w:rPr>
            </w:pPr>
            <w:r>
              <w:rPr>
                <w:rFonts w:ascii="Times New Roman" w:cs="Times New Roman" w:eastAsia="Times New Roman" w:hAnsi="Times New Roman"/>
                <w:sz w:val="18"/>
                <w:szCs w:val="18"/>
                <w:b w:val="1"/>
                <w:bCs w:val="1"/>
                <w:color w:val="auto"/>
                <w:w w:val="98"/>
              </w:rPr>
              <w:t>Lineage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center"/>
              <w:ind w:right="9"/>
              <w:spacing w:after="0"/>
              <w:rPr>
                <w:sz w:val="20"/>
                <w:szCs w:val="20"/>
                <w:color w:val="auto"/>
              </w:rPr>
            </w:pPr>
            <w:r>
              <w:rPr>
                <w:rFonts w:ascii="Times New Roman" w:cs="Times New Roman" w:eastAsia="Times New Roman" w:hAnsi="Times New Roman"/>
                <w:sz w:val="18"/>
                <w:szCs w:val="18"/>
                <w:b w:val="1"/>
                <w:bCs w:val="1"/>
                <w:color w:val="auto"/>
                <w:w w:val="99"/>
              </w:rPr>
              <w:t>other than Lineage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285"/>
              <w:spacing w:after="0"/>
              <w:rPr>
                <w:sz w:val="20"/>
                <w:szCs w:val="20"/>
                <w:color w:val="auto"/>
              </w:rPr>
            </w:pPr>
            <w:r>
              <w:rPr>
                <w:rFonts w:ascii="Times New Roman" w:cs="Times New Roman" w:eastAsia="Times New Roman" w:hAnsi="Times New Roman"/>
                <w:sz w:val="18"/>
                <w:szCs w:val="18"/>
                <w:b w:val="1"/>
                <w:bCs w:val="1"/>
                <w:color w:val="auto"/>
              </w:rPr>
              <w:t>(38% ownership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62%</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gridSpan w:val="2"/>
          </w:tcPr>
          <w:p>
            <w:pPr>
              <w:jc w:val="center"/>
              <w:ind w:right="285"/>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 interest)</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5"/>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
                <w:szCs w:val="1"/>
                <w:color w:val="auto"/>
              </w:rPr>
              <w:t>Outstanding Asterias common stock as of March 8, 2019</w:t>
            </w: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21,747,569</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34,783,333</w:t>
            </w:r>
          </w:p>
        </w:tc>
        <w:tc>
          <w:tcPr>
            <w:tcW w:w="400" w:type="dxa"/>
            <w:vAlign w:val="bottom"/>
            <w:tcBorders>
              <w:top w:val="single" w:sz="8" w:color="CCEEFF"/>
            </w:tcBorders>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1"/>
              </w:rPr>
              <w:t>(1)</w:t>
            </w: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56,530,902</w:t>
            </w: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0.710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0.710</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5140" w:type="dxa"/>
            <w:vAlign w:val="bottom"/>
          </w:tcPr>
          <w:p>
            <w:pPr>
              <w:spacing w:after="0"/>
              <w:rPr>
                <w:sz w:val="20"/>
                <w:szCs w:val="20"/>
                <w:color w:val="auto"/>
              </w:rPr>
            </w:pPr>
            <w:r>
              <w:rPr>
                <w:rFonts w:ascii="Times New Roman" w:cs="Times New Roman" w:eastAsia="Times New Roman" w:hAnsi="Times New Roman"/>
                <w:sz w:val="1"/>
                <w:szCs w:val="1"/>
                <w:color w:val="auto"/>
              </w:rPr>
              <w:t>Lineage common shares issuable</w:t>
            </w: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jc w:val="right"/>
              <w:ind w:right="205"/>
              <w:spacing w:after="0"/>
              <w:rPr>
                <w:sz w:val="20"/>
                <w:szCs w:val="20"/>
                <w:color w:val="auto"/>
              </w:rPr>
            </w:pPr>
            <w:r>
              <w:rPr>
                <w:rFonts w:ascii="Times New Roman" w:cs="Times New Roman" w:eastAsia="Times New Roman" w:hAnsi="Times New Roman"/>
                <w:sz w:val="1"/>
                <w:szCs w:val="1"/>
                <w:color w:val="auto"/>
              </w:rPr>
              <w:t>15,440,774</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
                <w:szCs w:val="1"/>
                <w:color w:val="auto"/>
              </w:rPr>
              <w:t>24,695,898</w:t>
            </w:r>
          </w:p>
        </w:tc>
        <w:tc>
          <w:tcPr>
            <w:tcW w:w="400" w:type="dxa"/>
            <w:vAlign w:val="bottom"/>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w w:val="91"/>
              </w:rPr>
              <w:t>(3)</w:t>
            </w:r>
          </w:p>
        </w:tc>
        <w:tc>
          <w:tcPr>
            <w:tcW w:w="300" w:type="dxa"/>
            <w:vAlign w:val="bottom"/>
          </w:tcPr>
          <w:p>
            <w:pPr>
              <w:spacing w:after="0" w:line="20" w:lineRule="exact"/>
              <w:rPr>
                <w:sz w:val="1"/>
                <w:szCs w:val="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
                <w:szCs w:val="1"/>
                <w:color w:val="auto"/>
              </w:rPr>
              <w:t>40,136,672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price of Lineage common shares as of March 8, 2019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7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Purchase price (in thousands)</w:t>
            </w: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280" w:type="dxa"/>
            <w:vAlign w:val="bottom"/>
            <w:tcBorders>
              <w:top w:val="single" w:sz="8" w:color="CCEEFF"/>
            </w:tcBorders>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32,353</w:t>
            </w: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52,580</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24"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81,810 shares of Asterias restricted stock unit awards that immediately vested on March 8, 2019 and converted into the right to receive common shares of Lineage based on the Merger Exchange Ratio, resulting in 58,085 common shares of Lineage issued on March 8, 2019 as part of the Merger Consideration. These restricted stock units were principally attributable to pre-combination services and included as part of the purchase price in accordance with ASC 805. See Note 12 for Asterias restricted stock units that vested on the closing of the Asterias Merger attributable to post-combination services that were recorded outside of the purchase price as an immediate charge to stock-based compensation expense.</w:t>
      </w:r>
    </w:p>
    <w:p>
      <w:pPr>
        <w:spacing w:after="0" w:line="201"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Estimated fair value for Lineage’s previously held 38% ownership interest in Asterias common stock is part of the total purchase price of Asterias for purposes of the purchase price allocation under ASC 805 and for Lineage’s adjustment of its 38% interest to fair value at the effective date of the Asterias Merger and immediately preceding the consolidation of Asterias’ results with Lineage. No actual common shares of Lineage were issued to Lineage in connection with the Asterias Merger.</w:t>
      </w:r>
    </w:p>
    <w:p>
      <w:pPr>
        <w:spacing w:after="0" w:line="87"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of a de minimis number of fractional shares which were paid in cash.</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ind w:left="54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jc w:val="both"/>
        <w:ind w:firstLine="535"/>
        <w:spacing w:after="0" w:line="261" w:lineRule="auto"/>
        <w:rPr>
          <w:sz w:val="20"/>
          <w:szCs w:val="20"/>
          <w:color w:val="auto"/>
        </w:rPr>
      </w:pPr>
      <w:r>
        <w:rPr>
          <w:rFonts w:ascii="Times New Roman" w:cs="Times New Roman" w:eastAsia="Times New Roman" w:hAnsi="Times New Roman"/>
          <w:sz w:val="18"/>
          <w:szCs w:val="18"/>
          <w:color w:val="auto"/>
        </w:rPr>
        <w:t>Lineage allocated the acquisition consideration to tangible and identifiable intangible assets acquired and liabilities assumed based on their estimated fair values as of the acquisition date. The fair value of the acquired tangible and identifiable intangible assets were determined based on inputs that are unobservable and significant to the overall fair value measurement. It is also based on estimates and assumptions made by management at the time of the acquisition. As such, this was classified as Level 3 fair value hierarchy measurements and disclosures.</w:t>
      </w:r>
    </w:p>
    <w:p>
      <w:pPr>
        <w:spacing w:after="0" w:line="180"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in the table below is based on our estimates of the fair values of tangible and intangible assets acquired, including IPR&amp;D, and liabilities assumed as of the acquisition date, with the excess recorded as goodwill (in thousands). As of December 31, 2019, Lineage had finalized its purchase price allocation.</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 current and noncurrent</w:t>
            </w:r>
          </w:p>
        </w:tc>
        <w:tc>
          <w:tcPr>
            <w:tcW w:w="1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intangible assets - royalty contracts</w:t>
            </w:r>
          </w:p>
        </w:tc>
        <w:tc>
          <w:tcPr>
            <w:tcW w:w="1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 (“IPR&amp;D”)</w:t>
            </w:r>
          </w:p>
        </w:tc>
        <w:tc>
          <w:tcPr>
            <w:tcW w:w="16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 acquired</w:t>
            </w:r>
          </w:p>
        </w:tc>
        <w:tc>
          <w:tcPr>
            <w:tcW w:w="16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1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accounts payable</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classified warrants</w:t>
            </w:r>
          </w:p>
        </w:tc>
        <w:tc>
          <w:tcPr>
            <w:tcW w:w="1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Deferred license revenue</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income tax liability</w:t>
            </w:r>
          </w:p>
        </w:tc>
        <w:tc>
          <w:tcPr>
            <w:tcW w:w="1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assets acquired, excluding goodwill (a)</w:t>
            </w:r>
          </w:p>
        </w:tc>
        <w:tc>
          <w:tcPr>
            <w:tcW w:w="1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Lineage common shares held by Asterias (b)</w:t>
            </w:r>
          </w:p>
        </w:tc>
        <w:tc>
          <w:tcPr>
            <w:tcW w:w="1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purchase price (c)</w:t>
            </w:r>
          </w:p>
        </w:tc>
        <w:tc>
          <w:tcPr>
            <w:tcW w:w="1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Estimated goodwill (c-a-b)</w:t>
            </w:r>
          </w:p>
        </w:tc>
        <w:tc>
          <w:tcPr>
            <w:tcW w:w="2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of identifiable intangible assets and their estimated useful lives are as follows (in thousands, except for useful life):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Asset Fair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 except for useful life)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process research and development (“IPR&amp;D”)</w:t>
            </w:r>
          </w:p>
        </w:tc>
        <w:tc>
          <w:tcPr>
            <w:tcW w:w="2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46,540</w:t>
            </w:r>
          </w:p>
        </w:tc>
        <w:tc>
          <w:tcPr>
            <w:tcW w:w="1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Royalty contracts</w:t>
            </w: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650</w:t>
            </w: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2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valuation methods used to determine the fair value of Asterias’ significant assets and liabilities in connection with the Asterias Merger:</w:t>
      </w:r>
    </w:p>
    <w:p>
      <w:pPr>
        <w:spacing w:after="0" w:line="160"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IPR&amp;D and Deferred Income Tax Liability </w:t>
      </w:r>
      <w:r>
        <w:rPr>
          <w:rFonts w:ascii="Times New Roman" w:cs="Times New Roman" w:eastAsia="Times New Roman" w:hAnsi="Times New Roman"/>
          <w:sz w:val="18"/>
          <w:szCs w:val="18"/>
          <w:color w:val="auto"/>
        </w:rPr>
        <w:t>- The fair value of identifiable acquired IPR&amp;D intangible assets consisting of $31.7 million pertaining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OPC1 program that is currently in a Phase 1/2a clinical trial for SCI, which has been partially funded by the California Institute for Regenerative Medicine and $14.8 million pertaining to the VAC2 program, which is an allogeneic, or “off-the-shelf,” cancer immunotherapy derived from pluripotent stem cells for which a clinical trial in non-small cell lung cancer is being funded and sponsored by Cancer Research UK. The identification of these intangible assets are based on consideration of historical experience and a market participant’s view further discussed below; collectively, OPC1 and VAC2 are referred to as the “AST-Clinical Programs”. These intangible assets are valued primarily through the use of a probability weighted discounted cash flow method under the income approach further discussed below. Lineage considered Asterias’ VAC1 program, which is an autologous, or patient-specific, cancer immunotherapy derived from the patient’s own cells, to have de minimis value due to significant risks, substantial costs and limited opportunities.</w:t>
      </w:r>
    </w:p>
    <w:p>
      <w:pPr>
        <w:spacing w:after="0" w:line="18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Lineage determined that the estimated aggregate fair value of the AST-Clinical programs was $46.5 million as of the acquisition date using a probability weighted discounted cash flow method for each respective program. This approach estimates the probability of the AST-Clinical Programs achieving successful completion of remaining clinical trials and related approvals into the valuation technique.</w:t>
      </w:r>
    </w:p>
    <w:p>
      <w:pPr>
        <w:spacing w:after="0" w:line="176"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8"/>
          <w:szCs w:val="18"/>
          <w:color w:val="auto"/>
        </w:rPr>
        <w:t>To calculate fair value of the AST-Clinical programs under the discounted cash flow method, Lineage used probability-weighted, projected cash flows discounted at a rate considered appropriate given the significant inherent risks associated with cell therapy development by clinical-stage companies. Cash flows were calculated based on estimated projections of revenues and expenses related to each respective program. Cash flows were assumed to extend through a seven-year market exclusivity period for the OPC1 program from the date of market launch. Revenues from commercialization of the AST-Clinical Programs were based on estimated market potential for the indication of each program. The resultant cash flows were then discounted to present value using a weighted-average cost of capital for companies with profiles substantially similar to that of Lineage, which Lineage believes represents the rate that market participants would use to value the assets. Lineage compensated for the phase of development of the program by applying a probability factor to its estimation of the expected future cash flows. The projected cash flows were based on significant assumptions, including the indications in which Lineage will pursue development of the AST-Clinical programs, the time and resources needed to complete the development and regulatory approval,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87"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 xml:space="preserve">These IPR&amp;D assets are indefinite-lived intangible assets until the completion or abandonment of the associated research and development (“R&amp;D”) efforts. Once the R&amp;D efforts are completed or abandoned, the IPR&amp;D will either be amortized over the asset life as a finite-lived intangible asset or be impaired, respectively,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In accordance with ASC 350, goodwill and acquired IPR&amp;D are determined to have indefinite lives and, therefore, are not amortized. Instead, they are tested for impairment at least annually and between annual tests if Lineage becomes aware of an event or a change in circumstances that would indicate the asset may be impaired.</w:t>
      </w:r>
    </w:p>
    <w:p>
      <w:pPr>
        <w:spacing w:after="0" w:line="183"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 xml:space="preserve">Because the IPR&amp;D (prior to completion or abandonment of the R&amp;D) is considered an indefinite-lived asset for accounting purposes, the fair value of the IPR&amp;D on the acquisition date creates a deferred income tax liability (“DTL”)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(see Note 13). This DTL is computed using the fair value of the IPR&amp;D assets on the acquisition date multiplied by Lineage’s federal and state income tax rates. While this DTL would reverse on impairment or sale or commencement of amortization of the related intangible assets, those events are not anticipated under ASC 740 for purposes of predicting reversal of a temporary difference to support the realization of deferred tax assets, except for certain deferred tax assets and credit carryforwards that are also indefinite in nature as of the closing of the Asterias Merger, which may be considered for reversal under ASC 740 as further discussed in Note 13.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ind w:firstLine="4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Royalty contracts </w:t>
      </w:r>
      <w:r>
        <w:rPr>
          <w:rFonts w:ascii="Times New Roman" w:cs="Times New Roman" w:eastAsia="Times New Roman" w:hAnsi="Times New Roman"/>
          <w:sz w:val="18"/>
          <w:szCs w:val="18"/>
          <w:color w:val="auto"/>
        </w:rPr>
        <w:t>- Asterias has certain royalty revenues for “research only use” culture media for pre-clinical research applications under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patent families under contracts which preclude the customers to sell for commercial use or for clinical trials. These royalty cash flows are generated under certain specific patent families that Asterias previously acquired from Geron Corporation (“Geron”). Asterias pays Geron a royalty for all royalty revenues received from these contracts. Because these patents are a subset of the clinical programs discussed above, are expected to continue to generate revenues for Asterias and are not to be used in the OPC1 or the VAC2 programs, these patents are considered to be separate long-lived intangible assets under ASC 805. These intangible assets are also valued primarily through the use of the discounted cash flow method under the income approach, and will be amortized over their useful life, estimated to be five years. The discounted cash flow method estimated the amount of net royalty income that can be expected under the contracts in future years. The amounts were based on observed historical trends in the growth of these revenue streams, and were estimated to terminate in approximately five years, when the key patents under these contracts will begin to expire. The resulting cash flows were discounted to the valuation date based on a rate of return that recognizes a lower level of risk associated with these assets as compared to the AST-Clinical programs discussed above.</w:t>
      </w:r>
    </w:p>
    <w:p>
      <w:pPr>
        <w:spacing w:after="0" w:line="192" w:lineRule="exact"/>
        <w:rPr>
          <w:sz w:val="20"/>
          <w:szCs w:val="20"/>
          <w:color w:val="auto"/>
        </w:rPr>
      </w:pPr>
    </w:p>
    <w:p>
      <w:pPr>
        <w:jc w:val="both"/>
        <w:ind w:firstLine="4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Deferred license revenue - </w:t>
      </w:r>
      <w:r>
        <w:rPr>
          <w:rFonts w:ascii="Times New Roman" w:cs="Times New Roman" w:eastAsia="Times New Roman" w:hAnsi="Times New Roman"/>
          <w:sz w:val="18"/>
          <w:szCs w:val="18"/>
          <w:color w:val="auto"/>
        </w:rPr>
        <w:t>In September 2018, Asterias and Novo Nordisk A/S (“Novo Nordisk”) entered into an option for Novo Nordisk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U.S. affiliate to license, on a non-exclusive basis, certain intellectual property related to culturing pluripotent stem cells, such as hES cells, in suspension. Under the terms of the option, Asterias received a one-time upfront payment of $1.0 million, in exchange for a 24-month period option to negotiate a non-exclusive license during which time Asterias has agreed to not grant any exclusive licenses inconsistent with the Novo Nordisk option. This option was considered a performance obligation as it provided Novo Nordisk with a material right that it would not receive without entering into the contract.</w:t>
      </w:r>
    </w:p>
    <w:p>
      <w:pPr>
        <w:spacing w:after="0" w:line="184"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For business combination purposes under ASC 805, the fair value of this performance obligation to Lineage, from a market participant perspective, was the estimated costs Lineage may incur, plus a normal profit margin for the level of effort required to perform under the contract after the acquisition date, assuming Novo Nordisk exercised its option, including negotiation costs, legal fees, arbitration, if any, and other related costs. Management estimated those costs, plus a normal profit margin, to be approximately $200,000 in the purchase price allocation. This amount was originally recorded as deferred revenue and subsequently recognized as revenue in September 2020 when Novo Nordisk did not exercise the option.</w:t>
      </w:r>
    </w:p>
    <w:p>
      <w:pPr>
        <w:spacing w:after="0" w:line="181"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Liability classified warrants - </w:t>
      </w:r>
      <w:r>
        <w:rPr>
          <w:rFonts w:ascii="Times New Roman" w:cs="Times New Roman" w:eastAsia="Times New Roman" w:hAnsi="Times New Roman"/>
          <w:sz w:val="18"/>
          <w:szCs w:val="18"/>
          <w:color w:val="auto"/>
        </w:rPr>
        <w:t>On May 13, 2016, in connection with a common stock offering, Asterias issued warrants to purchase 2,959,559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Asterias common stock (the “Asterias Warrants”) with an exercise price of $4.37 per share that expire on May 13, 2021. As of the closing of the Asterias Merger, there were 2,813,159 Asterias Warrants outstanding. The Asterias Warrants contain certain provisions in the event of a Fundamental Transaction, as defined in the warrant agreement governing the Asterias Warrants (“Warrant Agreement”), that Asterias or any successor entity will be required to purchase, at a holder’s option, exercisable at any time concurrently with or within thirty days after the consummation of the Fundamental Transaction, the Asterias Warrants for cash in an amount equal to the calculated value of the unexercised portion of such holder’s warrants, determined in accordance with the Black-Scholes option pricing model with significant inputs as specified in the Warrant Agreement. The Asterias Merger was a Fundamental Transaction for purposes of the Asterias Warrants.</w:t>
      </w:r>
    </w:p>
    <w:p>
      <w:pPr>
        <w:spacing w:after="0" w:line="187"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8"/>
          <w:szCs w:val="18"/>
          <w:color w:val="auto"/>
        </w:rPr>
        <w:t>The fair value of the Asterias Warrants was determined by using Black-Scholes option pricing models which take into consideration the probability of the Fundamental Transaction, which for purposes of the above valuation was assumed to be at 100% and net cash settlement occurring, using the contractual remaining term of the warrants. In applying these models, these inputs included key assumptions including the per share closing price of Lineage common shares on March 8, 2019, volatility computed in accordance with the provisions of the Warrant Agreement and, to a large extent, assumptions based on discussions with a majority of the holders of the Asterias Warrants since the closing of the Asterias Merger to settle the Asterias Warrants in cash or in common shares of Lineage. Based on such discussions, Lineage believes the fair value of the Asterias Warrants as of the closing of the Asterias Merger is not subject to change significantly, however, to the extent any Asterias Warrants that were not settled in cash or in Lineage common shares discussed below, were automatically converted to Lineage warrants 30 days after the closing of the Asterias Merger. In April 2019, Asterias Warrants representing approximately $372,000 in fair value were settled: $332,000 in fair value was settled in exchange for 251,835 common shares of Lineage, and $40,000 in fair value was settled in exchange for cash. The Asterias Warrants settled in exchange for common shares of Lineage were held by Broadwood Partners, L.P., an Asterias and Lineage shareholder. The Asterias Warrants settled in exchange for cash were held by other parties. The remaining Asterias Warrants (representing approximately $495,000 in fair value as of March 31, 2019) were converted into warrants to purchase common shares of Lineage using the Merger Exchange Ratio (the “Lineage Warrants”).</w:t>
      </w:r>
    </w:p>
    <w:p>
      <w:pPr>
        <w:spacing w:after="0" w:line="18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As of September 30, 2020, the total number of common shares of Lineage subject to warrants that were assumed by Lineage in connection with the Asterias Merger was 1,089,900, with similar terms and conditions retained under the Lineage Warrants as per the original Warrant Agreements. The Lineage Warrants have an exercise price of $6.15 per warrant share and expire on May 13,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 w:name="page17"/>
    <w:bookmarkEnd w:id="16"/>
    <w:p>
      <w:pPr>
        <w:jc w:val="both"/>
        <w:ind w:firstLine="49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Lineage common shares held by Asterias </w:t>
      </w:r>
      <w:r>
        <w:rPr>
          <w:rFonts w:ascii="Times New Roman" w:cs="Times New Roman" w:eastAsia="Times New Roman" w:hAnsi="Times New Roman"/>
          <w:sz w:val="18"/>
          <w:szCs w:val="18"/>
          <w:color w:val="auto"/>
        </w:rPr>
        <w:t>- As of March 8, 2019, Asterias held 2,621,811 common shares of Lineage as marketable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on its standalone financial statements. The fair value of those shares acquired by Lineage from Asterias is determined based on the $1.31 per share closing price of Lineage common shares on March 8, 2019. Although treasury shares are not considered an asset and were retired upon Lineage’s acquisition of Asterias, the fair value of those shares is a part of the purchase price allocation shown in the tables above. These Lineage shares were retired at the completion of the Asterias Merger.</w:t>
      </w:r>
    </w:p>
    <w:p>
      <w:pPr>
        <w:spacing w:after="0" w:line="183" w:lineRule="exact"/>
        <w:rPr>
          <w:sz w:val="20"/>
          <w:szCs w:val="20"/>
          <w:color w:val="auto"/>
        </w:rPr>
      </w:pPr>
    </w:p>
    <w:p>
      <w:pPr>
        <w:jc w:val="both"/>
        <w:ind w:right="20" w:firstLine="53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 </w:t>
      </w:r>
      <w:r>
        <w:rPr>
          <w:rFonts w:ascii="Times New Roman" w:cs="Times New Roman" w:eastAsia="Times New Roman" w:hAnsi="Times New Roman"/>
          <w:sz w:val="18"/>
          <w:szCs w:val="18"/>
          <w:color w:val="auto"/>
        </w:rPr>
        <w:t>Goodwill is calculated as the difference between the acquisition date fair value of the consideration transferred and the values assigned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assets acquired and liabilities assumed. Goodwill is not amortized but is tested for impairment at least annually, or more frequently if circumstances indicate potential impairment.</w:t>
      </w:r>
    </w:p>
    <w:p>
      <w:pPr>
        <w:spacing w:after="0" w:line="175" w:lineRule="exact"/>
        <w:rPr>
          <w:sz w:val="20"/>
          <w:szCs w:val="20"/>
          <w:color w:val="auto"/>
        </w:rPr>
      </w:pPr>
    </w:p>
    <w:p>
      <w:pPr>
        <w:jc w:val="both"/>
        <w:ind w:firstLine="535"/>
        <w:spacing w:after="0" w:line="282" w:lineRule="auto"/>
        <w:rPr>
          <w:sz w:val="20"/>
          <w:szCs w:val="20"/>
          <w:color w:val="auto"/>
        </w:rPr>
      </w:pPr>
      <w:r>
        <w:rPr>
          <w:rFonts w:ascii="Times New Roman" w:cs="Times New Roman" w:eastAsia="Times New Roman" w:hAnsi="Times New Roman"/>
          <w:sz w:val="18"/>
          <w:szCs w:val="18"/>
          <w:color w:val="auto"/>
        </w:rPr>
        <w:t>Depending on the structure of a particular acquisition, goodwill and identifiable intangible assets may not be deductible for tax purposes. Goodwill recorded in the Asterias Merger is not expected to be deductible for tax purposes (see Note 13).</w:t>
      </w:r>
    </w:p>
    <w:p>
      <w:pPr>
        <w:spacing w:after="0" w:line="162" w:lineRule="exact"/>
        <w:rPr>
          <w:sz w:val="20"/>
          <w:szCs w:val="20"/>
          <w:color w:val="auto"/>
        </w:rPr>
      </w:pPr>
    </w:p>
    <w:p>
      <w:pPr>
        <w:jc w:val="both"/>
        <w:ind w:firstLine="535"/>
        <w:spacing w:after="0" w:line="266" w:lineRule="auto"/>
        <w:rPr>
          <w:sz w:val="20"/>
          <w:szCs w:val="20"/>
          <w:color w:val="auto"/>
        </w:rPr>
      </w:pPr>
      <w:r>
        <w:rPr>
          <w:rFonts w:ascii="Times New Roman" w:cs="Times New Roman" w:eastAsia="Times New Roman" w:hAnsi="Times New Roman"/>
          <w:sz w:val="18"/>
          <w:szCs w:val="18"/>
          <w:color w:val="auto"/>
        </w:rPr>
        <w:t>Acquisition related costs recorded in general and administrative expenses for the three months ended September 30, 2020 and 2019 were immaterial. Acquisition related costs recorded in general and administrative expenses were $0.7 million and $4.4 million for the nine months ended September 30, 2020 and 2019, respectively.</w:t>
      </w:r>
    </w:p>
    <w:p>
      <w:pPr>
        <w:spacing w:after="0" w:line="176"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Asterias Merger in March 2019, Lineage elected to account for its 21.7 million shares of Asterias common stock at fair value using the equity method of accounting. The fair value of the Asterias shares was approximately $20.2 million as of March 8, 2019, the closing date of the Asterias Merger, based on $0.93 per share, which was calculated by multiplying: (a) $1.31, the closing price of Lineage common shares on such date; by (b) the Merger Exchange Ratio. The fair value of the Asterias shares was approximately $13.5 million as of December 31, 2018, based on the closing price of Asterias common stock of $0.62 per share on such date. Accordingly, Lineage recorded an unrealized gain of $6.7 million for the year ended December 31, 2019, representing the change in fair value of Asterias common stock from December 31, 2018 to March 8, 2019. All share prices were determined based on the closing price of Lineage or Asterias common stock on the NYSE American on the applicable dates.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Asterias Merger Related Litigation - </w:t>
      </w:r>
      <w:r>
        <w:rPr>
          <w:rFonts w:ascii="Times New Roman" w:cs="Times New Roman" w:eastAsia="Times New Roman" w:hAnsi="Times New Roman"/>
          <w:sz w:val="18"/>
          <w:szCs w:val="18"/>
          <w:color w:val="auto"/>
        </w:rPr>
        <w:t>See Note 15 Commitments and Contingencies for discussion regarding litigation related to the Asterias Merger.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Accounting for Common Stock of OncoCyte, at Fair Value</w:t>
      </w:r>
    </w:p>
    <w:p>
      <w:pPr>
        <w:spacing w:after="0" w:line="229"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Prior to September 11, 2019, Lineage elected to account for its shares of OncoCyte common stock at fair value using the equity method of accounting. Lineage sold 2.25 million shares of OncoCyte common stock for net proceeds of $4.2 million in July 2019. Accordingly, Lineage’s ownership in OncoCyte was reduced from 28% to 24%. Lineage sold an additional 4.0 million shares of OncoCyte common stock for net proceeds of $6.5 million on September 11, 2019. Lineage’s ownership in OncoCyte was further reduced to 16% at this time. Effective September 11, 2019, Lineage began accounting for its shares of OncoCyte common stock as marketable equity securities. The calculation of fair value is the same under the equity method and as a marketable equity security.</w:t>
      </w:r>
    </w:p>
    <w:p>
      <w:pPr>
        <w:spacing w:after="0" w:line="18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As of December 31, 2019, Lineage owned approximately 8.4 million shares of OncoCyte common stock. These shares had a fair value of $19.0 million, based on the closing price of OncoCyte of $2.25 per share on December 31, 2019. During the nine months ended September 30, 2020, Lineage sold approximately 4.8 million shares of OncoCyte common stock for net proceeds of $10.9 million.</w:t>
      </w:r>
    </w:p>
    <w:p>
      <w:pPr>
        <w:spacing w:after="0" w:line="176" w:lineRule="exact"/>
        <w:rPr>
          <w:sz w:val="20"/>
          <w:szCs w:val="20"/>
          <w:color w:val="auto"/>
        </w:rPr>
      </w:pPr>
    </w:p>
    <w:p>
      <w:pPr>
        <w:jc w:val="both"/>
        <w:ind w:right="20" w:firstLine="495"/>
        <w:spacing w:after="0" w:line="282" w:lineRule="auto"/>
        <w:rPr>
          <w:sz w:val="20"/>
          <w:szCs w:val="20"/>
          <w:color w:val="auto"/>
        </w:rPr>
      </w:pPr>
      <w:r>
        <w:rPr>
          <w:rFonts w:ascii="Times New Roman" w:cs="Times New Roman" w:eastAsia="Times New Roman" w:hAnsi="Times New Roman"/>
          <w:sz w:val="18"/>
          <w:szCs w:val="18"/>
          <w:color w:val="auto"/>
        </w:rPr>
        <w:t>As of September 30, 2020, Lineage owned approximately 3.6 million shares of OncoCyte common stock, or 5.4%, which had a fair value of approximately $5.0 million, based on the closing price of OncoCyte of $1.39 per share on September 30, 2020.</w:t>
      </w:r>
    </w:p>
    <w:p>
      <w:pPr>
        <w:spacing w:after="0" w:line="162"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2020, Lineage recorded an unrealized loss of $1.9 million related to the remaining shares owned by Lineage at September 30, 2020 and the decrease in OncoCyte’s stock price from $1.91 at June 30, 2020 to $1.39 at September 30, 2020. For the three months ended September 30, 2019, Lineage recorded a realized gain of $0.6 million due to sales of OncoCyte shares in the period. Lineage also recorded an unrealized loss of $8.7 million due to the decrease in OncoCyte’s stock price from $2.49 per share at June 30, 2019 to $2.10 per share at September 30, 2019. $8.3 million of the unrealized loss was recorded as an unrealized loss on an equity method investment as it was prior to September 11, 2019; the remaining $0.4 million was recorded as an unrealized loss on marketable equity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 w:name="page18"/>
    <w:bookmarkEnd w:id="17"/>
    <w:p>
      <w:pPr>
        <w:jc w:val="both"/>
        <w:ind w:firstLine="495"/>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2020, Lineage recorded a realized gain of $3.1 million due to sales of OncoCyte shares in the period. In the same period, Lineage also recorded an unrealized loss of $6.1 million related to its OncoCyte shares. The unrealized loss is comprised of $3.7 million related to the difference between the book cost basis of OncoCyte shares sold in the period versus the applicable prior month’s ending OncoCyte stock price and an additional $2.4 million related to the shares remaining at September 30, 2020 and the decrease in OncoCyte’s stock price from $2.25 at December 31, 2019 to $1.39 at September 30, 2020. For the nine months ended September 30, 2019, Lineage recorded a realized gain of $0.6 million due to sales of OncoCyte shares in the period. Lineage also recorded an unrealized gain of $7.6 million due to the increase in OncoCyte’s stock price from $1.38 per share at December 31, 2018 to $2.10 per share at September 30, 2019. $8.0 million of the unrealized gain was recorded as an unrealized gain on an equity method investment as it was prior to September 11, 2019; the remaining $0.4 million was recorded as an unrealized loss on marketable equity securities.</w:t>
      </w:r>
    </w:p>
    <w:p>
      <w:pPr>
        <w:spacing w:after="0" w:line="188"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All share prices are determined based on the closing price of OncoCyte common stock on the NYSE American on the applicable dates, or the last day of trading of the applicable quarter, if the last day of a quarter fell on a weekend.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Sale of Significant Ownership Interest in AgeX to Juvenescence Limited</w:t>
      </w:r>
    </w:p>
    <w:p>
      <w:pPr>
        <w:spacing w:after="0" w:line="229"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On August 30, 2018, Lineage entered into a Stock Purchase Agreement with Juvenescence Limited and AgeX, pursuant to which Lineage sold 14.4 million shares of common stock of AgeX to Juvenescence for $3.00 per share, or an aggregate purchase price of $43.2 million (the “Purchase Price”). Juvenescence paid $10.8 million of the Purchase Price at closing, issued an unsecured convertible promissory note dated August 30, 2018 in favor of Lineage for $21.6 million (the “Promissory Note”), and paid $10.8 million on November 2, 2018. The Stock Purchase Agreement contains customary representations, warranties and indemnities from Lineage relating to the business of AgeX, including an indemnity cap of $4.3 million, which is subject to certain exceptions. In connection with the sale, Lineage also entered into a Shared Facilities Agreement with AgeX (see Note 10).</w:t>
      </w:r>
    </w:p>
    <w:p>
      <w:pPr>
        <w:spacing w:after="0" w:line="187"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The Promissory Note bore interest at 7% per annum, with principal and accrued interest payable at maturity on August 30, 2020. The Promissory Note was paid in full on August 28, 2020.</w:t>
      </w:r>
    </w:p>
    <w:p>
      <w:pPr>
        <w:spacing w:after="0" w:line="162"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2020, Lineage recognized $252,000 and $1,008,000, respectively, in interest income on the Promissory Note.</w:t>
      </w:r>
    </w:p>
    <w:p>
      <w:pPr>
        <w:spacing w:after="0" w:line="162" w:lineRule="exact"/>
        <w:rPr>
          <w:sz w:val="20"/>
          <w:szCs w:val="20"/>
          <w:color w:val="auto"/>
        </w:rPr>
      </w:pPr>
    </w:p>
    <w:p>
      <w:pPr>
        <w:jc w:val="both"/>
        <w:ind w:right="20" w:firstLine="495"/>
        <w:spacing w:after="0" w:line="282" w:lineRule="auto"/>
        <w:rPr>
          <w:sz w:val="20"/>
          <w:szCs w:val="20"/>
          <w:color w:val="auto"/>
        </w:rPr>
      </w:pPr>
      <w:r>
        <w:rPr>
          <w:rFonts w:ascii="Times New Roman" w:cs="Times New Roman" w:eastAsia="Times New Roman" w:hAnsi="Times New Roman"/>
          <w:sz w:val="18"/>
          <w:szCs w:val="18"/>
          <w:color w:val="auto"/>
        </w:rPr>
        <w:t>The Shared Facilities Agreement was terminated on July 31, 2019 with respect to the use of Lineage’s office and laboratory facilities and September 30, 2019 with respect to all other remaining shared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September 30, 2020 and December 31, 2019, property and equipment was comprised of the following (in thousands):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furniture and fixtures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192" w:lineRule="auto"/>
        <w:rPr>
          <w:sz w:val="20"/>
          <w:szCs w:val="20"/>
          <w:color w:val="auto"/>
        </w:rPr>
      </w:pPr>
      <w:r>
        <w:rPr>
          <w:rFonts w:ascii="Times New Roman" w:cs="Times New Roman" w:eastAsia="Times New Roman" w:hAnsi="Times New Roman"/>
          <w:sz w:val="18"/>
          <w:szCs w:val="18"/>
          <w:color w:val="auto"/>
        </w:rPr>
        <w:t xml:space="preserve">Right-of-use assets </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(unaudited)</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4,084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6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3,992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60" w:type="dxa"/>
            <w:vAlign w:val="bottom"/>
          </w:tcPr>
          <w:p>
            <w:pPr>
              <w:spacing w:after="0"/>
              <w:rPr>
                <w:sz w:val="20"/>
                <w:szCs w:val="20"/>
                <w:color w:val="auto"/>
              </w:rPr>
            </w:pPr>
          </w:p>
        </w:tc>
      </w:tr>
      <w:tr>
        <w:trPr>
          <w:trHeight w:val="255"/>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(6,090)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(4,591)</w:t>
            </w:r>
          </w:p>
        </w:tc>
      </w:tr>
      <w:tr>
        <w:trPr>
          <w:trHeight w:val="230"/>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-770890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-496570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-179070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7160" w:space="720"/>
            <w:col w:w="3360"/>
          </w:cols>
          <w:pgMar w:left="320" w:top="661" w:right="339" w:bottom="1440" w:gutter="0" w:footer="0" w:header="0"/>
          <w:type w:val="continuous"/>
        </w:sectPr>
      </w:pPr>
    </w:p>
    <w:p>
      <w:pPr>
        <w:ind w:left="340" w:hanging="332"/>
        <w:spacing w:after="0"/>
        <w:tabs>
          <w:tab w:leader="none" w:pos="3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Lineage adopted ASC 842 on January 1, 2019. For additional information on this standard and right-of-use assets and liabilities (see Notes 2 and 15).</w:t>
      </w:r>
    </w:p>
    <w:p>
      <w:pPr>
        <w:spacing w:after="0" w:line="197" w:lineRule="exact"/>
        <w:rPr>
          <w:rFonts w:ascii="Times New Roman" w:cs="Times New Roman" w:eastAsia="Times New Roman" w:hAnsi="Times New Roman"/>
          <w:sz w:val="29"/>
          <w:szCs w:val="29"/>
          <w:color w:val="auto"/>
          <w:vertAlign w:val="superscript"/>
        </w:rPr>
      </w:pPr>
    </w:p>
    <w:p>
      <w:pPr>
        <w:ind w:left="55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8" w:name="page19"/>
    <w:bookmarkEnd w:id="1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Property and equipment at September 30, 2020 and December 31, 2019 includes $80,000 and $96,000 in financing leases, respectively. In September 2020, Lineage terminated its leases in Alameda and entered into a new lease for a reduced amount of square footage. This resulted in a reduction to right-of-use assets of approximately $1.8 million. See additional information in Note 15.</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amounted to $200,000 and $253,000 for the three months ended September 30, 2020 and 2019, and $623,000 and $766,000 for the nine months ended September 30, 2020 and 2019, respectively. During the three and nine months ended September 30, 2020, Lineage sold equipment with net book values of $39,000 and $52,000, respectively, and recognized losses of $32,000 and $34,000, respectively. Additionally, Lineage sold non-capitalized assets for a net gain of $67,000. Both the gain and losses are included in research and development expenses on the statement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September 30, 2020 and December 31, 2019, goodwill and intangible assets, net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16"/>
        </w:trPr>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83"/>
        </w:trPr>
        <w:tc>
          <w:tcPr>
            <w:tcW w:w="56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9"/>
                <w:szCs w:val="29"/>
                <w:color w:val="auto"/>
                <w:vertAlign w:val="superscript"/>
              </w:rPr>
              <w:t>(1)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6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Acquired IPR&amp;D - OPC1 (from the Asterias Merger)</w:t>
            </w:r>
            <w:r>
              <w:rPr>
                <w:rFonts w:ascii="Times New Roman" w:cs="Times New Roman" w:eastAsia="Times New Roman" w:hAnsi="Times New Roman"/>
                <w:sz w:val="29"/>
                <w:szCs w:val="29"/>
                <w:color w:val="auto"/>
                <w:vertAlign w:val="superscript"/>
              </w:rPr>
              <w:t>(2)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31,700</w:t>
            </w:r>
          </w:p>
        </w:tc>
      </w:tr>
      <w:tr>
        <w:trPr>
          <w:trHeight w:val="257"/>
        </w:trPr>
        <w:tc>
          <w:tcPr>
            <w:tcW w:w="56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Acquired IPR&amp;D - VAC2 (from the Asterias Merger)</w:t>
            </w:r>
            <w:r>
              <w:rPr>
                <w:rFonts w:ascii="Times New Roman" w:cs="Times New Roman" w:eastAsia="Times New Roman" w:hAnsi="Times New Roman"/>
                <w:sz w:val="29"/>
                <w:szCs w:val="29"/>
                <w:color w:val="auto"/>
                <w:vertAlign w:val="superscript"/>
              </w:rPr>
              <w:t>(2)</w:t>
            </w:r>
          </w:p>
        </w:tc>
        <w:tc>
          <w:tcPr>
            <w:tcW w:w="1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patents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18,953</w:t>
            </w:r>
          </w:p>
        </w:tc>
      </w:tr>
      <w:tr>
        <w:trPr>
          <w:trHeight w:val="277"/>
        </w:trPr>
        <w:tc>
          <w:tcPr>
            <w:tcW w:w="56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Acquired royalty contracts</w:t>
            </w:r>
            <w:r>
              <w:rPr>
                <w:rFonts w:ascii="Times New Roman" w:cs="Times New Roman" w:eastAsia="Times New Roman" w:hAnsi="Times New Roman"/>
                <w:sz w:val="29"/>
                <w:szCs w:val="29"/>
                <w:color w:val="auto"/>
                <w:vertAlign w:val="superscript"/>
              </w:rPr>
              <w:t>(2)</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(17,895)</w:t>
            </w: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and liabilities assumed in the Asterias Merger (see Note 3).</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Note 3 for information on the Asterias Merger which was consummated on March 8, 2019.</w:t>
      </w:r>
    </w:p>
    <w:p>
      <w:pPr>
        <w:spacing w:after="0" w:line="198" w:lineRule="exact"/>
        <w:rPr>
          <w:sz w:val="20"/>
          <w:szCs w:val="20"/>
          <w:color w:val="auto"/>
        </w:rPr>
      </w:pPr>
    </w:p>
    <w:p>
      <w:pPr>
        <w:ind w:right="20" w:firstLine="495"/>
        <w:spacing w:after="0" w:line="282" w:lineRule="auto"/>
        <w:rPr>
          <w:sz w:val="20"/>
          <w:szCs w:val="20"/>
          <w:color w:val="auto"/>
        </w:rPr>
      </w:pPr>
      <w:r>
        <w:rPr>
          <w:rFonts w:ascii="Times New Roman" w:cs="Times New Roman" w:eastAsia="Times New Roman" w:hAnsi="Times New Roman"/>
          <w:sz w:val="18"/>
          <w:szCs w:val="18"/>
          <w:color w:val="auto"/>
        </w:rPr>
        <w:t>Amortization recognized in research and development expenses was $0.2 million and $0.5 million for the three months ended September 30, 2020 and 2019, and $1.0 million and $1.4 million for the nine months ended September 30,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Liabilities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September 30, 2020 and December 31, 2019, accounts payable and accrued liabilities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PPP loan payable</w:t>
            </w: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3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36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6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9" w:name="page20"/>
    <w:bookmarkEnd w:id="19"/>
    <w:p>
      <w:pPr>
        <w:jc w:val="both"/>
        <w:ind w:right="20" w:firstLine="495"/>
        <w:spacing w:after="0" w:line="282" w:lineRule="auto"/>
        <w:rPr>
          <w:sz w:val="20"/>
          <w:szCs w:val="20"/>
          <w:color w:val="auto"/>
        </w:rPr>
      </w:pPr>
      <w:r>
        <w:rPr>
          <w:rFonts w:ascii="Times New Roman" w:cs="Times New Roman" w:eastAsia="Times New Roman" w:hAnsi="Times New Roman"/>
          <w:sz w:val="18"/>
          <w:szCs w:val="18"/>
          <w:color w:val="auto"/>
        </w:rPr>
        <w:t>Accounts payable includes $0.6 million and accrued expenses includes $1.0 million for a total of $1.6 million (£1.25 million) related to the signature fee owed to Cancer Research UK, as described in Note 15.</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PPP Loan Payable</w:t>
      </w:r>
    </w:p>
    <w:p>
      <w:pPr>
        <w:spacing w:after="0" w:line="227"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8"/>
          <w:szCs w:val="18"/>
          <w:color w:val="auto"/>
        </w:rPr>
        <w:t>In April 2020, Lineage received a loan for $523,000 from Axos Bank under the PPP contained within the new Coronavirus Aid, Relief and Economic Security (“CARES”) Act. The PPP loan has a term of two years, is unsecured, and is guaranteed by the U.S. Small Business Administration (“SBA”). The loan carries a fixed interest rate of one percent per annum, with the first six months of interest deferred. Under the CARES Act and Paycheck Protection Program Flexibility Act, Lineage will be eligible to apply for forgiveness of all loan proceeds used to pay payroll costs, rent, utilities and other qualifying expenses during the 24-week period following receipt of the loan, provided that Lineage maintains its employment and compensation within certain parameters during such period. Not more than 40% of the forgiven amount may be for non-payroll costs. If the conditions outlined in the PPP loan program are adhered to by Lineage, all or part of such loan could be forgiven. Lineage believes that all or a substantial portion of the PPP loan is eligible for forgiveness within one year and classifies the loan as a short-term liability. However, Lineage cannot provide any assurance whether the PPP loan will ultimately be forgiven by the SBA. Any forgiven amounts will not be included in Lineage’s taxable income. Lineage applied for full forgiveness of the PPP loan on September 30, 2020.</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2019 Separation Payments</w:t>
      </w:r>
    </w:p>
    <w:p>
      <w:pPr>
        <w:spacing w:after="0" w:line="227"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In connection with the Asterias Merger, several Asterias employees were terminated as of the Asterias Merger date. Three of these employees had employment agreements with Asterias which entitled them to change in control and separation payments in the aggregate of $2.0 million, which such conditions were met on the Asterias Merger date. Accordingly, $2.0 million was accrued and recorded in general and administrative expenses on the merger date and paid in April 2019.</w:t>
      </w:r>
    </w:p>
    <w:p>
      <w:pPr>
        <w:spacing w:after="0" w:line="180"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 xml:space="preserve">Additionally, Lineage entered into a plan of termination with substantially all other previous employees of Asterias with potential separation payments in the aggregate of $0.5 million. Termination dates for these individuals ranged from May 31, 2019 to June 28, 2019. These employees were required to provide services related to the transition and be an employee of the combined company as of their date of termination in order to receive separation benefits. Since the employees were required to render future services after the merger date, Lineage recorded the aggregate liability ratably over their respective service periods from the Asterias Merger date through the above termination dates, in accordance with ASC 420, </w:t>
      </w:r>
      <w:r>
        <w:rPr>
          <w:rFonts w:ascii="Times New Roman" w:cs="Times New Roman" w:eastAsia="Times New Roman" w:hAnsi="Times New Roman"/>
          <w:sz w:val="18"/>
          <w:szCs w:val="18"/>
          <w:i w:val="1"/>
          <w:iCs w:val="1"/>
          <w:color w:val="auto"/>
        </w:rPr>
        <w:t>Exit or Disposal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All payments were completed by July 31, 2019.</w:t>
      </w:r>
    </w:p>
    <w:p>
      <w:pPr>
        <w:spacing w:after="0" w:line="187"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In connection with the relocation of Lineage’s corporate headquarters to Carlsbad, California, discussed in Note 15, Lineage entered into a plan of termination with certain Lineage employees with potential separation payments in the aggregate of $0.7 million. Termination dates for these individuals range from August 9, 2019 to September 30, 2019. These employees had to provide services related to the transition of services and activities in connection with the relocation and be an employee of Lineage as of their date of termination in order to receive separation benefits. Lineage recorded the aggregate liability ratably over their respective service periods from June 2019 through the above termination dates, in accordance with ASC 420. As of December 31, 2019, all separation payments had been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22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(ASC 820-10-50),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160" w:hanging="383"/>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jc w:val="both"/>
        <w:ind w:left="1160" w:hanging="383"/>
        <w:spacing w:after="0" w:line="266"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5" w:lineRule="exact"/>
        <w:rPr>
          <w:rFonts w:ascii="Times New Roman" w:cs="Times New Roman" w:eastAsia="Times New Roman" w:hAnsi="Times New Roman"/>
          <w:sz w:val="18"/>
          <w:szCs w:val="18"/>
          <w:color w:val="auto"/>
        </w:rPr>
      </w:pPr>
    </w:p>
    <w:p>
      <w:pPr>
        <w:ind w:left="1160" w:right="20" w:hanging="383"/>
        <w:spacing w:after="0" w:line="282"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that reflect management’s own assumptions about the assumptions market participants would make and significant to the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measure cash, cash equivalents, marketable securities and our liability classified warrants at fair value on a recurring basis. The fair values of such assets were as follows for September 30, 2020 and December 31, 2019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7"/>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6"/>
                <w:szCs w:val="16"/>
                <w:color w:val="auto"/>
              </w:rPr>
            </w:pPr>
          </w:p>
        </w:tc>
      </w:tr>
      <w:tr>
        <w:trPr>
          <w:trHeight w:val="216"/>
        </w:trPr>
        <w:tc>
          <w:tcPr>
            <w:tcW w:w="3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3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3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16"/>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32,565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32,565</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5,481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Lineage Warrants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Cell Cure Warrants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439"/>
        </w:trPr>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9"/>
          </w:tcPr>
          <w:p>
            <w:pPr>
              <w:ind w:left="124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r>
      <w:tr>
        <w:trPr>
          <w:trHeight w:val="194"/>
        </w:trPr>
        <w:tc>
          <w:tcPr>
            <w:tcW w:w="3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3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3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3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00" w:type="dxa"/>
            <w:vAlign w:val="bottom"/>
          </w:tcPr>
          <w:p>
            <w:pPr>
              <w:spacing w:after="0"/>
              <w:rPr>
                <w:sz w:val="21"/>
                <w:szCs w:val="21"/>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16"/>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9,497</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21,219</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21,219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Lineage Warrants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Cell Cure Warrants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not transferred any instruments between the three levels of the fair value hierarchy.</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determining fair value, Lineage utilizes valuation techniques that maximize the use of observable inputs and minimize the use of unobservable inputs to the extent possible, and also considers counterparty credit risk in its assessment of fair value.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Marketable securities include our positions in OncoCyte, AgeX and HBL. All of these securities have readily determinable fair values quoted on the NYSE American or TASE stock exchanges. These securities are measured at fair value and reported as current assets on the consolidated balance sheets based on the closing trading price of the security as of the date being presented.</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fair value of the Lineage Warrants is determined by using Black-Scholes option pricing models which take into consideration the probability of a fundamental transaction, as defined in the warrant agreement, the exercise price of the warrants and the contractual remaining term of the warrants. The Lineage Warrants have an expiration date of May 13, 2021. The Lineage Warrants are included in current liabilities on the condensed consolidated balance sheets. Changes in the fair value of the Lineage Warrants at each reporting period are included in the condensed consolidated statements of operations under unrealized gain on warrant liability. For the three and nine months ended September 30, 2020, Lineage recognized unrealized gains of $13,000 and $18,000 on the Lineage Warrants, respectively, which was primarily related to the reduction in the remaining life of the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fair value of the Cell Cure Warrants (defined below) is determined by using Black-Scholes option pricing models which take into consideration the fair value of the Cell Cure ordinary shares, adjusted for lack of marketability, as appropriate, the contractual remaining term of the warrants and the expected stock price volatility over the term. The Cell Cure Warrants are included in current (portion with terms expiring within the next twelve months) and long-term liabilities on the condensed consolidated balance sheets. Changes in the fair value of the Cell Cure Warrants at each reporting period are included in the condensed consolidated statements of operations under unrealized gain on warrant liability. For the three and nine months ended September 30, 2020, Lineage recognized unrealized gains of $41,000 and $66,000 on the Cell Cure Warrants, respectively, primarily related to the reduction in the remaining life of the warrants.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Lineage’s assets and liabilities, which qualify as financial instruments under FASB guidance regarding disclosures about fair value of financial instruments, approximate the carrying amounts presented in the accompanying consolidated balance sheets. The carrying amounts of accounts receivable, prepaid expenses and other current assets, accounts payable, accrued expenses and other current liabilities approximate fair values because of the short-term nature of these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Facilities and Service Agreements with Affiliates</w:t>
      </w:r>
    </w:p>
    <w:p>
      <w:pPr>
        <w:spacing w:after="0" w:line="227"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8"/>
          <w:szCs w:val="18"/>
          <w:color w:val="auto"/>
        </w:rPr>
        <w:t>Under the terms of Shared Facilities Agreements, Lineage allowed OncoCyte and AgeX to use Lineage’s premises and equipment located at Lineage’s headquarters in Alameda, California for the purpose of conducting business. Lineage also provided accounting, billing, bookkeeping, payroll, treasury, payment of accounts payable, and other similar administrative services to OncoCyte and AgeX. The Shared Facilities Agreements also allowed Lineage to provide the services of attorneys, accountants, and other professionals who may provide professional services to Lineage. Lineage also provided OncoCyte and AgeX with the services of laboratory and research personnel, including Lineage employees and contractors, for the performance of research and development work for OncoCyte and AgeX at the premises. Shared services with AgeX were terminated on July 31, 2019 with respect to the use of Lineage’s office and laboratory facilities and September 30, 2019 with respect to all other remaining shared services. Shared services with OncoCyte were terminated on September 30, 2019, and December 31, 2019 with respect to all other remaining shared services.</w:t>
      </w:r>
    </w:p>
    <w:p>
      <w:pPr>
        <w:spacing w:after="0" w:line="192"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Lineage charged OncoCyte and AgeX a “Use Fee” for services provided and for use of Lineage facilities, equipment, and supplies. For each billing period, Lineage prorated and allocated to OncoCyte and AgeX costs incurred, including costs for services of Lineage employees and use of equipment, insurance, leased space, professional services, software licenses, supplies and utilities. The allocation of costs depended on key cost drivers, including actual documented use, square footage of facilities used, time spent, costs incurred by Lineage for OncoCyte and AgeX, or upon proportionate usage by Lineage, OncoCyte and AgeX, as reasonably estimated by Lineage. Lineage, at its discretion, had the right to charge OncoCyte and AgeX a 5% markup on such allocated costs. The allocated cost of Lineage employees and contractors who provided services was based upon the number of hours or estimated percentage of efforts of such personnel devoted to the performance of services.</w:t>
      </w:r>
    </w:p>
    <w:p>
      <w:pPr>
        <w:spacing w:after="0" w:line="18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The Use Fee was determined and invoiced to OncoCyte and AgeX on a regular basis, generally monthly or quarterly. Each invoice was payable in full within 30 days after receipt. Any invoice, or portion thereof, not paid in full when due bore interest at the rate of 15% per annum until paid, unless the failure to make a payment was due to any inaction or delay in making a payment by Lineage. Lineage did not charge OncoCyte or AgeX any interest.</w:t>
      </w:r>
    </w:p>
    <w:p>
      <w:pPr>
        <w:spacing w:after="0" w:line="176"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In addition to the Use Fee, OncoCyte and AgeX reimbursed Lineage for any out of pocket costs incurred by Lineage for the purchase of office supplies, laboratory supplies, and other goods and materials and services for the account or use of OncoCyte or AgeX. Lineage was not obligated to purchase or acquire any office supplies or other goods and materials or any services for OncoCyte or AgeX, and if any such supplies, goods, materials or services were obtained, Lineage could arrange for the suppliers to invoice OncoCyte or AgeX directly.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The Use Fees charged to OncoCyte and AgeX were not reflected in revenues, but instead Lineage’s general and administrative expenses and research and development expenses were shown net of those charges in the condensed consolidated statements of operations.</w:t>
      </w:r>
    </w:p>
    <w:p>
      <w:pPr>
        <w:spacing w:after="0" w:line="162"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2019, Lineage charged Use Fees of $537,000 to OncoCyte and AgeX; $236,000 was offset against general and administrative expenses and $301,000 was offset against research and development expenses.</w:t>
      </w:r>
    </w:p>
    <w:p>
      <w:pPr>
        <w:spacing w:after="0" w:line="162"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Lineage charged Use Fees of $1,932,000 to OncoCyte and AgeX; $647,000 was offset against general and administrative expenses and $1,285,000 was offset against research and development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related party transactions</w:t>
      </w:r>
    </w:p>
    <w:p>
      <w:pPr>
        <w:spacing w:after="0" w:line="22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Lineage currently pays $5,050 per month for the use of approximately 900 square feet of office space in New York City, which is made available to Lineage on a month-by-month basis by one of its directors at an amount that approximates his cost (see Note 15). These payments are expected to cease in March 2021 when the office space lease expires.</w:t>
      </w:r>
    </w:p>
    <w:p>
      <w:pPr>
        <w:spacing w:after="0" w:line="176"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In April 2019, Lineage issued 251,835 common shares of Lineage to Broadwood Partners, L.P., an Asterias and Lineage shareholder, in exchange for the settlement of Asterias Warrants in connection with the Asterias Merger (see Note 3).</w:t>
      </w:r>
    </w:p>
    <w:p>
      <w:pPr>
        <w:spacing w:after="0" w:line="162"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In connection with the putative shareholder class action lawsuits filed in February 2019 and October 2019 challenging the Asterias Merger (see Note 15), Lineage has agreed to pay for the legal defense of Neal Bradsher, director, and Broadwood Partners, L.P., a shareholder of Lineage, and Broadwood Capital, Inc., which manages Broadwood Partners, L.P., all of which were named in the lawsuits. Through September 30, 2020, Lineage has incurred a total of $357,000 in legal expenses on behalf of the director, shareholder and the manager of the shareholder.</w:t>
      </w:r>
    </w:p>
    <w:p>
      <w:pPr>
        <w:spacing w:after="0" w:line="180" w:lineRule="exact"/>
        <w:rPr>
          <w:sz w:val="20"/>
          <w:szCs w:val="20"/>
          <w:color w:val="auto"/>
        </w:rPr>
      </w:pPr>
    </w:p>
    <w:p>
      <w:pPr>
        <w:jc w:val="both"/>
        <w:ind w:right="20" w:firstLine="495"/>
        <w:spacing w:after="0" w:line="282" w:lineRule="auto"/>
        <w:rPr>
          <w:sz w:val="20"/>
          <w:szCs w:val="20"/>
          <w:color w:val="auto"/>
        </w:rPr>
      </w:pPr>
      <w:r>
        <w:rPr>
          <w:rFonts w:ascii="Times New Roman" w:cs="Times New Roman" w:eastAsia="Times New Roman" w:hAnsi="Times New Roman"/>
          <w:sz w:val="18"/>
          <w:szCs w:val="18"/>
          <w:color w:val="auto"/>
        </w:rPr>
        <w:t>As part of financing transactions in which there were multiple other purchasers, Broadwood Partners, L.P. purchased 1,000,000 shares, 2,000,000 shares and 623,090 shares of OncoCyte common stock from Lineage in July 2019, September 2019 and January 2020, respectively.</w:t>
      </w:r>
    </w:p>
    <w:p>
      <w:pPr>
        <w:spacing w:after="0" w:line="158" w:lineRule="exact"/>
        <w:rPr>
          <w:sz w:val="20"/>
          <w:szCs w:val="20"/>
          <w:color w:val="auto"/>
        </w:rPr>
      </w:pPr>
    </w:p>
    <w:p>
      <w:pPr>
        <w:ind w:left="500" w:right="9340" w:hanging="492"/>
        <w:spacing w:after="0" w:line="532" w:lineRule="auto"/>
        <w:tabs>
          <w:tab w:leader="none" w:pos="265"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Shareholders’ Equity </w:t>
      </w:r>
      <w:r>
        <w:rPr>
          <w:rFonts w:ascii="Times New Roman" w:cs="Times New Roman" w:eastAsia="Times New Roman" w:hAnsi="Times New Roman"/>
          <w:sz w:val="17"/>
          <w:szCs w:val="17"/>
          <w:i w:val="1"/>
          <w:iCs w:val="1"/>
          <w:color w:val="auto"/>
        </w:rPr>
        <w:t>Preferred Shares</w:t>
      </w:r>
    </w:p>
    <w:p>
      <w:pPr>
        <w:spacing w:after="0" w:line="1"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Lineage is authorized to issue 2,000,000 preferred shares. The preferred shares may be issued in one or more series as our board of directors may determine by resolution. Our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Our board of directors may, by resolution, increase or decrease (but not below the number of shares of such series then outstanding) the number of shares of any series of preferred shares subsequent to the issue of shares of that series. There are no preferred shares issued and outstanding.</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227"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At September 30, 2020, Lineage was authorized to issue 250,000,000 common shares, no par value. As of September 30, 2020, and December 31, 2019, Lineage had 149,991,454 and 149,804,284 issued and outstanding common shares,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left="500"/>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May 1, 2020, Lineage entered into the Sales Agreement, pursuant to which Lineage may offer and sell, from time to time, through Cantor Fitzgerald, common shares of Lineage having an aggregate offering price of up to $25,000,000. Lineage is not obligated to sell any shares under the Sales Agreement. Subject to the terms and conditions of the Sales Agreement, Cantor Fitzgerald will use commercially reasonable efforts, consistent with its normal trading and sales practices, applicable state and federal law, rules and regulations, and the rules of the NYSE American, to sell the shares from time to time based upon Lineage’s instructions, including any price, time or size limits specified by Lineage. Under the Sales Agreement, Cantor Fitzgerald may sell the shares by any method deemed to be an “at-the-market” offering as defined in Rule 415(a)(4) under the Securities Act of 1933, as amended, or by any other method permitted by law, including in privately negotiated transactions. Cantor Fitzgerald’s obligations to sell the shares under the Sales Agreement are subject to satisfaction of certain conditions, including the continued effectiveness of Lineage’s Registration Statement on Form S-3 (File No. 333-237975), which was filed with the Commission on May 1, 2020 and was declared effective on May 8, 2020. The Sales Agreement replaced the previous sales agreement with Cantor that had been entered into in April 2017. As of September 30, 2020, no sales had been made under the Sales Agreement.</w:t>
      </w:r>
    </w:p>
    <w:p>
      <w:pPr>
        <w:spacing w:after="0" w:line="192"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Lineage agreed to pay Cantor Fitzgerald a commission of 3.0% of the aggregate gross proceeds from each sale of shares, reimburse legal fees and disbursements and provide Cantor Fitzgerald with customary indemnification and contribution rights. The Sales Agreement may be terminated by Cantor Fitzgerald or Lineage at any time upon notice to the other party, or by Cantor Fitzgerald at any time in certain circumstances, including the occurrence of a material and adverse change in Lineage’s business or financial condition that makes it impractical or inadvisable to market the shares or to enforce contracts for the sale of the shares.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Reconciliation of Changes in Shareholders’ Equity</w:t>
      </w:r>
    </w:p>
    <w:p>
      <w:pPr>
        <w:spacing w:after="0" w:line="227"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The following tables document the changes in shareholders’ equity for the three and nine months ended September 30, 2020 and 2019 (unaudited and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Shares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60" w:type="dxa"/>
            <w:vAlign w:val="bottom"/>
          </w:tcPr>
          <w:p>
            <w:pPr>
              <w:spacing w:after="0"/>
              <w:rPr>
                <w:sz w:val="18"/>
                <w:szCs w:val="18"/>
                <w:color w:val="auto"/>
              </w:rPr>
            </w:pPr>
          </w:p>
        </w:tc>
        <w:tc>
          <w:tcPr>
            <w:tcW w:w="15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8"/>
                <w:szCs w:val="18"/>
                <w:color w:val="auto"/>
              </w:rPr>
            </w:pPr>
          </w:p>
        </w:tc>
        <w:tc>
          <w:tcPr>
            <w:tcW w:w="108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0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25"/>
        </w:trPr>
        <w:tc>
          <w:tcPr>
            <w:tcW w:w="28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9"/>
                <w:szCs w:val="19"/>
                <w:color w:val="auto"/>
              </w:rPr>
            </w:pPr>
          </w:p>
        </w:tc>
        <w:tc>
          <w:tcPr>
            <w:tcW w:w="10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9"/>
                <w:szCs w:val="19"/>
                <w:color w:val="auto"/>
              </w:rPr>
            </w:pPr>
          </w:p>
        </w:tc>
        <w:tc>
          <w:tcPr>
            <w:tcW w:w="108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149,804</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$ 387,062</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(273,422)</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issued upon vesting of restricted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units, net of shares retired to pay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employees’ taxes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(8,399)</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(8,428)</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2020</w:t>
            </w: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149,818</w:t>
            </w:r>
          </w:p>
        </w:tc>
        <w:tc>
          <w:tcPr>
            <w:tcW w:w="2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$ 387,686</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(281,821)</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104,758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upon vesting of restricted</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units, net of shares retired to pay</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taxes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related fees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(1,120)</w:t>
            </w:r>
          </w:p>
        </w:tc>
        <w:tc>
          <w:tcPr>
            <w:tcW w:w="0" w:type="dxa"/>
            <w:vAlign w:val="bottom"/>
          </w:tcPr>
          <w:p>
            <w:pPr>
              <w:spacing w:after="0"/>
              <w:rPr>
                <w:sz w:val="1"/>
                <w:szCs w:val="1"/>
                <w:color w:val="auto"/>
              </w:rPr>
            </w:pPr>
          </w:p>
        </w:tc>
      </w:tr>
      <w:tr>
        <w:trPr>
          <w:trHeight w:val="23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(6,522)</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(6,530)</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2020</w:t>
            </w: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149,831</w:t>
            </w:r>
          </w:p>
        </w:tc>
        <w:tc>
          <w:tcPr>
            <w:tcW w:w="2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$ 388,271</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(288,343)</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97,693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upon vesting of restricted</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units, net of shares retired to pay</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taxes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issued for services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Dissolution of BioTime Asia</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679</w:t>
            </w:r>
          </w:p>
        </w:tc>
        <w:tc>
          <w:tcPr>
            <w:tcW w:w="18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related fees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(335)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3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(7,760)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(7,772)</w:t>
            </w:r>
          </w:p>
        </w:tc>
        <w:tc>
          <w:tcPr>
            <w:tcW w:w="0" w:type="dxa"/>
            <w:vAlign w:val="bottom"/>
          </w:tcPr>
          <w:p>
            <w:pPr>
              <w:spacing w:after="0"/>
              <w:rPr>
                <w:sz w:val="1"/>
                <w:szCs w:val="1"/>
                <w:color w:val="auto"/>
              </w:rPr>
            </w:pPr>
          </w:p>
        </w:tc>
      </w:tr>
      <w:tr>
        <w:trPr>
          <w:trHeight w:val="206"/>
        </w:trPr>
        <w:tc>
          <w:tcPr>
            <w:tcW w:w="2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2020</w:t>
            </w:r>
          </w:p>
        </w:tc>
        <w:tc>
          <w:tcPr>
            <w:tcW w:w="7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149,991</w:t>
            </w:r>
          </w:p>
        </w:tc>
        <w:tc>
          <w:tcPr>
            <w:tcW w:w="20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$ 388,190</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(296,103</w:t>
            </w:r>
          </w:p>
        </w:tc>
        <w:tc>
          <w:tcPr>
            <w:tcW w:w="20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20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20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90,184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860" w:type="dxa"/>
            <w:vAlign w:val="bottom"/>
          </w:tcPr>
          <w:p>
            <w:pPr>
              <w:spacing w:after="0"/>
              <w:rPr>
                <w:sz w:val="19"/>
                <w:szCs w:val="19"/>
                <w:color w:val="auto"/>
              </w:rPr>
            </w:pPr>
          </w:p>
        </w:tc>
        <w:tc>
          <w:tcPr>
            <w:tcW w:w="15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Preferred Shares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9"/>
                <w:szCs w:val="19"/>
                <w:color w:val="auto"/>
              </w:rPr>
            </w:pPr>
          </w:p>
        </w:tc>
        <w:tc>
          <w:tcPr>
            <w:tcW w:w="108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2860" w:type="dxa"/>
            <w:vAlign w:val="bottom"/>
          </w:tcPr>
          <w:p>
            <w:pPr>
              <w:spacing w:after="0"/>
              <w:rPr>
                <w:sz w:val="17"/>
                <w:szCs w:val="17"/>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0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25"/>
        </w:trPr>
        <w:tc>
          <w:tcPr>
            <w:tcW w:w="28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9"/>
                <w:szCs w:val="19"/>
                <w:color w:val="auto"/>
              </w:rPr>
            </w:pPr>
          </w:p>
        </w:tc>
        <w:tc>
          <w:tcPr>
            <w:tcW w:w="10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9"/>
                <w:szCs w:val="19"/>
                <w:color w:val="auto"/>
              </w:rPr>
            </w:pPr>
          </w:p>
        </w:tc>
        <w:tc>
          <w:tcPr>
            <w:tcW w:w="108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3"/>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127,136</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$ 354,270</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(261,856)</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9"/>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issued in connection with the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Asterias Merger</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24,696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retired in connection with the</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Asterias Merger</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(2,622)</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(3,435)</w:t>
            </w:r>
          </w:p>
        </w:tc>
      </w:tr>
      <w:tr>
        <w:trPr>
          <w:trHeight w:val="189"/>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issued upon vesting of restricted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units, net of shares retired to pay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employees’ taxes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r>
      <w:tr>
        <w:trPr>
          <w:trHeight w:val="20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9"/>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 for shares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issued upon vesting of Asterias restricted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units attributable to post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combination services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upon adoption of leasing</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standard</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(732)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(732)</w:t>
            </w:r>
          </w:p>
        </w:tc>
      </w:tr>
      <w:tr>
        <w:trPr>
          <w:trHeight w:val="23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INCOME/(LOSS)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39,310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0"/>
        </w:trPr>
        <w:tc>
          <w:tcPr>
            <w:tcW w:w="2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2019</w:t>
            </w: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149,388</w:t>
            </w:r>
          </w:p>
        </w:tc>
        <w:tc>
          <w:tcPr>
            <w:tcW w:w="2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$ 384,553</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(222,403)</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161,236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8"/>
        </w:trPr>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for settlement of Lineage</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9"/>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issued upon vesting of restricted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units, net of shares retired to pay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employees’ taxes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(487)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(487)</w:t>
            </w:r>
          </w:p>
        </w:tc>
      </w:tr>
      <w:tr>
        <w:trPr>
          <w:trHeight w:val="23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(30,032)</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(30,052)</w:t>
            </w:r>
          </w:p>
        </w:tc>
      </w:tr>
      <w:tr>
        <w:trPr>
          <w:trHeight w:val="200"/>
        </w:trPr>
        <w:tc>
          <w:tcPr>
            <w:tcW w:w="2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JUNE 30, 2019</w:t>
            </w: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149,643</w:t>
            </w:r>
          </w:p>
        </w:tc>
        <w:tc>
          <w:tcPr>
            <w:tcW w:w="2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$ 385,615</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(252,435)</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131,759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8"/>
        </w:trPr>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upon vesting of restricted</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units, net of shares retired to pay</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taxes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54</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through ATM</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(564)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(564)</w:t>
            </w:r>
          </w:p>
        </w:tc>
      </w:tr>
      <w:tr>
        <w:trPr>
          <w:trHeight w:val="23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(16,505)</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(16,515)</w:t>
            </w:r>
          </w:p>
        </w:tc>
      </w:tr>
      <w:tr>
        <w:trPr>
          <w:trHeight w:val="203"/>
        </w:trPr>
        <w:tc>
          <w:tcPr>
            <w:tcW w:w="2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7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149,790</w:t>
            </w:r>
          </w:p>
        </w:tc>
        <w:tc>
          <w:tcPr>
            <w:tcW w:w="20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$ 386,454</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(268,940</w:t>
            </w:r>
          </w:p>
        </w:tc>
        <w:tc>
          <w:tcPr>
            <w:tcW w:w="20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20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0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115,519</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Lineage (previously Asterias) Warrants - Liability Classified</w:t>
      </w:r>
    </w:p>
    <w:p>
      <w:pPr>
        <w:spacing w:after="0" w:line="227" w:lineRule="exact"/>
        <w:rPr>
          <w:sz w:val="20"/>
          <w:szCs w:val="20"/>
          <w:color w:val="auto"/>
        </w:rPr>
      </w:pPr>
    </w:p>
    <w:p>
      <w:pPr>
        <w:jc w:val="both"/>
        <w:ind w:firstLine="455"/>
        <w:spacing w:after="0" w:line="261" w:lineRule="auto"/>
        <w:rPr>
          <w:sz w:val="20"/>
          <w:szCs w:val="20"/>
          <w:color w:val="auto"/>
        </w:rPr>
      </w:pPr>
      <w:r>
        <w:rPr>
          <w:rFonts w:ascii="Times New Roman" w:cs="Times New Roman" w:eastAsia="Times New Roman" w:hAnsi="Times New Roman"/>
          <w:sz w:val="18"/>
          <w:szCs w:val="18"/>
          <w:color w:val="auto"/>
        </w:rPr>
        <w:t>In March 2019, in connection with the closing of the Asterias Merger, Lineage assumed outstanding Asterias Warrants. As of September 30, 2020, the total number of common shares of Lineage subject to warrants that were assumed by Lineage in connection with the Asterias Merger was 1,089,900, which were converted to Lineage Warrants 30 days after the closing of the Asterias Merger, with similar terms and conditions retained under the Lineage Warrants as per the original Warrant Agreements. The Lineage Warrants have an exercise price of $6.15 per warrant share and expire on May 13, 2021.</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Cell Cure Warrants - Liability Classified</w:t>
      </w:r>
    </w:p>
    <w:p>
      <w:pPr>
        <w:spacing w:after="0" w:line="227" w:lineRule="exact"/>
        <w:rPr>
          <w:sz w:val="20"/>
          <w:szCs w:val="20"/>
          <w:color w:val="auto"/>
        </w:rPr>
      </w:pPr>
    </w:p>
    <w:p>
      <w:pPr>
        <w:jc w:val="both"/>
        <w:ind w:firstLine="455"/>
        <w:spacing w:after="0" w:line="266" w:lineRule="auto"/>
        <w:rPr>
          <w:sz w:val="20"/>
          <w:szCs w:val="20"/>
          <w:color w:val="auto"/>
        </w:rPr>
      </w:pPr>
      <w:r>
        <w:rPr>
          <w:rFonts w:ascii="Times New Roman" w:cs="Times New Roman" w:eastAsia="Times New Roman" w:hAnsi="Times New Roman"/>
          <w:sz w:val="18"/>
          <w:szCs w:val="18"/>
          <w:color w:val="auto"/>
        </w:rPr>
        <w:t>Cell Cure has two sets of issued warrants (the “Cell Cure Warrants”). Warrants to purchase 24,566 Cell Cure ordinary shares at an exercise price of $40.5359 were issued to HBL in July 2017. These warrants expire in July 2022. Warrants to purchase 13,738 Cell Cure ordinary shares at exercise prices ranging from $32.02 to $40.00 per share have been issued to consultants. These warrants expire in October 2020 and January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 Awards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Effective November 8, 2019, Lineage adopted an amendment changing the name of the BioTime, Inc. 2012 Equity Incentive Plan to the Lineage Cell Therapeutics, Inc. 2012 Equity Incentive Plan (the “2012 Plan”). The 2012 Plan provides for the grant of stock options, restricted stock, restricted stock units (“RSUs”) and stock appreciation rights. As of December 31, 2019, a maximum of 24,000,000 common shares were available for grant under the 2012 Plan. Recipients of stock options are eligible to purchase common shares at an exercise price equal to the fair market value of such shares on the date of grant. The maximum term of options granted under the 2012 Plan is 10 years. Stock options generally vest over a four-year period based on continuous service; however, the 2012 Plan allows for other vesting periods. Upon the expiration of the restrictions applicable to an RSU, Lineage will either issue to the recipient, without charge, one common share per RSU or cash in an amount equal to the fair market value of one common share. RSUs granted from the 2012 Plan reduce the shares available for grant by two shares for each RSU granted.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4" w:right="339" w:bottom="555" w:gutter="0" w:footer="0" w:header="0"/>
        </w:sectPr>
      </w:pPr>
    </w:p>
    <w:bookmarkStart w:id="25" w:name="page26"/>
    <w:bookmarkEnd w:id="25"/>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summary of Lineage’s 2012 Plan activity and other stock option awards granted outside of the 2012 Plan related information is as follows (in thousands,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28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Options</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RSUs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45"/>
        </w:trPr>
        <w:tc>
          <w:tcPr>
            <w:tcW w:w="4280" w:type="dxa"/>
            <w:vAlign w:val="bottom"/>
          </w:tcPr>
          <w:p>
            <w:pPr>
              <w:spacing w:after="0"/>
              <w:rPr>
                <w:sz w:val="21"/>
                <w:szCs w:val="21"/>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Grant</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(5,256)</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5,256</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expired/forfeited/cancelled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3,756</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(3,756)</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r>
        <w:trPr>
          <w:trHeight w:val="257"/>
        </w:trPr>
        <w:tc>
          <w:tcPr>
            <w:tcW w:w="42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340" w:type="dxa"/>
            <w:vAlign w:val="bottom"/>
            <w:tcBorders>
              <w:top w:val="single" w:sz="8" w:color="CCEEFF"/>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16,210</w:t>
            </w:r>
          </w:p>
        </w:tc>
        <w:tc>
          <w:tcPr>
            <w:tcW w:w="340" w:type="dxa"/>
            <w:vAlign w:val="bottom"/>
            <w:tcBorders>
              <w:top w:val="single" w:sz="8" w:color="CCEEFF"/>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bottom w:val="single" w:sz="8" w:color="CCEEFF"/>
            </w:tcBorders>
          </w:tcPr>
          <w:p>
            <w:pPr>
              <w:spacing w:after="0"/>
              <w:rPr>
                <w:sz w:val="22"/>
                <w:szCs w:val="22"/>
                <w:color w:val="auto"/>
              </w:rPr>
            </w:pPr>
          </w:p>
        </w:tc>
      </w:tr>
      <w:tr>
        <w:trPr>
          <w:trHeight w:val="223"/>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September 30, 2020</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8,352</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At the effective time of the Asterias Merger, Lineage assumed sponsorship of the Asterias 2013 Equity Incentive Plan (the “Asterias Equity Plan”), with references to Asterias and Asterias common stock therein to be deemed references to Lineage and Lineage common shares. There were 7,309,184 shares available under the Asterias Equity Plan immediately before the closing of the Asterias Merger, which became 5,189,520 shares immediately following the Asterias Merger. The shares available under the Asterias Equity Plan will be for awards granted to those former Asterias employees who continued as Lineage employees upon consummation of the Asterias Merger.</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activity under the Asterias Equity Plan is as follows (in thousands, except per share amounts):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5"/>
              </w:rPr>
              <w:t>Available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for Grant</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3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September 30, 2020</w:t>
            </w: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a Black-Scholes option pricing model applying the weighted-average assumptions noted in the following table:</w:t>
      </w:r>
    </w:p>
    <w:p>
      <w:pPr>
        <w:spacing w:after="0" w:line="158"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September 30,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CCEEFF"/>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CEEFF"/>
            </w:tcBorders>
          </w:tcPr>
          <w:p>
            <w:pPr>
              <w:spacing w:after="0"/>
              <w:rPr>
                <w:sz w:val="21"/>
                <w:szCs w:val="2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CEEFF"/>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67.7%</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r>
      <w:tr>
        <w:trPr>
          <w:trHeight w:val="23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Operating expenses include stock-based compensation expense as follows (in thousands):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3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(unaudited)</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 (unaudited)</w:t>
            </w:r>
          </w:p>
        </w:tc>
      </w:tr>
      <w:tr>
        <w:trPr>
          <w:trHeight w:val="237"/>
        </w:trPr>
        <w:tc>
          <w:tcPr>
            <w:tcW w:w="36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8"/>
                <w:szCs w:val="18"/>
                <w:color w:val="auto"/>
              </w:rPr>
            </w:pP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375</w:t>
            </w:r>
          </w:p>
        </w:tc>
        <w:tc>
          <w:tcPr>
            <w:tcW w:w="106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624</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1,390</w:t>
            </w: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w:t>
            </w:r>
          </w:p>
        </w:tc>
      </w:tr>
      <w:tr>
        <w:trPr>
          <w:trHeight w:val="23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501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25</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6" w:name="page27"/>
    <w:bookmarkEnd w:id="26"/>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The expense related to 84,940 shares of Asterias restricted stock unit awards that immediately vested on the closing of the Asterias Merger and converted into the right to receive common shares of Lineage based on the Merger Exchange Ratio, resulting in 60,304 common shares of Lineage issued on March 8, 2019, was included in stock-based compensation expense for the nine months ended September 30, 2019. The expense was not included as part of the purchase price of the Asterias Merger because these awards were principally attributable to post-combination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 xml:space="preserve">The provision for income taxes for interim periods is generally determined using an estimated annual effective tax rate as prescribed by ASC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The effective tax rate may be subject to fluctuations during the year as new information is obtained, which may affect the assumptions used to estimate the annual effective tax rate, including factors such as valuation allowances and changes in valuation allowances against deferred tax assets, the recognition or de-recognition of tax benefits related to uncertain tax positions, if any, and changes in or the interpretation of tax laws in jurisdictions where Lineage conducts business. ASC 740-270 also states that if an entity is unable to reliably estimate some or a part of its ordinary income or loss, the income tax provision or benefit applicable to the item that cannot be estimated shall be reported in the interim period in which the item is reported.</w:t>
      </w:r>
    </w:p>
    <w:p>
      <w:pPr>
        <w:spacing w:after="0" w:line="189"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For items that Lineage cannot reliably estimate on an annual basis (principally unrealized gains or losses generated by changes in the market prices of the OncoCyte, and AgeX shares of common stock Lineage holds, and prior to March 8, 2019, Asterias shares Lineage held), Lineage uses the actual year to date effective tax rate rather than an estimated annual effective tax rate to determine the tax effect of each item, including the use of all available net operating losses and other credits or deferred tax assets.</w:t>
      </w:r>
    </w:p>
    <w:p>
      <w:pPr>
        <w:spacing w:after="0" w:line="180"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8"/>
          <w:szCs w:val="18"/>
          <w:color w:val="auto"/>
        </w:rPr>
        <w:t>The market value of the shares of OncoCyte common stock Lineage holds creates a deferred tax liability to Lineage based on the closing prices of the shares, less Lineage’s tax basis in the shares. The deferred tax liability generated by the OncoCyte shares that Lineage holds as of September 30, 2020, is a source of future taxable income to Lineage, as prescribed by ASC 740-10-30-17, that will more likely than not result in the realization of its deferred tax assets to the extent of the deferred tax liability. This deferred tax liability is determined based on the closing prices of the OncoCyte shares as of September 30, 2020. Due to the inherent unpredictability of future prices of those shares, Lineage cannot reliably estimate or project those deferred tax liabilities on an annual basis. Therefore, the deferred tax liability pertaining to OncoCyte shares, determined based on the actual closing prices on the last stock market trading day of the applicable accounting period, and the related impacts to the valuation allowance and deferred tax asset changes, are recorded in the accounting period in which they occur.</w:t>
      </w:r>
    </w:p>
    <w:p>
      <w:pPr>
        <w:spacing w:after="0" w:line="192"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Prior to the Asterias Merger discussed in Note 3, the Asterias shares Lineage held generated similar deferred tax liabilities to Lineage as the OncoCyte shares discussed above. As of the Asterias Merger date and due to Asterias becoming a wholly owned subsidiary of Lineage, the Asterias deferred tax liabilities were eliminated with a corresponding adjustment to Lineage’s valuation allowance, resulting in no tax provision or benefit from this adjustment.</w:t>
      </w:r>
    </w:p>
    <w:p>
      <w:pPr>
        <w:spacing w:after="0" w:line="180"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8"/>
          <w:szCs w:val="18"/>
          <w:color w:val="auto"/>
        </w:rPr>
        <w:t>In connection with the Asterias Merger, a deferred tax liability of $10.8 million was recorded as part of the acquisition accounting (see Note 3). The deferred tax liability (“DTL”) is related to fair value adjustments for the assets and liabilities acquired in the Asterias Merger, principally consisting of IPR&amp;D. This estimate of deferred taxes was determined based on the excess of the estimated fair values of the acquired assets and liabilities over the tax basis of the assets and liabilities acquired. The statutory tax rate was applied, as appropriate, to the adjustment based on the jurisdiction in which the adjustment is expected to occur. Because the IPR&amp;D (prior to completion or abandonment of the R&amp;D) is considered an indefinite-lived asset for accounting purposes, the fair value of the IPR&amp;D on the acquisition date creates a deferred income tax liability in accordance with ASC 740. This DTL is computed using the fair value of the IPR&amp;D assets on the acquisition date multiplied by Lineage’s respective federal and state income tax rates. While this DTL would reverse on impairment or sale or commencement of amortization of the related intangible assets, those events are not anticipated under ASC 740 for purposes of predicting reversal of a temporary difference to support the realization of deferred tax assets, except for certain deferred tax assets and credit carryforwards that are also indefinite in nature as of the Asterias Merger date, which may be considered for reversal under ASC 740 as further discussed below.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some portion of the deferred tax assets will not be realized. Lineage established a full valuation allowance as of December 31, 2018 due to the uncertainty of realizing future tax benefits from its net operating loss carryforwards and other deferred tax assets, including foreign net operating losses generated by its subsidiaries. During the year ended December 31, 2019, a portion of the valuation allowance was released as it relates to Lineage’s indefinite lived assets that can be used against the indefinite lived liabilities. The amount of the valuation allowance released was $7.4 million; as new indefinite lived deferred tax assets are generated, we will continue to book provision benefits until the deferred tax liability position is exhausted, barring any new developments.</w:t>
      </w:r>
    </w:p>
    <w:p>
      <w:pPr>
        <w:spacing w:after="0" w:line="187" w:lineRule="exact"/>
        <w:rPr>
          <w:sz w:val="20"/>
          <w:szCs w:val="20"/>
          <w:color w:val="auto"/>
        </w:rPr>
      </w:pPr>
    </w:p>
    <w:p>
      <w:pPr>
        <w:jc w:val="both"/>
        <w:ind w:right="20" w:firstLine="49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2019, Lineage recorded a $1.0 million and $6.6 million valuation allowance release and corresponding benefit for income taxes.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and nine months ended September 30, 2020, Lineage recorded a $0.2 million deferred tax benefit for 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Supplemental Cash Flow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disclosure of cash flow information for the nine months ended September 30, 2020 and 2019 is as follows (in thousands):</w:t>
      </w:r>
    </w:p>
    <w:p>
      <w:pPr>
        <w:spacing w:after="0" w:line="22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September 30,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period for interest</w:t>
            </w: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shares for the Asterias Merger (Note 3)</w:t>
            </w:r>
          </w:p>
        </w:tc>
        <w:tc>
          <w:tcPr>
            <w:tcW w:w="24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32,353</w:t>
            </w:r>
          </w:p>
        </w:tc>
      </w:tr>
      <w:tr>
        <w:trPr>
          <w:trHeight w:val="216"/>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Assumption of liabilities in the Asterias Merger (Note 3)</w:t>
            </w: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Assumptions of warrants in the Asterias Merger (Note 3)</w:t>
            </w: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shares for settlement of Lineage Warrants</w:t>
            </w: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Carlsbad Lease</w:t>
      </w:r>
    </w:p>
    <w:p>
      <w:pPr>
        <w:spacing w:after="0" w:line="227"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In May 2019, Lineage entered into a lease for approximately 8,841 square feet of rentable space in an office park in Carlsbad, California (the “Carlsbad Lease”). The term of the Carlsbad Lease commenced on August 1, 2019 and expires on October 31, 2022.</w:t>
      </w:r>
    </w:p>
    <w:p>
      <w:pPr>
        <w:spacing w:after="0" w:line="162"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Base rent under the Carlsbad Lease beginning on August 1, 2019 is $17,850 per month and will increase by 3% annually on every August 1 thereafter during the lease term. Base rent for the first twenty-four months of the lease is based upon a deemed rentable area of 7,000 square feet. Base rent was abated for months two through five of the lease.</w:t>
      </w:r>
    </w:p>
    <w:p>
      <w:pPr>
        <w:spacing w:after="0" w:line="176"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In addition to base rent, Lineage will pay a pro rata portion of increases in certain expenses, including real property taxes, utilities (to the extent not separately metered to the leased space) and the landlord’s operating expenses, over the amounts of those expenses incurred by the landlord. As security for the performance of its obligations under the Carlsbad Lease, Lineage provided the landlord with a security deposit of $17,850.</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Alameda Leases and Alameda Sublease</w:t>
      </w:r>
    </w:p>
    <w:p>
      <w:pPr>
        <w:spacing w:after="0" w:line="227"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In December 2015, Lineage entered into leases of office and laboratory space located in two buildings in Alameda, California (the “Alameda Leases”) comprised of 22,303 square feet (the “1010 Atlantic Premises”) and 8,492 square feet (the “1020 Atlantic Premises”). Base rent under the Alameda Leases beginning on February 1, 2020 was $72,676 per month with annual increases of approximately 3%. In addition to base rent, Lineage paid a pro rata portion of increases in certain expenses, including real property taxes, utilities (to the extent not separately metered to the leased space) and the landlord’s operating expenses, over the amounts of those expenses incurred by the landlord. As security for its obligations, Lineage provided the landlord with a security deposit of approximately $424,000, which was reduced to $78,000 on January 24, 2019 in accordance with the terms of the lease. The security deposit amount is considered restricted cash and is included in deposits and other long-term assets as of September 30, 2020 (See Note 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In April 2020, Lineage entered into a sublease with Industrial Microbes, Inc. (“Industrial Microbes”) for the use of 10,000 square feet in the 1010 Atlantic Premises (the “Industrial Microbes Sublease”). Base rent under the Industrial Microbes Sublease was $28,000 per month with annual increases of approximately 3%. Base rent for the first month was abated. In addition to base rent and utilities, Industrial Microbes paid a pro-rata portion of increases in operating expenses, after an abatement period of one year.</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September 11, 2020, Lineage entered into a Lease Termination Agreement with the landlord terminating the Alameda Leases effective as of August 31, 2020 for the 1020 Atlantic Premises and September 30, 2020 for the 1010 Atlantic Premises. In consideration for the termination of the leases, Lineage paid a termination fee of $130,000 and other amounts due under the terms of the Alameda Leases through the applicable effective termination dates, except that no rent was due with respect to the 1020 Atlantic Premises after July 31, 2020. Lineage’s security deposit is expected to be returned to Lineage by January 2021. Lineage paid a separate termination fee of $30,000 to Industrial Microbes in connection with the termination of the Industrial Microbes Sublease and returned the $56,000 security deposit paid by Industrial Microbes. For the period of sublease from mid-April 2020 through September 2020, Lineage received $119,000 in rental income from Industrial Microbes.</w:t>
      </w:r>
    </w:p>
    <w:p>
      <w:pPr>
        <w:spacing w:after="0" w:line="189"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Lineage will continue to occupy approximately 2,432 square feet of the 1010 Atlantic Premises under a new sublease agreement (the “Alameda Sublease”). The term of the Alameda Sublease is from October 1, 2020 through January 31, 2023. Base rent under the Alameda Sublease is $14,592 per month with annual increases of 3% each October 1 thereafter during the lease term. Base rent for the first month was abated. Lineage paid a security deposit of $16,000 under the Alameda Sublease; this amount is considered restricted cash and is included in deposits and other long-term assets as of September 30, 2020 (see Note 2).</w:t>
      </w:r>
    </w:p>
    <w:p>
      <w:pPr>
        <w:spacing w:after="0" w:line="183"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Based on the smaller footprint, and after taking into consideration the fees disclosed above, Lineage has reduced its contractual obligations by approximately $780,000 over the remaining life of the original leases through January 31, 2023.</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New York Leased Office Space</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Lineage currently pays $5,050 per month for the use of approximately 900 square feet of office space in New York City, which is made available to Lineage for use in conducting meetings and other business affairs, on a month-by-month basis, by one of its directors at an amount that approximates his cost. This lease is not in the scope of ASC 842 because it is a month to month lease (see Note 2).</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Cell Cure Leases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Cell Cure leases 728.5 square meters (approximately 7,842 square feet) of office and laboratory space in Jerusalem, Israel under a lease that expires December 31, 2020, with two options to extend the lease for five years each (the “Original Cell Cure Lease”). Negotiations are currently ongoing for a lease extension. Base monthly rent is NIS 37,882 (approximately US $11,000 per month using the December 31, 2018 exchange rate). In addition to base rent, Cell Cure pays a pro-rata share of real property taxes and certain costs related to the operation and maintenance of the building in which the leased premises are located.</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28, 2018, Cell Cure entered into another lease agreement for an additional 934 square meters (approximately 10,054 square feet) of office space in the same facility in Jerusalem, Israel under a lease that expires on December 31, 2025, with two options to extend the lease for five years each (the “January 2018 Lease”). The January 2018 Lease commenced on April 1, 2018 and included a leasehold improvement construction allowance of up to NIS 4,000,000 (approximately up to US $1.1 million using the December 31, 2018 exchange rate) from the landlord. The leasehold improvements were completed in December 2018 and the entire allowance was used. Beginning on January 1, 2019, combined base rent and construction allowance payments for the January 2018 Lease are NIS 93,827 per month (approximately $26,000 per month).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firstLine="486"/>
        <w:spacing w:after="0" w:line="282" w:lineRule="auto"/>
        <w:rPr>
          <w:sz w:val="20"/>
          <w:szCs w:val="20"/>
          <w:color w:val="auto"/>
        </w:rPr>
      </w:pPr>
      <w:r>
        <w:rPr>
          <w:rFonts w:ascii="Times New Roman" w:cs="Times New Roman" w:eastAsia="Times New Roman" w:hAnsi="Times New Roman"/>
          <w:sz w:val="18"/>
          <w:szCs w:val="18"/>
          <w:color w:val="auto"/>
        </w:rPr>
        <w:t>In December 2018, Cell Cure made a $388,000 deposit required under the January 2018 Lease, which amount is included in deposits and other long-term assets on the consolidated balance sheet as of December 31, 2018, to be held as restricted cash during the term of the January 2018 Lease.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below table provides supplemental cash flow information related to leases as follows (in thousands):</w:t>
      </w:r>
    </w:p>
    <w:p>
      <w:pPr>
        <w:spacing w:after="0" w:line="22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1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leases</w:t>
            </w: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 except lease term and discount rate):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56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83"/>
        </w:trPr>
        <w:tc>
          <w:tcPr>
            <w:tcW w:w="580" w:type="dxa"/>
            <w:vAlign w:val="bottom"/>
          </w:tcPr>
          <w:p>
            <w:pPr>
              <w:spacing w:after="0"/>
              <w:rPr>
                <w:sz w:val="24"/>
                <w:szCs w:val="24"/>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4,666</w:t>
            </w:r>
          </w:p>
        </w:tc>
        <w:tc>
          <w:tcPr>
            <w:tcW w:w="560" w:type="dxa"/>
            <w:vAlign w:val="bottom"/>
          </w:tcPr>
          <w:p>
            <w:pPr>
              <w:spacing w:after="0"/>
              <w:rPr>
                <w:sz w:val="24"/>
                <w:szCs w:val="24"/>
                <w:color w:val="auto"/>
              </w:rPr>
            </w:pPr>
          </w:p>
        </w:tc>
      </w:tr>
      <w:tr>
        <w:trPr>
          <w:trHeight w:val="197"/>
        </w:trPr>
        <w:tc>
          <w:tcPr>
            <w:tcW w:w="58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lease liabilities, current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w:t>
            </w: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lease liabilities, noncurrent</w:t>
            </w:r>
          </w:p>
        </w:tc>
        <w:tc>
          <w:tcPr>
            <w:tcW w:w="1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3,868</w:t>
            </w:r>
          </w:p>
        </w:tc>
        <w:tc>
          <w:tcPr>
            <w:tcW w:w="56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402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7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2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60" w:type="dxa"/>
            <w:vAlign w:val="bottom"/>
            <w:tcBorders>
              <w:top w:val="single" w:sz="8" w:color="CCEEFF"/>
              <w:bottom w:val="single" w:sz="8" w:color="CCEEFF"/>
            </w:tcBorders>
          </w:tcPr>
          <w:p>
            <w:pPr>
              <w:spacing w:after="0"/>
              <w:rPr>
                <w:sz w:val="22"/>
                <w:szCs w:val="22"/>
                <w:color w:val="auto"/>
              </w:rPr>
            </w:pPr>
          </w:p>
        </w:tc>
        <w:tc>
          <w:tcPr>
            <w:tcW w:w="560" w:type="dxa"/>
            <w:vAlign w:val="bottom"/>
          </w:tcPr>
          <w:p>
            <w:pPr>
              <w:spacing w:after="0"/>
              <w:rPr>
                <w:sz w:val="22"/>
                <w:szCs w:val="22"/>
                <w:color w:val="auto"/>
              </w:rPr>
            </w:pPr>
          </w:p>
        </w:tc>
      </w:tr>
      <w:tr>
        <w:trPr>
          <w:trHeight w:val="197"/>
        </w:trPr>
        <w:tc>
          <w:tcPr>
            <w:tcW w:w="580" w:type="dxa"/>
            <w:vAlign w:val="bottom"/>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leases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56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 years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Future minimum lease commitments are as follows as of September 30, 2020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16"/>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jc w:val="center"/>
              <w:ind w:right="3710"/>
              <w:spacing w:after="0"/>
              <w:rPr>
                <w:sz w:val="20"/>
                <w:szCs w:val="20"/>
                <w:color w:val="auto"/>
              </w:rPr>
            </w:pPr>
            <w:r>
              <w:rPr>
                <w:rFonts w:ascii="Times New Roman" w:cs="Times New Roman" w:eastAsia="Times New Roman" w:hAnsi="Times New Roman"/>
                <w:sz w:val="18"/>
                <w:szCs w:val="18"/>
                <w:color w:val="auto"/>
                <w:w w:val="99"/>
              </w:rPr>
              <w:t>2020</w:t>
            </w:r>
          </w:p>
        </w:tc>
        <w:tc>
          <w:tcPr>
            <w:tcW w:w="2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520" w:type="dxa"/>
            <w:vAlign w:val="bottom"/>
            <w:shd w:val="clear" w:color="auto" w:fill="CCEEFF"/>
          </w:tcPr>
          <w:p>
            <w:pPr>
              <w:jc w:val="center"/>
              <w:ind w:right="3710"/>
              <w:spacing w:after="0"/>
              <w:rPr>
                <w:sz w:val="20"/>
                <w:szCs w:val="20"/>
                <w:color w:val="auto"/>
              </w:rPr>
            </w:pPr>
            <w:r>
              <w:rPr>
                <w:rFonts w:ascii="Times New Roman" w:cs="Times New Roman" w:eastAsia="Times New Roman" w:hAnsi="Times New Roman"/>
                <w:sz w:val="18"/>
                <w:szCs w:val="18"/>
                <w:color w:val="auto"/>
                <w:w w:val="99"/>
              </w:rPr>
              <w:t>2021</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520" w:type="dxa"/>
            <w:vAlign w:val="bottom"/>
          </w:tcPr>
          <w:p>
            <w:pPr>
              <w:jc w:val="center"/>
              <w:ind w:right="3710"/>
              <w:spacing w:after="0"/>
              <w:rPr>
                <w:sz w:val="20"/>
                <w:szCs w:val="20"/>
                <w:color w:val="auto"/>
              </w:rPr>
            </w:pPr>
            <w:r>
              <w:rPr>
                <w:rFonts w:ascii="Times New Roman" w:cs="Times New Roman" w:eastAsia="Times New Roman" w:hAnsi="Times New Roman"/>
                <w:sz w:val="18"/>
                <w:szCs w:val="18"/>
                <w:color w:val="auto"/>
                <w:w w:val="99"/>
              </w:rPr>
              <w:t>2022</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520" w:type="dxa"/>
            <w:vAlign w:val="bottom"/>
            <w:shd w:val="clear" w:color="auto" w:fill="CCEEFF"/>
          </w:tcPr>
          <w:p>
            <w:pPr>
              <w:jc w:val="center"/>
              <w:ind w:right="3710"/>
              <w:spacing w:after="0"/>
              <w:rPr>
                <w:sz w:val="20"/>
                <w:szCs w:val="20"/>
                <w:color w:val="auto"/>
              </w:rPr>
            </w:pPr>
            <w:r>
              <w:rPr>
                <w:rFonts w:ascii="Times New Roman" w:cs="Times New Roman" w:eastAsia="Times New Roman" w:hAnsi="Times New Roman"/>
                <w:sz w:val="18"/>
                <w:szCs w:val="18"/>
                <w:color w:val="auto"/>
                <w:w w:val="99"/>
              </w:rPr>
              <w:t>2023</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520" w:type="dxa"/>
            <w:vAlign w:val="bottom"/>
          </w:tcPr>
          <w:p>
            <w:pPr>
              <w:jc w:val="center"/>
              <w:ind w:right="3710"/>
              <w:spacing w:after="0"/>
              <w:rPr>
                <w:sz w:val="20"/>
                <w:szCs w:val="20"/>
                <w:color w:val="auto"/>
              </w:rPr>
            </w:pPr>
            <w:r>
              <w:rPr>
                <w:rFonts w:ascii="Times New Roman" w:cs="Times New Roman" w:eastAsia="Times New Roman" w:hAnsi="Times New Roman"/>
                <w:sz w:val="18"/>
                <w:szCs w:val="18"/>
                <w:color w:val="auto"/>
                <w:w w:val="99"/>
              </w:rPr>
              <w:t>2024</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520" w:type="dxa"/>
            <w:vAlign w:val="bottom"/>
            <w:shd w:val="clear" w:color="auto" w:fill="CCEEFF"/>
          </w:tcPr>
          <w:p>
            <w:pPr>
              <w:jc w:val="center"/>
              <w:ind w:right="3670"/>
              <w:spacing w:after="0"/>
              <w:rPr>
                <w:sz w:val="20"/>
                <w:szCs w:val="20"/>
                <w:color w:val="auto"/>
              </w:rPr>
            </w:pPr>
            <w:r>
              <w:rPr>
                <w:rFonts w:ascii="Times New Roman" w:cs="Times New Roman" w:eastAsia="Times New Roman" w:hAnsi="Times New Roman"/>
                <w:sz w:val="18"/>
                <w:szCs w:val="18"/>
                <w:color w:val="auto"/>
              </w:rPr>
              <w:t>Thereafter</w:t>
            </w:r>
          </w:p>
        </w:tc>
        <w:tc>
          <w:tcPr>
            <w:tcW w:w="2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2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2,824</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Alameda Sublease is not included in the table above as it does not commence until October 1, 2020. Future minimum payments under the Alameda Sublease are as follows: $29,000, $176,000, $182,000 and $16,000 for the years ended December 31, 2020, 2021, 2022 and 2023, respectively.</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Option Agreement</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January 5, 2019, Lineage and Orbit Biomedical Limited (“Orbit”) entered into a Research and Option Agreement, which was assigned by Orbit to Gyroscope Therapeutics, Limited (“Gyroscope”) and amended on May 7, 2019, January 30, 2020, May 1, 2020 and September 4, 2020 (the “Gyroscope Agreement”). As amended, the Gyroscope Agreement provides Lineage access to Gyroscope’s vitrectomy-free subretinal injection device (the “Orbit Device”) as a means of delivering OpRegen in Lineage’s ongoing Phase 1/2a clinical trial through the earlier of: (i) December 1, 2020; or (ii) or treatment of three additional patients with the Orbit Device between September 4, 2020 and December 1, 2020 (the “Access Period”). Pursuant to the terms of the Gyroscope Agreement, Lineage paid access fees totaling $2.5 million: (i) $1.25 million in January 2019 upon execution of the Gyroscope Agreement; and</w:t>
      </w:r>
    </w:p>
    <w:p>
      <w:pPr>
        <w:spacing w:after="0" w:line="5" w:lineRule="exact"/>
        <w:rPr>
          <w:sz w:val="20"/>
          <w:szCs w:val="20"/>
          <w:color w:val="auto"/>
        </w:rPr>
      </w:pPr>
    </w:p>
    <w:p>
      <w:pPr>
        <w:jc w:val="both"/>
        <w:ind w:firstLine="8"/>
        <w:spacing w:after="0" w:line="252"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million in August 2019 upon completion of certain collaborative research activities using the Gyroscope technology for the OpRegen Phase 1/2a clinical trial. These access fees of $2.5 million were amortized on a straight-line basis throughout 2019 and included in research and development expenses. Lineage also agreed to reimburse Gyroscope for costs of consumables, training services, travel costs and other out of pocket expenses incurred by Gyroscope for performing services under the Gyroscope Agreement. In January 2020, Lineage agreed to pay an additional $0.5 million to extend the Access Period to July 5, 2020, $0.2 million of which was paid on January 30, 2020 and $0.3 million of which will be paid in November 2020. The Access Period was subsequently extended at no cost as described above.</w:t>
      </w:r>
    </w:p>
    <w:p>
      <w:pPr>
        <w:spacing w:after="0" w:line="19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Lineage has exclusive rights to the Gyroscope technology and its injection device for the delivery of retinal pigment epithelium cells for the treatment of dry AMD during the term of the Gyroscope Agreement.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Lineage is subject to various claims and contingencies in the ordinary course of its business, including those related to litigation, business transactions, employee-related matters, and others. When Lineage is aware of a claim or potential claim, it assesses the likelihood of any loss or exposure. If it is probable that a loss will result and the amount of the loss can be reasonably estimated, Lineage will record a liability for the loss. If the loss is not probable or the amount of the loss cannot be reasonably estimated, Lineage will disclose the claim if the likelihood of a potential loss is reasonably possible and the amount involved could be material. Lineage is not aware of any claims likely to have a material adverse effect on its financial condition or results of operations.</w:t>
      </w:r>
    </w:p>
    <w:p>
      <w:pPr>
        <w:spacing w:after="0" w:line="1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On February 19, 2019, a putative shareholder class action lawsuit was filed (captioned </w:t>
      </w:r>
      <w:r>
        <w:rPr>
          <w:rFonts w:ascii="Times New Roman" w:cs="Times New Roman" w:eastAsia="Times New Roman" w:hAnsi="Times New Roman"/>
          <w:sz w:val="18"/>
          <w:szCs w:val="18"/>
          <w:i w:val="1"/>
          <w:iCs w:val="1"/>
          <w:color w:val="auto"/>
        </w:rPr>
        <w:t>Lampe v. Asterias Biotherapeutics, Inc. et al</w:t>
      </w:r>
      <w:r>
        <w:rPr>
          <w:rFonts w:ascii="Times New Roman" w:cs="Times New Roman" w:eastAsia="Times New Roman" w:hAnsi="Times New Roman"/>
          <w:sz w:val="18"/>
          <w:szCs w:val="18"/>
          <w:color w:val="auto"/>
        </w:rPr>
        <w:t>., Case No. RG19007391) in the Superior Court of the State of California, County of Alameda challenging the Asterias Merger. On March 1, 2019, Asterias made certain amendments and supplements to its public disclosures regarding the Asterias Merger (the “Supplemental Disclosures”). On May 3, 2019, an amended class action complaint (the “Amended Complaint”) was filed. The Amended Complaint named Lineage, Patrick Merger Sub, Inc., the Asterias board of directors, one member of Lineage’s board of directors, and certain stockholders of both Lineage and Asterias. The action was brought by two purported stockholders of Asterias, on behalf of a putative class of Asterias stockholders, and asserted breach of fiduciary duty and aiding and abetting claims under Delaware law. The Amended Complaint alleged, among other things, that the process leading up to the Asterias Merger was conflicted and inadequate, and that the proxy statement filed by Asterias with the Commission omitted certain material information, which allegedly rendered the information disclosed materially misleading. The Amended Complaint sought, among other things, that a class be certified, the recovery of monetary damages, and attorneys’ fees and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3, 2019, defendants filed demurrers to the Amended Complaint. On August 13, 2019, the parties submitted a stipulation to the court seeking dismissal of the action with prejudice as to the named Plaintiffs and without prejudice as to the unnamed putative class members, and disclosing to the court the parties’ agreement to resolve, for $200,000, Plaintiffs’ claim for an award of attorneys’ fees and expenses in connection with the purported benefit conferred on Asterias stockholders by the Supplemental Disclosures. The court granted the stipulation and dismissed the action August 14, 2019. Lineage continues to believe that the claims and allegations in the action lack merit, but believed that it was in Lineage’s shareholders’ best interest for the action to be dismissed and to resolve the fee claim in a timely manner without additional costly litigation expenses.</w:t>
      </w:r>
    </w:p>
    <w:p>
      <w:pPr>
        <w:spacing w:after="0" w:line="18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On October 15, 2019, another putative class action lawsuit was filed challenging the Asterias Merger. This action (captioned </w:t>
      </w:r>
      <w:r>
        <w:rPr>
          <w:rFonts w:ascii="Times New Roman" w:cs="Times New Roman" w:eastAsia="Times New Roman" w:hAnsi="Times New Roman"/>
          <w:sz w:val="18"/>
          <w:szCs w:val="18"/>
          <w:i w:val="1"/>
          <w:iCs w:val="1"/>
          <w:color w:val="auto"/>
        </w:rPr>
        <w:t>Ross v. Lineage Cell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et al.</w:t>
      </w:r>
      <w:r>
        <w:rPr>
          <w:rFonts w:ascii="Times New Roman" w:cs="Times New Roman" w:eastAsia="Times New Roman" w:hAnsi="Times New Roman"/>
          <w:sz w:val="18"/>
          <w:szCs w:val="18"/>
          <w:color w:val="auto"/>
        </w:rPr>
        <w:t>, C.A. No. 2019-0822) was filed in Delaware Chancery Court and names Lineage, the Asterias board of directors, one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Lineage’s board of directors, and certain stockholders of both Lineage and Asterias as defendants. The action was brought by a purported stockholder of Asterias, on behalf of a putative class of Asterias stockholders, and asserts breach of fiduciary duty and aiding and abetting claims under Delaware law. The complaint alleges, among other things, that the process leading up to the Asterias Merger was conflicted, that the Asterias Merger consideration was inadequate, and that the proxy statement filed by Asterias with the Commission omitted certain material information, which allegedly rendered the information disclosed materially misleading. The complaint seeks, among other things, that a class be certified, the recovery of monetary damages, and attorneys’ fees and costs. On December 20, 2019, the defendants moved to dismiss the complaint. On February 10, 2020, the plaintiff filed an opposition. Defendants filed their replies on March 13, 2020. On June 23, 2020, a hearing on the motions to dismiss occurred. On September 21, 2020, the Chancery Court denied the motion to dismiss as to Lineage and certain members of the Asterias board of directors, and it granted the motion to dismiss as to all other defendants. On October 30, 2020, the remaining defendants filed an answer to the complaint.</w:t>
      </w:r>
    </w:p>
    <w:p>
      <w:pPr>
        <w:spacing w:after="0" w:line="1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Lineage believes the allegations in the action lack merit and intends to vigorously defend the claims asserted. It is impossible at this time to assess whether the outcome of this proceeding will have a material adverse effect on Lineage’s consolidated results of operations, cash flows or financial position. Therefore,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Lineage has not recorded any accrual for a contingent liability associated with this legal proceeding based on its belief that a liability, while possible, is not probable nor estimable, and any range of potential contingent liability amounts cannot be reasonably estimated at this time. Lineage records legal expenses as incurred.</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Employment contracts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Lineage has entered into employment agreements with certain executive officers. Under the provisions of the agreements, Lineage may be required to incur severance obligations for matters relating to changes in control, as defined in the agreements, and involuntary terminations.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Lineage may provide indemnifications of varying scope under Lineage’s agreements with other companies or consultants, typically Lineage’s clinical research organizations, investigators, clinical sites, suppliers and others. Pursuant to these agreements, Lineage will generally agree to indemnify, hold harmless, and reimburse the indemnified parties for losses and expenses suffered or incurred by the indemnified parties arising from claims of third parties in connection with the use or testing of Lineage’s products and services. Indemnification provisions could also cover third party infringement claims with respect to patent rights, copyrights, or other intellectual property pertaining to Lineage products and services. The term of these indemnification agreements will generally continue in effect after the termination or expiration of the particular research, development, services, or license agreement to which they relate. The potential future payments Lineage could be required to make under these indemnification agreements will generally not be subject to any specified maximum amount. Historically, Lineage has not been subject to any claims or demands for indemnification. Lineage also maintains various liability insurance policies that provide Lineage with insurance against claims or demands for indemnification in specified circumstances. As a result, Lineage believes the fair value of these indemnification agreements is minimal. Accordingly, Lineage has not recorded any liabilities for these agreements as September 30, 2020 and December 31, 2019.</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ind w:left="500"/>
        <w:spacing w:after="0"/>
        <w:rPr>
          <w:sz w:val="20"/>
          <w:szCs w:val="20"/>
          <w:color w:val="auto"/>
        </w:rPr>
      </w:pPr>
      <w:r>
        <w:rPr>
          <w:rFonts w:ascii="Times New Roman" w:cs="Times New Roman" w:eastAsia="Times New Roman" w:hAnsi="Times New Roman"/>
          <w:sz w:val="18"/>
          <w:szCs w:val="18"/>
          <w:i w:val="1"/>
          <w:iCs w:val="1"/>
          <w:color w:val="auto"/>
        </w:rPr>
        <w:t>Second Amendment to Clinical Trial and Option Agreement and License Agreement with Cancer Research UK</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May 6, 2020, Lineage and its wholly owned subsidiary Asterias entered into a Second Amendment to Clinical Trial and Option Agreement (the “CTOA Amendment”) with Cancer Research UK (“CRUK”) and Cancer Research Technology Limited (“CRT”), which amends the Clinical Trial and Option Agreement entered into between Asterias, CRUK and CRT dated September 8, 2014, as amended September 8, 2014. Pursuant to the CTOA Amendment, Lineage assumed all obligations of Asterias and exercised early its option to acquire data generated in the Phase 1 clinical trial of VAC2 in non-small cell lung cancer being conducted by CRUK. CRUK will continue conducting the VAC2 study.</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Lineage and CRT effectuated the option by simultaneously entering into a license agreement (the “License Agreement”) pursuant to which Lineage agreed to pay the previously agreed signature fee of £1,250,000 (approximately $1.6 million). In consideration of Lineage’s agreement to exercise the option prior to completion of the study, the parties agreed to defer the signature fee as follows: £500,000 in September 2020, £500,000 in January 2021 and £250,000 in April 2021. For the primary licensed product for the first indication, the License Agreement provides for milestone fees of up to £8,000,000 based upon initiation of a Phase 3 clinical trial and the filing for regulatory approval and up to £22,500,000 in sales-based milestones payments. Additional milestone fees and sales-based milestone payments would be payable for other products or indications, and mid-single-digit royalty payments are payable on sales of commercial products.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Either party may terminate the License Agreement for the uncured material breach of the other party. CRT may terminate the License Agreement in the case of Lineage’s insolvency or if Lineage ceases all development and commercialization of all products under the License Agreement.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Second Amended and Restated License Agreement</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June 15, 2017, Cell Cure entered into a Second Amended and Restated License Agreement (the “License Agreement”) with Hadasit Medical Research Services and Development Ltd. (“Hadasit”), the commercial arm and a wholly owned subsidiary of Hadassah Medical Organization. Pursuant to the License Agreement, Hadasit granted Cell Cure an exclusive, worldwide, royalty bearing license (with the right to grant sublicenses) in its intellectual property portfolio of materials and technology related to human stem cell derived photoreceptor cells and retinal pigment epithelial cells (the “Licensed IP”), to use, commercialize and exploit any part thereof, in any manner whatsoever in the fields of the development and exploitation of: (i) human stem cell derived photoreceptor cells, solely for use in cell therapy for the diagnosis, amelioration, prevention and treatment of eye disorders; and (ii) human stem cell derived retinal pigment epithelial cells, solely for use in cell therapy for the diagnosis, amelioration, prevention and treatment of eye disorders.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consideration for the Licensed IP, Cell Cure will pay a small one-time lump sum payment, a royalty in the mid-single digits of net sales from sales of Licensed IP by any invoicing entity, and a royalty of 21.5% of sublicensing receipts. In addition, Cell Cure will pay Hadasit an annual minimal non-refundable royalty, which will become due and payable the first January 1 following the completion of services to Cell Cure by a research laboratory.</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Cell Cure will pay Hadasit non-refundable milestone payments upon the recruitment of the first patient for the first Phase 2b clinical trial, upon the enrollment of the first patient in the first Phase 3 clinical trials, upon delivery of the report for the first Phase 3 clinical trials, upon the receipt of an NDA or marketing approval in the European Union, whichever is the first to occur, and upon the first commercial sale in the United States or European Union, whichever is the first to occur. Such milestones, in the aggregate, may be up to $3.5 million. As of September 30, 2020, Cell Cure had not accrued any milestone payments under the License Agreement.</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License Agreement terminates upon the expiration of Cell Cure’s obligation to pay royalties for all licensed products, unless earlier terminated. In addition to customary termination rights of both parties, Hadasit may terminate the License Agreement if Cell Cure fails to continue the clinical development of the Licensed IP or fails to take actions to commercialize or sell the Licensed IP over any consecutive 12 month period. The License Agreement also contains mutual confidentiality obligations of Cell Cure and Hadasit, and indemnification obligations of Cell Cure.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3" w:name="page34"/>
    <w:bookmarkEnd w:id="33"/>
    <w:p>
      <w:pPr>
        <w:ind w:left="500"/>
        <w:spacing w:after="0"/>
        <w:rPr>
          <w:sz w:val="20"/>
          <w:szCs w:val="20"/>
          <w:color w:val="auto"/>
        </w:rPr>
      </w:pPr>
      <w:r>
        <w:rPr>
          <w:rFonts w:ascii="Times New Roman" w:cs="Times New Roman" w:eastAsia="Times New Roman" w:hAnsi="Times New Roman"/>
          <w:sz w:val="18"/>
          <w:szCs w:val="18"/>
          <w:i w:val="1"/>
          <w:iCs w:val="1"/>
          <w:color w:val="auto"/>
        </w:rPr>
        <w:t>Royalty obligations and license fees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Lineage and its subsidiaries or affiliates are parties to certain licensing agreements with research institutions, universities and other parties for the rights to use those licenses and other intellectual property in conducting research and development activities. These licensing agreements provide for the payment of royalties by Lineage or the applicable party to the agreement on future product sales, if any. In addition, in order to maintain these licenses and other rights during the product development, Lineage or the applicable party to the contract must comply with various conditions including the payment of patent related costs and annual minimum maintenance fees. Annual minimum maintenance fees are expected to be approximately $30,000 to $60,000 per year.</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Grants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grant agreement between Cell Cure and Israel Innovation Authority (“IIA”) (formerly the Office of the Chief Scientist of Israel) of the Ministry of Economy and Industry, for the development of OpRegen, Cell Cure will be required to pay royalties on future product sales, if any, up to the amounts received from the IIA, plus interest indexed to LIBOR. Cell Cure’s research and product development activities under the grant are subject to substantial risks and uncertainties and performed on a best efforts basis. As a result, Cell Cure is not required to make any payments under the grant agreement unless it successfully commercializes OpRegen. Accordingly, pursuant to ASC 730-20, the grant is considered a contract to perform research and development services for others and grant revenue is recognized as the related research and development expenses are incurred (see Note 2).</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Israeli law pertaining to such government grants contain various conditions, including substantial penalties and restrictions on the transfer of intellectual property, or the manufacture, or both, of products developed under the grant outside of Israel, as defined by the IIA.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of Hadasit Marketable Equity Securities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October 2020, Lineage sold 315,000 shares of its Hadasit common stock for gross proceeds of approximately $831,000.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8"/>
          <w:szCs w:val="18"/>
          <w:i w:val="1"/>
          <w:iCs w:val="1"/>
          <w:color w:val="auto"/>
        </w:rPr>
        <w:t>The matters addressed in this Item 2 that are not historical information constitute “forward-looking statements” within the meaning of Section 27A of the Securities Act of 1933, as amended, and Section 21E of the Securities Exchange Act of 1934, including statements about any of the following: any projections of earnings, revenue, gross profit, cash, effective tax rate, use of net operating losses, or any other financial items; the plans, strategies and objectives of management for future operations or prospects for achieving such plans; and any statements of assumptions underlying any of the foregoing. Any statements contained herein that are not statements of historical fact may be deemed to be forward-looking statements. Without limiting the foregoing, the words “believes,” “anticipates,” “plans,” “expects,” “seeks,” “estimates,” and similar expressions are intended to identify forward-looking statements. While Lineage may elect to update forward-looking statements in the future, it specifically disclaims any obligation to do so, even if Lineage’s estimates change, and readers should not rely on those forward-looking statements as representing Lineage’s views as of any date subsequent to the date of the filing of this Report. Although we believe that the expectations reflected in these forward-looking statements are reasonable, such statements are inherently subject to risks and Lineage can give no assurances that its expectations will prove to be correct. Actual results could differ materially from those described in this Report because of numerous factors, many of which are beyond the control of Lineage. A number of important factors could cause the results of the Company to differ materially from those indicated by such forward-looking statements, including those detailed in Part II, Item IA, “Risk Factors” of this Report and in Part I, Item 1A, “Risk Factors” in our most recent Annual Report on Form 10-K filed with the U.S. Securities and Exchange Commission (the “Commission”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March 12, 2020.</w:t>
      </w:r>
    </w:p>
    <w:p>
      <w:pPr>
        <w:spacing w:after="0" w:line="187"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Lineage condensed consolidated interim financial statements and the related notes provided under “Item 1 - Financial Statements”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Business Overview</w:t>
      </w:r>
    </w:p>
    <w:p>
      <w:pPr>
        <w:spacing w:after="0" w:line="22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Lineage is a clinical-stage biotechnology company developing novel cell therapies for unmet medical needs. Our focus is to develop therapies for degenerative retinal diseases, neurological conditions associated with demyelination, and aiding the body in detecting and combating cancer. Specifically, Lineage is testing therapies to treat dry age-related macular degeneration, spinal cord injuries, and non-small cell lung cancer. Lineage’s programs are based on our proprietary cell-based therapy platform and associated development and manufacturing capabilities. From this platform, Lineage develops and manufactures specialized, terminally or partially differentiated human cells from established and well-characterized pluripotent cell lines. These differentiated cells are transplanted into a patient either to replace or support cells that are dysfunctional or absent due to degenerative disease or traumatic injury, or are administered as a means of helping the body mount an effective immune response to cancer.</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three allogeneic, or “off-the-shelf,” cell therapy programs in clinical development:</w:t>
      </w:r>
    </w:p>
    <w:p>
      <w:pPr>
        <w:spacing w:after="0" w:line="229" w:lineRule="exact"/>
        <w:rPr>
          <w:sz w:val="20"/>
          <w:szCs w:val="20"/>
          <w:color w:val="auto"/>
        </w:rPr>
      </w:pPr>
    </w:p>
    <w:p>
      <w:pPr>
        <w:jc w:val="both"/>
        <w:ind w:left="1300" w:hanging="320"/>
        <w:spacing w:after="0" w:line="213" w:lineRule="auto"/>
        <w:tabs>
          <w:tab w:leader="none" w:pos="1300"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OpRegen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 retinal pigment epithelium cell replacement therapy currently in a Phase 1/2a multicenter clinical trial for the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dry age-related macular degeneration (“AMD”) with geographic atrophy. There currently are no therapies approved by the U.S. Food and Drug Administration (“FDA”) for dry AMD, which accounts for approximately 85-90% of all AMD cases and is the leading cause of blindness in people over the age of 60.</w:t>
      </w:r>
    </w:p>
    <w:p>
      <w:pPr>
        <w:spacing w:after="0" w:line="196" w:lineRule="exact"/>
        <w:rPr>
          <w:rFonts w:ascii="Times New Roman" w:cs="Times New Roman" w:eastAsia="Times New Roman" w:hAnsi="Times New Roman"/>
          <w:sz w:val="36"/>
          <w:szCs w:val="36"/>
          <w:color w:val="auto"/>
          <w:vertAlign w:val="superscript"/>
        </w:rPr>
      </w:pPr>
    </w:p>
    <w:p>
      <w:pPr>
        <w:ind w:left="1300" w:hanging="320"/>
        <w:spacing w:after="0" w:line="284"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OPC1</w:t>
      </w:r>
      <w:r>
        <w:rPr>
          <w:rFonts w:ascii="Times New Roman" w:cs="Times New Roman" w:eastAsia="Times New Roman" w:hAnsi="Times New Roman"/>
          <w:sz w:val="18"/>
          <w:szCs w:val="18"/>
          <w:color w:val="auto"/>
        </w:rPr>
        <w:t>, an oligodendrocyte progenitor cell therapy currently in a Phase 1/2a multicenter clinical trial for acute spinal cord injuries.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has been partially funded by the California Institute for Regenerative Medicine.</w:t>
      </w:r>
    </w:p>
    <w:p>
      <w:pPr>
        <w:spacing w:after="0" w:line="158"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VAC2</w:t>
      </w:r>
      <w:r>
        <w:rPr>
          <w:rFonts w:ascii="Times New Roman" w:cs="Times New Roman" w:eastAsia="Times New Roman" w:hAnsi="Times New Roman"/>
          <w:sz w:val="18"/>
          <w:szCs w:val="18"/>
          <w:color w:val="auto"/>
        </w:rPr>
        <w:t>, an allogeneic (non-patient-specific or “off-the-shelf”) cancer immunotherapy of antigen-presenting dendritic cells currently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1 clinical trial in non-small cell lung cancer. This clinical trial is being funded and conducted by Cancer Research UK, the world’s largest independent cancer research charity.</w:t>
      </w:r>
    </w:p>
    <w:p>
      <w:pPr>
        <w:spacing w:after="0" w:line="175" w:lineRule="exact"/>
        <w:rPr>
          <w:sz w:val="20"/>
          <w:szCs w:val="20"/>
          <w:color w:val="auto"/>
        </w:rPr>
      </w:pPr>
    </w:p>
    <w:p>
      <w:pPr>
        <w:jc w:val="both"/>
        <w:ind w:firstLine="495"/>
        <w:spacing w:after="0" w:line="226" w:lineRule="auto"/>
        <w:rPr>
          <w:sz w:val="20"/>
          <w:szCs w:val="20"/>
          <w:color w:val="auto"/>
        </w:rPr>
      </w:pPr>
      <w:r>
        <w:rPr>
          <w:rFonts w:ascii="Times New Roman" w:cs="Times New Roman" w:eastAsia="Times New Roman" w:hAnsi="Times New Roman"/>
          <w:sz w:val="18"/>
          <w:szCs w:val="18"/>
          <w:color w:val="auto"/>
        </w:rPr>
        <w:t>Lineage also is seeking to create value from additional assets, such as from patents or non-clinical candidates, including seeking to identify a commercialization or development partner for Renevia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Renevia is a proprietary three-dimensional scaffold designed to support adipose tissue transplants that was granted a Conformité Européenne (“CE”) Mark in September 2019.</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We completed our merger (the “Asterias Merger”) with Asterias Biotherapeutics, Inc. (“Asterias”) on March 8, 2019, which incorporated OPC1 and VAC2 into our cell therapy product portfolio.</w:t>
      </w:r>
    </w:p>
    <w:p>
      <w:pPr>
        <w:spacing w:after="0" w:line="16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addition to seeking to create value for shareholders by developing product candidates and other technologies through our clinical development programs, we also seek to create value from our technologies through partnering and strategic transactions. We founded two companies that later became publicly traded companies: OncoCyte Corporation (“OncoCyte”) and AgeX Therapeutics, Inc. (“AgeX”). We no longer hold any common stock in AgeX. The value of our OncoCyte holdings as of November 3, 2020, was approximately $5.6 million, based on the closing price of their common stock on that date. In this Report, see Part II, Item 1A, “Risk Factors—Risks Related to Our Business Operations and Capital Requirements—The value of our investments in public companies fluctuates based on their respective stock prices and could be negatively affected by poor business performance.”</w:t>
      </w:r>
    </w:p>
    <w:p>
      <w:pPr>
        <w:spacing w:after="0" w:line="187"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Though our principal focus is on advancing our three cell therapy programs in clinical development, we may seek to create additional value through corporate transactions, as we have in the past. Our securities holdings also may be a significant source of capital to fund our operations as an alternative to issuing additional Lineage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discusses and analyzes data in our unaudited Condensed Consolidated Interim Financial Statements, which we have prepared in accordance with GAAP. Preparation of these financial statements requires management to make estimates and assumptions that affect the reported amounts of assets, liabilities, revenue and expenses, and related disclosure of contingent assets and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Senior management has discussed the development, selection and disclosure of these estimates with the Audit Committee of our board of directors. Actual conditions may differ from our assumptions and actual results may differ from our estimates.</w:t>
      </w:r>
    </w:p>
    <w:p>
      <w:pPr>
        <w:spacing w:after="0" w:line="189"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An accounting policy is deemed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Management believes that there have been no significant changes to the items that we disclosed as our critical accounting policies and estimates in Management’s Discussion and Analysis of Financial Condition and Results of Operations in our Annual Report on Form 10-K for the year ended December 31, 2019, except as follows: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 xml:space="preserve">We account for business combinations, such as the Asterias Merger completed in March 2019,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which requires the purchase price to be measured at fair value. When the purchase consideration consists entirely of our common shares, we calculate the purchase price by determining the fair value, as of the acquisition date, of shares issued in connection with the closing of the acquisition. We recognize estimated fair values of the tangible assets and intangible assets acquired, including in-process research and development (“IPR&amp;D”), and liabilities assumed as of the acquisition date, and we record as goodwill any amount of the fair value of the tangible and intangible assets acquired and liabilities assumed in excess of the purchase price.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Goodwill and IPR&amp;D</w:t>
      </w:r>
    </w:p>
    <w:p>
      <w:pPr>
        <w:spacing w:after="0" w:line="227" w:lineRule="exact"/>
        <w:rPr>
          <w:sz w:val="20"/>
          <w:szCs w:val="20"/>
          <w:color w:val="auto"/>
        </w:rPr>
      </w:pPr>
    </w:p>
    <w:p>
      <w:pPr>
        <w:jc w:val="both"/>
        <w:ind w:firstLine="535"/>
        <w:spacing w:after="0" w:line="266" w:lineRule="auto"/>
        <w:rPr>
          <w:sz w:val="20"/>
          <w:szCs w:val="20"/>
          <w:color w:val="auto"/>
        </w:rPr>
      </w:pPr>
      <w:r>
        <w:rPr>
          <w:rFonts w:ascii="Times New Roman" w:cs="Times New Roman" w:eastAsia="Times New Roman" w:hAnsi="Times New Roman"/>
          <w:sz w:val="18"/>
          <w:szCs w:val="18"/>
          <w:color w:val="auto"/>
        </w:rPr>
        <w:t>Goodwill is calculated as the difference between the acquisition date fair value of the consideration transferred and the values assigned to the assets acquired and liabilities assumed. Goodwill is not amortized but is tested for impairment at least annually, or more frequently if circumstances indicate potential impairment.</w:t>
      </w:r>
    </w:p>
    <w:p>
      <w:pPr>
        <w:spacing w:after="0" w:line="176"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 xml:space="preserve">IPR&amp;D assets are indefinite-lived intangible assets until the completion or abandonment of the associated research and development (“R&amp;D”) efforts. Once the R&amp;D efforts are completed or abandoned, the IPR&amp;D will either be amortized over the asset life as a finite-lived intangible asset or be impaired, respectively,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In accordance with ASC 350, goodwill and acquired IPR&amp;D are determined to have indefinite lives and, therefore, are not amortized. Instead, they are tested for impairment at least annually and between annual tests if we become aware of an event or a change in circumstances that would indicate the asset may be impaired.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ind w:left="50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5"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determine if an arrangement is a lease at inception. Leases are classified as either financing or operating, with classification affecting the pattern of expense recognition in the consolidated statements of operations. Under the available practical expedients for the adoption of ASC 842, we account for the lease and non-lease components as a single lease component. We recognize right-of-use (“ROU”) assets and lease liabilities for leases with terms greater than twelve months in the condensed consolidated balance sheet.</w:t>
      </w:r>
    </w:p>
    <w:p>
      <w:pPr>
        <w:spacing w:after="0" w:line="182"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during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18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Operating leases are included as right-of-use assets in property and equipment, and ROU lease liabilities, current and long-term, in the condensed consolidated balance sheets. Financing leases are included in property and equipment, and in financing lease liabilities, current and long-term, in the condensed consolidated balance sheets.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Going Concern Assessment</w:t>
      </w:r>
    </w:p>
    <w:p>
      <w:pPr>
        <w:spacing w:after="0" w:line="225" w:lineRule="exact"/>
        <w:rPr>
          <w:sz w:val="20"/>
          <w:szCs w:val="20"/>
          <w:color w:val="auto"/>
        </w:rPr>
      </w:pPr>
    </w:p>
    <w:p>
      <w:pPr>
        <w:jc w:val="both"/>
        <w:ind w:firstLine="443"/>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2014-15,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we assess going concern uncertainty in our consolidated financial statements to determine if we have sufficient cash and cash equivalents on hand and working capital to operate for a period of at least one year from the date our consolidated financial statements are issued or are available to be issued, which is referred to as the “look-forward period” as defined by ASU No. 2014-15. As part of this assessment, based on conditions that are known and reasonably knowable to us, we will consider various scenarios, forecasts, projections, and estimates, and we will make certain key assumptions, including the timing and nature of projected cash expenditures or programs, and our ability to delay or curtail those expenditures or programs, if necessary, among other factors. Based on this assessment, as necessary or applicable, we make certain assumptions concerning our ability to curtail or delay research and development programs and expenditures to the extent we deem probable those implementations can be achieved and we have the proper authority to execute them within the look-forward period in accordance with ASU 2014-15.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Comparison of Three and Nine Months Ended September 30, 2020 and 2019</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Revenues and Cost of Sales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amounts in the tables below show our consolidated revenues, by source, and cost of sales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60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8"/>
                <w:szCs w:val="18"/>
                <w:color w:val="auto"/>
              </w:rPr>
            </w:pPr>
          </w:p>
        </w:tc>
      </w:tr>
      <w:tr>
        <w:trPr>
          <w:trHeight w:val="245"/>
        </w:trPr>
        <w:tc>
          <w:tcPr>
            <w:tcW w:w="4700" w:type="dxa"/>
            <w:vAlign w:val="bottom"/>
          </w:tcPr>
          <w:p>
            <w:pPr>
              <w:spacing w:after="0"/>
              <w:rPr>
                <w:sz w:val="21"/>
                <w:szCs w:val="21"/>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(unaudited)</w:t>
            </w:r>
          </w:p>
        </w:tc>
        <w:tc>
          <w:tcPr>
            <w:tcW w:w="4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15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Increase/</w:t>
            </w:r>
          </w:p>
        </w:tc>
      </w:tr>
      <w:tr>
        <w:trPr>
          <w:trHeight w:val="236"/>
        </w:trPr>
        <w:tc>
          <w:tcPr>
            <w:tcW w:w="47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16"/>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Royalties from product sales and license fees</w:t>
            </w:r>
          </w:p>
        </w:tc>
        <w:tc>
          <w:tcPr>
            <w:tcW w:w="10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research products and services</w:t>
            </w:r>
          </w:p>
        </w:tc>
        <w:tc>
          <w:tcPr>
            <w:tcW w:w="10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3"/>
        </w:trPr>
        <w:tc>
          <w:tcPr>
            <w:tcW w:w="4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571</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w:t>
            </w: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2"/>
              </w:rPr>
              <w:t>(102)</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0"/>
        </w:trPr>
        <w:tc>
          <w:tcPr>
            <w:tcW w:w="4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56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8"/>
                <w:szCs w:val="18"/>
                <w:color w:val="auto"/>
              </w:rPr>
            </w:pPr>
          </w:p>
        </w:tc>
      </w:tr>
      <w:tr>
        <w:trPr>
          <w:trHeight w:val="245"/>
        </w:trPr>
        <w:tc>
          <w:tcPr>
            <w:tcW w:w="4700" w:type="dxa"/>
            <w:vAlign w:val="bottom"/>
          </w:tcPr>
          <w:p>
            <w:pPr>
              <w:spacing w:after="0"/>
              <w:rPr>
                <w:sz w:val="21"/>
                <w:szCs w:val="21"/>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(unaudited)</w:t>
            </w:r>
          </w:p>
        </w:tc>
        <w:tc>
          <w:tcPr>
            <w:tcW w:w="4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15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Increase/</w:t>
            </w:r>
          </w:p>
        </w:tc>
      </w:tr>
      <w:tr>
        <w:trPr>
          <w:trHeight w:val="237"/>
        </w:trPr>
        <w:tc>
          <w:tcPr>
            <w:tcW w:w="47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16"/>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Royalties from product sales and license fees</w:t>
            </w:r>
          </w:p>
        </w:tc>
        <w:tc>
          <w:tcPr>
            <w:tcW w:w="9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research products and services</w:t>
            </w:r>
          </w:p>
        </w:tc>
        <w:tc>
          <w:tcPr>
            <w:tcW w:w="9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3"/>
        </w:trPr>
        <w:tc>
          <w:tcPr>
            <w:tcW w:w="4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1,471</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2,274</w:t>
            </w: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(803)</w:t>
            </w:r>
          </w:p>
        </w:tc>
        <w:tc>
          <w:tcPr>
            <w:tcW w:w="320" w:type="dxa"/>
            <w:vAlign w:val="bottom"/>
            <w:tcBorders>
              <w:top w:val="single" w:sz="8" w:color="CCEEFF"/>
            </w:tcBorders>
            <w:gridSpan w:val="2"/>
          </w:tcPr>
          <w:p>
            <w:pPr>
              <w:spacing w:after="0"/>
              <w:rPr>
                <w:sz w:val="17"/>
                <w:szCs w:val="17"/>
                <w:color w:val="auto"/>
              </w:rPr>
            </w:pPr>
          </w:p>
        </w:tc>
        <w:tc>
          <w:tcPr>
            <w:tcW w:w="156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r>
      <w:tr>
        <w:trPr>
          <w:trHeight w:val="24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7"/>
        </w:trPr>
        <w:tc>
          <w:tcPr>
            <w:tcW w:w="4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2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18"/>
          <w:szCs w:val="18"/>
          <w:color w:val="auto"/>
        </w:rPr>
        <w:t>Our total revenues increased by $4,000 for the three months ended September 30, 2020 as compared to the same period in the prior year, primarily reflecting a $178,000 increase in royalties from product sales and license fees, offset by a $121,000 decrease in grant revenues due to less grant-related activities and a $53,000 decrease in the sale of research products and services due to the cessation of such sales.</w:t>
      </w:r>
    </w:p>
    <w:p>
      <w:pPr>
        <w:spacing w:after="0" w:line="176"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Our total revenues decreased by $803,000 for the nine months ended September 30, 2020 as compared to the same period in the prior year, primarily reflecting a $764,000 decrease in grant revenues due to less grant-related activities and a $256,000 decrease in the sale of research products and services due to the cessation of such sales, offset by a $217,000 increase in royalties from product sales and license fees.</w:t>
      </w:r>
    </w:p>
    <w:p>
      <w:pPr>
        <w:spacing w:after="0" w:line="176" w:lineRule="exact"/>
        <w:rPr>
          <w:sz w:val="20"/>
          <w:szCs w:val="20"/>
          <w:color w:val="auto"/>
        </w:rPr>
      </w:pPr>
    </w:p>
    <w:p>
      <w:pPr>
        <w:jc w:val="both"/>
        <w:ind w:firstLine="495"/>
        <w:spacing w:after="0" w:line="226" w:lineRule="auto"/>
        <w:rPr>
          <w:sz w:val="20"/>
          <w:szCs w:val="20"/>
          <w:color w:val="auto"/>
        </w:rPr>
      </w:pPr>
      <w:r>
        <w:rPr>
          <w:rFonts w:ascii="Times New Roman" w:cs="Times New Roman" w:eastAsia="Times New Roman" w:hAnsi="Times New Roman"/>
          <w:sz w:val="18"/>
          <w:szCs w:val="18"/>
          <w:color w:val="auto"/>
        </w:rPr>
        <w:t>Our grant revenues are generated primarily by our subsidiary Cell Cure Neurosciences Ltd. (“Cell Cure”) from the Israel Innovation Authority (“IIA”) for the development of OpRegen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from a Small Business Innovation Research grant from the National Institutes of Health for our vision restoration program (the “NIH grant”). NIH grant related activities were completed in the third quarter of 2020.</w:t>
      </w:r>
    </w:p>
    <w:p>
      <w:pPr>
        <w:spacing w:after="0" w:line="201"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Grant revenues generated by Cell Cure from the IIA for the development of OpRegen amounted to $216,000 and $477,000 for the three and nine months ended September 30, 2020 and $277,000 and $1,193,000 for the three and nine months ended September 30, 2019, respectively.</w:t>
      </w:r>
    </w:p>
    <w:p>
      <w:pPr>
        <w:spacing w:after="0" w:line="162"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Grant revenues generated by the NIH grant amounted to $13,000 and $387,000 for the three and nine months ended September 30, 2020 and $72,000 and $435,000 for the three and nine months ended September 30, 2019, respectively.</w:t>
      </w:r>
    </w:p>
    <w:p>
      <w:pPr>
        <w:spacing w:after="0" w:line="162"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Royalties from product sales and license fees for the three and nine months ended September 30, 2020 included $200,000 recognized in September 2020 related to the expiration of an option granted by Asterias to Novo Nordisk A/S (“Novo Nordisk”) in September 2018 to license certain intellectual property. This amount was originally recorded as deferred revenue and subsequently recognized as revenue in September 2020, when the option period expired.</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amounts in the tables below are our consolidated operating expenses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680" w:type="dxa"/>
            <w:vAlign w:val="bottom"/>
            <w:gridSpan w:val="5"/>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4280" w:type="dxa"/>
            <w:vAlign w:val="bottom"/>
          </w:tcPr>
          <w:p>
            <w:pPr>
              <w:spacing w:after="0"/>
              <w:rPr>
                <w:sz w:val="21"/>
                <w:szCs w:val="21"/>
                <w:color w:val="auto"/>
              </w:rPr>
            </w:pPr>
          </w:p>
        </w:tc>
        <w:tc>
          <w:tcPr>
            <w:tcW w:w="2680" w:type="dxa"/>
            <w:vAlign w:val="bottom"/>
            <w:tcBorders>
              <w:bottom w:val="single" w:sz="8" w:color="auto"/>
            </w:tcBorders>
            <w:gridSpan w:val="5"/>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9"/>
              </w:rPr>
              <w:t>September 30 (unaudited)</w:t>
            </w:r>
          </w:p>
        </w:tc>
        <w:tc>
          <w:tcPr>
            <w:tcW w:w="5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1"/>
                <w:szCs w:val="21"/>
                <w:color w:val="auto"/>
              </w:rPr>
            </w:pPr>
          </w:p>
        </w:tc>
      </w:tr>
      <w:tr>
        <w:trPr>
          <w:trHeight w:val="237"/>
        </w:trPr>
        <w:tc>
          <w:tcPr>
            <w:tcW w:w="4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6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20" w:type="dxa"/>
            <w:vAlign w:val="bottom"/>
            <w:tcBorders>
              <w:top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3,628</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4,609</w:t>
            </w:r>
          </w:p>
        </w:tc>
        <w:tc>
          <w:tcPr>
            <w:tcW w:w="20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91"/>
        </w:trPr>
        <w:tc>
          <w:tcPr>
            <w:tcW w:w="4280" w:type="dxa"/>
            <w:vAlign w:val="bottom"/>
          </w:tcPr>
          <w:p>
            <w:pPr>
              <w:spacing w:after="0"/>
              <w:rPr>
                <w:sz w:val="24"/>
                <w:szCs w:val="24"/>
                <w:color w:val="auto"/>
              </w:rPr>
            </w:pPr>
          </w:p>
        </w:tc>
        <w:tc>
          <w:tcPr>
            <w:tcW w:w="2680" w:type="dxa"/>
            <w:vAlign w:val="bottom"/>
            <w:gridSpan w:val="5"/>
          </w:tcPr>
          <w:p>
            <w:pPr>
              <w:jc w:val="center"/>
              <w:ind w:left="45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4280" w:type="dxa"/>
            <w:vAlign w:val="bottom"/>
          </w:tcPr>
          <w:p>
            <w:pPr>
              <w:spacing w:after="0"/>
              <w:rPr>
                <w:sz w:val="21"/>
                <w:szCs w:val="21"/>
                <w:color w:val="auto"/>
              </w:rPr>
            </w:pPr>
          </w:p>
        </w:tc>
        <w:tc>
          <w:tcPr>
            <w:tcW w:w="2680" w:type="dxa"/>
            <w:vAlign w:val="bottom"/>
            <w:tcBorders>
              <w:bottom w:val="single" w:sz="8" w:color="auto"/>
            </w:tcBorders>
            <w:gridSpan w:val="5"/>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9"/>
              </w:rPr>
              <w:t>September 30 (unaudited)</w:t>
            </w:r>
          </w:p>
        </w:tc>
        <w:tc>
          <w:tcPr>
            <w:tcW w:w="5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1"/>
                <w:szCs w:val="21"/>
                <w:color w:val="auto"/>
              </w:rPr>
            </w:pPr>
          </w:p>
        </w:tc>
      </w:tr>
      <w:tr>
        <w:trPr>
          <w:trHeight w:val="236"/>
        </w:trPr>
        <w:tc>
          <w:tcPr>
            <w:tcW w:w="4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6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20" w:type="dxa"/>
            <w:vAlign w:val="bottom"/>
            <w:tcBorders>
              <w:top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12,055</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19,527</w:t>
            </w:r>
          </w:p>
        </w:tc>
        <w:tc>
          <w:tcPr>
            <w:tcW w:w="20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(7,472)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21"/>
        </w:trPr>
        <w:tc>
          <w:tcPr>
            <w:tcW w:w="4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8" w:name="page39"/>
    <w:bookmarkEnd w:id="38"/>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company-sponsored, collaborative and contracted research and development activities. These costs include direct and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We expense research and development costs as incurred. Research and development expenses incurred and reimbursed by grants from third parties approximate the grant income recognized in the consolidated statements of operations.</w:t>
      </w:r>
    </w:p>
    <w:p>
      <w:pPr>
        <w:spacing w:after="0" w:line="183"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amount of our total research and development expenses allocated to our primary research and development projects for the periods presented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gridSpan w:val="7"/>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4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Percent of Total</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tcBorders>
              <w:bottom w:val="single" w:sz="8" w:color="CCEEFF"/>
            </w:tcBorders>
          </w:tcPr>
          <w:p>
            <w:pPr>
              <w:spacing w:after="0"/>
              <w:rPr>
                <w:sz w:val="20"/>
                <w:szCs w:val="20"/>
                <w:color w:val="auto"/>
              </w:rPr>
            </w:pPr>
          </w:p>
        </w:tc>
      </w:tr>
      <w:tr>
        <w:trPr>
          <w:trHeight w:val="256"/>
        </w:trPr>
        <w:tc>
          <w:tcPr>
            <w:tcW w:w="4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OpRegen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ophthalmic applications</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2,564</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OPC1</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1,425</w:t>
            </w:r>
          </w:p>
        </w:tc>
        <w:tc>
          <w:tcPr>
            <w:tcW w:w="40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VAC platform</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Renevia and all other</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w:t>
            </w:r>
          </w:p>
        </w:tc>
        <w:tc>
          <w:tcPr>
            <w:tcW w:w="400" w:type="dxa"/>
            <w:vAlign w:val="bottom"/>
          </w:tcPr>
          <w:p>
            <w:pPr>
              <w:spacing w:after="0"/>
              <w:rPr>
                <w:sz w:val="20"/>
                <w:szCs w:val="20"/>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0"/>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gridSpan w:val="6"/>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4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Percent of Total</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tcBorders>
              <w:bottom w:val="single" w:sz="8" w:color="CCEEFF"/>
            </w:tcBorders>
          </w:tcPr>
          <w:p>
            <w:pPr>
              <w:spacing w:after="0"/>
              <w:rPr>
                <w:sz w:val="20"/>
                <w:szCs w:val="20"/>
                <w:color w:val="auto"/>
              </w:rPr>
            </w:pPr>
          </w:p>
        </w:tc>
      </w:tr>
      <w:tr>
        <w:trPr>
          <w:trHeight w:val="256"/>
        </w:trPr>
        <w:tc>
          <w:tcPr>
            <w:tcW w:w="4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OpRegen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ophthalmic applications</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9,304</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OPC1</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3,937</w:t>
            </w:r>
          </w:p>
        </w:tc>
        <w:tc>
          <w:tcPr>
            <w:tcW w:w="400" w:type="dxa"/>
            <w:vAlign w:val="bottom"/>
          </w:tcPr>
          <w:p>
            <w:pPr>
              <w:spacing w:after="0"/>
              <w:rPr>
                <w:sz w:val="18"/>
                <w:szCs w:val="18"/>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VAC platform</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286</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Renevia and all other</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935</w:t>
            </w:r>
          </w:p>
        </w:tc>
        <w:tc>
          <w:tcPr>
            <w:tcW w:w="400" w:type="dxa"/>
            <w:vAlign w:val="bottom"/>
          </w:tcPr>
          <w:p>
            <w:pPr>
              <w:spacing w:after="0"/>
              <w:rPr>
                <w:sz w:val="20"/>
                <w:szCs w:val="20"/>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of $0.7 million in total research and development expenses for the three months ended September 30, 2020 as compared to the same period in the prior year is mainly attributable to the following:</w:t>
      </w:r>
    </w:p>
    <w:p>
      <w:pPr>
        <w:spacing w:after="0" w:line="162" w:lineRule="exact"/>
        <w:rPr>
          <w:sz w:val="20"/>
          <w:szCs w:val="20"/>
          <w:color w:val="auto"/>
        </w:rPr>
      </w:pPr>
    </w:p>
    <w:p>
      <w:pPr>
        <w:ind w:left="980" w:right="20" w:hanging="324"/>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$1.5 million in OpRegen and other ophthalmic application expenses, attributable primarily to a decrease in manufacturing activities in 2020 as compared to 2019,</w:t>
      </w:r>
    </w:p>
    <w:p>
      <w:pPr>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$0.8 million in OPC1 related expenses, primarily related to a return of unspent project funds of approximately $0.8 million from a former Asterias service provider,</w:t>
      </w:r>
    </w:p>
    <w:p>
      <w:pPr>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$0.2 million in Renevia and other related expenses as Renevia received a CE Mark in September 2019 and we are spending less on research activities as we are actively looking for a commercialization partner in Europe, offset by</w:t>
      </w:r>
    </w:p>
    <w:p>
      <w:pPr>
        <w:jc w:val="both"/>
        <w:ind w:left="980" w:hanging="324"/>
        <w:spacing w:after="0" w:line="255"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$1.8 million in VAC program expenses, primarily related to the accrual of the signature fee of £1.25 million ($1.6 million) to Cancer Research UK related to our license agreement and our early exercise of the option to acquire data generated in the Phase 1 clinical trial of VAC2 in non-small cell lung cancer.</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decrease of $4.8 million in total research and development expenses for the nine months ended September 30, 2020 as compared to the same period in the prior year is mainly attributable to the following:</w:t>
      </w:r>
    </w:p>
    <w:p>
      <w:pPr>
        <w:spacing w:after="0" w:line="162" w:lineRule="exact"/>
        <w:rPr>
          <w:sz w:val="20"/>
          <w:szCs w:val="20"/>
          <w:color w:val="auto"/>
        </w:rPr>
      </w:pPr>
    </w:p>
    <w:p>
      <w:pPr>
        <w:ind w:left="980" w:right="20" w:hanging="324"/>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$5.0 million in OpRegen and other ophthalmic application expenses, attributable primarily to a decrease in manufacturing activities in 2020 as compared to 2019,</w:t>
      </w: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$1.0 million in OPC1 related expenses, primarily related to return of unspent project funds of approximately $0.8 million from a former Asterias service provider,</w:t>
      </w:r>
    </w:p>
    <w:p>
      <w:pPr>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$0.7 million in Renevia and other related expenses as Renevia received a CE Mark in September 2019 and we are spending less on research activities as we are actively looking for a commercialization partner in Europe, offset by</w:t>
      </w:r>
    </w:p>
    <w:p>
      <w:pPr>
        <w:ind w:left="980" w:hanging="324"/>
        <w:spacing w:after="0" w:line="26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$1.9 million in VAC program expenses, primarily related to the accrual of the signature fee of £1.25 million ($1.6 million) to Cancer Research UK.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employee and director compensation, consulting fees other than those paid for science-related consulting, facilities and equipment rent and maintenance related expenses, insurance costs allocated to general and administrative expenses, costs of patent applications, prosecution and maintenance, stock exchange-related costs, depreciation expense, marketing costs, legal and accounting costs, and other miscellaneous expenses which are allocated to general and administrative expense.</w:t>
      </w:r>
    </w:p>
    <w:p>
      <w:pPr>
        <w:spacing w:after="0" w:line="180"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The total net decrease of $1.0 million in general and administrative expenses for the three months ended September 30, 2020 compared to the same period in 2019, was primarily attributable to a $0.9 million reduction in compensation expenses, a $0.2 million reduction in Asterias Merger related expenses, a $0.1 million reduction in travel expenses, a $0.1 million reduction in accounting expenses and a $0.1 million reduction in office related expenses, offset by a $0.3 million increase in patent and legal expenses and a $0.2 million increase related to the cessation of shared services reimbursements.</w:t>
      </w:r>
    </w:p>
    <w:p>
      <w:pPr>
        <w:spacing w:after="0" w:line="183"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The total net decrease of $7.5 million in general and administrative expenses for the nine months ended September 30, 2020 compared to the same period in 2019, was primarily attributable to a $5.2 million reduction in Asterias Merger related expenses, a $1.9 million reduction in compensation costs, a $0.7 million reduction in accounting expenses, a $0.4 million reduction in travel expenses and a $0.3 million reduction in rent expenses, a $0.2 million reduction in office related expenses and a $0.1 million reduction in investor and public relations expenses, offset by a $0.9 million increase in legal and patent expenses and a $0.6 million increase related to the cessation of shared services reimbursements.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expenses, net</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amount of other income and expenses, net, for the periods presented (in thousands):</w:t>
      </w:r>
    </w:p>
    <w:p>
      <w:pPr>
        <w:spacing w:after="0" w:line="22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September 30,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0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 net</w:t>
            </w: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34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252</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2,055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equity securities</w:t>
            </w: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equity method investment in OncoCyte</w:t>
            </w: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equity method investment in OncoCyte at fair value</w:t>
            </w: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(8,287)</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warrant liability</w:t>
            </w: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September 30,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4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 net</w:t>
            </w:r>
          </w:p>
        </w:tc>
        <w:tc>
          <w:tcPr>
            <w:tcW w:w="2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50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1,037</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2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3,848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equity securities</w:t>
            </w:r>
          </w:p>
        </w:tc>
        <w:tc>
          <w:tcPr>
            <w:tcW w:w="2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(7,487)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equity method investment in OncoCyte</w:t>
            </w:r>
          </w:p>
        </w:tc>
        <w:tc>
          <w:tcPr>
            <w:tcW w:w="2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equity method investment in OncoCyte at fair value</w:t>
            </w:r>
          </w:p>
        </w:tc>
        <w:tc>
          <w:tcPr>
            <w:tcW w:w="2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equity method investment in Asterias at fair value</w:t>
            </w:r>
          </w:p>
        </w:tc>
        <w:tc>
          <w:tcPr>
            <w:tcW w:w="2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6,744</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warrant liability</w:t>
            </w:r>
          </w:p>
        </w:tc>
        <w:tc>
          <w:tcPr>
            <w:tcW w:w="2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17"/>
        </w:trPr>
        <w:tc>
          <w:tcPr>
            <w:tcW w:w="5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54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540" w:type="dxa"/>
            <w:vAlign w:val="bottom"/>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40" w:name="page41"/>
    <w:bookmarkEnd w:id="40"/>
    <w:p>
      <w:pPr>
        <w:jc w:val="both"/>
        <w:ind w:firstLine="49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 During the three and nine months ended September 30, 2020, we earned $0.3 million and $1.0 million of interest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from our promissory note with Juvenescence Limited (“Juvenescence”). During the three and nine months ended September 30, 2019, we earned $0.4 million and $1.1 million of interest income, respectively, from the same note.</w:t>
      </w:r>
    </w:p>
    <w:p>
      <w:pPr>
        <w:spacing w:after="0" w:line="173"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Gain on equity method investment in Asterias – </w:t>
      </w:r>
      <w:r>
        <w:rPr>
          <w:rFonts w:ascii="Times New Roman" w:cs="Times New Roman" w:eastAsia="Times New Roman" w:hAnsi="Times New Roman"/>
          <w:sz w:val="18"/>
          <w:szCs w:val="18"/>
          <w:color w:val="auto"/>
        </w:rPr>
        <w:t>Prior to the closing of the Asterias Merger on March 8, 2019, we owned 21.7 million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Asterias, which we accounted for at fair value using the equity method of accounting. The fair value of our Asterias shares was approximately $20.2 million as of March 8, 2019, the closing date of the Asterias Merger, based on $0.93 per share, which was calculated by multiplying:</w:t>
      </w:r>
    </w:p>
    <w:p>
      <w:pPr>
        <w:spacing w:after="0" w:line="1" w:lineRule="exact"/>
        <w:rPr>
          <w:sz w:val="20"/>
          <w:szCs w:val="20"/>
          <w:color w:val="auto"/>
        </w:rPr>
      </w:pPr>
    </w:p>
    <w:p>
      <w:pPr>
        <w:jc w:val="both"/>
        <w:ind w:firstLine="8"/>
        <w:spacing w:after="0" w:line="253" w:lineRule="auto"/>
        <w:tabs>
          <w:tab w:leader="none" w:pos="2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the closing price of our common shares on such date; by (ii) the Merger Exchange Ratio. The fair value of our Asterias shares was approximately $13.5 million as of December 31, 2018, based on the closing price of Asterias common stock of $0.62 per share on such date. Accordingly, we recorded an unrealized gain of $6.7 million for the year ended December 31, 2019, representing the change in fair value of Asterias common stock from December 31, 2018 to March 8, 2019.</w:t>
      </w:r>
    </w:p>
    <w:p>
      <w:pPr>
        <w:spacing w:after="0" w:line="187"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Gain on equity method investment in OncoCyte – </w:t>
      </w:r>
      <w:r>
        <w:rPr>
          <w:rFonts w:ascii="Times New Roman" w:cs="Times New Roman" w:eastAsia="Times New Roman" w:hAnsi="Times New Roman"/>
          <w:sz w:val="18"/>
          <w:szCs w:val="18"/>
          <w:color w:val="auto"/>
        </w:rPr>
        <w:t>Prior to September 11, 2019, Lineage elected to account for its shares of OncoCyte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fair value using the equity method of accounting. Lineage sold 2.25 million shares of OncoCyte common stock for net proceeds of $4.2 million in July 2019. Accordingly, Lineage’s ownership in OncoCyte was reduced from 28% to 24%. Lineage sold an additional 4.0 million shares of OncoCyte common stock for net proceeds of $6.5 million on September 11, 2019. Lineage’s ownership in OncoCyte was further reduced to 16% at this time. Effective September 11, 2019, Lineage began accounting for its shares of OncoCyte common stock as marketable equity securities.</w:t>
      </w:r>
    </w:p>
    <w:p>
      <w:pPr>
        <w:spacing w:after="0" w:line="185"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As of December 31, 2019, Lineage had 8.4 million shares of OncoCyte common stock. These shares had a fair value of $19.0 million, based on the closing price of OncoCyte common stock of $2.25 per share on December 31, 2019.</w:t>
      </w:r>
    </w:p>
    <w:p>
      <w:pPr>
        <w:spacing w:after="0" w:line="162"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As of September 30, 2020, Lineage owned 3.6 million shares of OncoCyte common stock. These shares had a fair value of $5.0 million, based on the closing price of OncoCyte common stock of $1.39 per share on September 30, 2020.</w:t>
      </w:r>
    </w:p>
    <w:p>
      <w:pPr>
        <w:spacing w:after="0" w:line="162"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2020, Lineage recorded an unrealized loss of $1.9 million related to the shares remaining at September 30, 2020 and the decrease in OncoCyte’s stock price from $1.91 at June 30, 2020 to $1.39 at September 30, 2020. For the three months ended September 30, 2019, Lineage recorded a realized gain of $0.6 million due to sales of OncoCyte shares in the period. Lineage also recorded an unrealized loss of $8.7 million due to the decrease in OncoCyte’s stock price from $2.49 per share at June 30, 2019 to $2.10 per share at September 30, 2019. $8.3 million of the unrealized loss was recorded as an unrealized loss on an equity method investment as it was prior to September 11, 2019; the remaining $0.4 million was recorded as an unrealized loss on marketable equity securities.</w:t>
      </w:r>
    </w:p>
    <w:p>
      <w:pPr>
        <w:spacing w:after="0" w:line="187"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2020, Lineage recorded a realized gain of $3.1 million due to sales of OncoCyte shares in the period. In the same period, Lineage also recorded an unrealized loss of $6.1 million related to its OncoCyte shares. The unrealized loss is comprised of $3.7 million related to the difference between the book cost basis of OncoCyte shares sold in the period versus the applicable prior month’s ending OncoCyte stock price and an additional $2.4 million related to the shares remaining at September 30, 2020 and the decrease in OncoCyte’s stock price from $2.25 at December 31, 2019 to $1.39 at September 30, 2020. For the nine months ended September 30, 2019, Lineage recorded a realized gain of $0.6 million due to sales of OncoCyte shares in the period. Lineage also recorded an unrealized gain of $7.6 million due to the increase in OncoCyte’s stock price from $1.38 per share at December 31, 2018 to $2.10 per share at September 30, 2019. $8.0 million of the unrealized gain was recorded as an unrealized gain on an equity method investment as it was prior to September 11, 2019; the remaining $0.4 million was recorded as an unrealized loss on marketable equity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1" w:name="page42"/>
    <w:bookmarkEnd w:id="41"/>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All share prices are determined based on the closing price of OncoCyte common stock on the NYSE American on the applicable dates, or the last day of trading of the applicable quarter, if the last day of a quarter fell on a weekend.</w:t>
      </w:r>
    </w:p>
    <w:p>
      <w:pPr>
        <w:spacing w:after="0" w:line="162" w:lineRule="exact"/>
        <w:rPr>
          <w:sz w:val="20"/>
          <w:szCs w:val="20"/>
          <w:color w:val="auto"/>
        </w:rPr>
      </w:pPr>
    </w:p>
    <w:p>
      <w:pPr>
        <w:jc w:val="both"/>
        <w:ind w:right="20" w:firstLine="495"/>
        <w:spacing w:after="0" w:line="282" w:lineRule="auto"/>
        <w:rPr>
          <w:sz w:val="20"/>
          <w:szCs w:val="20"/>
          <w:color w:val="auto"/>
        </w:rPr>
      </w:pPr>
      <w:r>
        <w:rPr>
          <w:rFonts w:ascii="Times New Roman" w:cs="Times New Roman" w:eastAsia="Times New Roman" w:hAnsi="Times New Roman"/>
          <w:sz w:val="18"/>
          <w:szCs w:val="18"/>
          <w:color w:val="auto"/>
        </w:rPr>
        <w:t>We expect our other income and expenses, net, to continue to fluctuate each reporting period based on the changes in the market price of our OncoCyte shares, which could significantly impact our net income or loss reported in our condensed consolidated statements of operations for each period.</w:t>
      </w:r>
    </w:p>
    <w:p>
      <w:pPr>
        <w:spacing w:after="0" w:line="160"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Marketable equity securities </w:t>
      </w:r>
      <w:r>
        <w:rPr>
          <w:rFonts w:ascii="Times New Roman" w:cs="Times New Roman" w:eastAsia="Times New Roman" w:hAnsi="Times New Roman"/>
          <w:sz w:val="18"/>
          <w:szCs w:val="18"/>
          <w:color w:val="auto"/>
        </w:rPr>
        <w:t>- We also account for the shares we held in Hadasit Bio-Holdings (“HBL”) and AgeX as of September 30,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equity securities, carried at fair market value on our consolidated balance sheets. For the three and nine months ended September 30, 2020, Lineage recorded realized gains of $0.1 million and $0.7 million, respectively, due to sales of AgeX shares in the period. Sales of HBL securities were negligible. For the three and nine months ended September 30, 2019, Lineage recorded a realized gain of $2.0 million due to sales of HBL and AgeX shares in the period.</w:t>
      </w:r>
    </w:p>
    <w:p>
      <w:pPr>
        <w:spacing w:after="0" w:line="185"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2020, we recorded unrealized losses of $0.1 million and $1.4 million, respectively. For the three months ended September 30, 2020, a majority of the unrealized loss was related to the difference between the book cost basis of AgeX shares sold in the period versus the applicable prior month’s ending AgeX stock price. For the nine months ended September 30, 2020, $0.5 million of the unrealized loss was related to the difference between the book cost basis of AgeX shares sold in the period versus the applicable prior month’s ending AgeX share price and an additional $0.8 million was related to the AgeX shares remaining at September 30, 2020 and the decrease in AgeX’s stock price from $1.82 at December 31, 2019 to $0.81 at September 30, 2020.</w:t>
      </w:r>
    </w:p>
    <w:p>
      <w:pPr>
        <w:spacing w:after="0" w:line="187"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2019, we recorded an unrealized loss of $4.0 million and $2.7 million, respectively, due to changes in fair market value of these marketable equity securities from June 30, 2019 to September 30, 2019 and December 31, 2018 to September 30, 2019.</w:t>
      </w:r>
    </w:p>
    <w:p>
      <w:pPr>
        <w:spacing w:after="0" w:line="174"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 </w:t>
      </w:r>
      <w:r>
        <w:rPr>
          <w:rFonts w:ascii="Times New Roman" w:cs="Times New Roman" w:eastAsia="Times New Roman" w:hAnsi="Times New Roman"/>
          <w:sz w:val="18"/>
          <w:szCs w:val="18"/>
          <w:color w:val="auto"/>
        </w:rPr>
        <w:t>Other income (expense), net, in 2020 and 2019 consist primarily of net foreign currency transaction gains and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by our subsidiaries Cell Cure and ES Cell International Pte. Ltd. (“ESI”), changes in the fair value of warrants issued by Cell Cure, dividend income and interest income, net. Foreign currency transaction gains and losses for the periods presented are principally related to the remeasurement of the U.S. dollar denominated notes payable by Cell Cure to Lineage.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8"/>
          <w:szCs w:val="18"/>
          <w:color w:val="auto"/>
        </w:rPr>
        <w:t>The market value of the shares of OncoCyte common stock we hold creates a deferred tax liability based on the closing prices of the shares, less our tax basis in the shares. The deferred tax liability generated by the OncoCyte shares that we hold as of September 30, 2020, is a source of future taxable income to us, as prescribed by ASC 740-10-30-17, that will more likely than not result in the realization of our deferred tax assets to the extent of the deferred tax liability. This deferred tax liability is determined based on the closing prices of the OncoCyte shares as of September 30, 2020. Due to the inherent unpredictability of future prices of those shares, we cannot reliably estimate or project those deferred tax liabilities on an annual basis. Therefore, the deferred tax liability pertaining to OncoCyte shares, determined based on the actual closing prices on the last stock market trading day of the applicable accounting period, and the related impacts to the valuation allowance and deferred tax asset changes, are recorded in the accounting period in which they occur.</w:t>
      </w:r>
    </w:p>
    <w:p>
      <w:pPr>
        <w:spacing w:after="0" w:line="192"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8"/>
          <w:szCs w:val="18"/>
          <w:color w:val="auto"/>
        </w:rPr>
        <w:t>In connection with the Asterias Merger, a deferred tax liability of $10.8 million was recorded as part of the acquisition accounting (see Note 3). The deferred tax liability (“DTL”) is related to fair value adjustments for the assets and liabilities acquired in the Asterias Merger, principally consisting of IPR&amp;D. This estimate of deferred taxes was determined based on the excess of the estimated fair values of the acquired assets and liabilities over the tax basis of the assets and liabilities acquired. The statutory tax rate was applied, as appropriate, to the adjustment based on the jurisdiction in which the adjustment is expected to occur. Because the IPR&amp;D (prior to completion or abandonment of the R&amp;D) is considered an indefinite-lived asset for accounting purposes, the fair value of the IPR&amp;D on the acquisition date creates a deferred income tax liability in accordance with ASC 740. This DTL is computed using the fair value of the IPR&amp;D assets on the acquisition date multiplied by Lineage’s respective federal and state income tax rates. While this DTL would reverse on impairment or sale or commencement of amortization of the related intangible assets, those events are not anticipated under ASC 740 for purposes of predicting reversal of a temporary difference to support the realization of deferred tax assets, except for certain deferred tax assets and credit carryforwards that are also indefinite in nature as of the Asterias Merger date, which may be considered for reversal under ASC 740 as further discussed below.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some portion of the deferred tax assets will not be realized. Lineage established a full valuation allowance as of December 31, 2018 due to the uncertainty of realizing future tax benefits from its net operating loss carryforwards and other deferred tax assets, including foreign net operating losses generated by its subsidiaries. During the year ended December 31, 2019, a portion of the valuation allowance was released as it relates to Lineage’s indefinite lived assets that can be used against the indefinite lived liabilities. The amount of the valuation allowance released was $7.4 million; as new indefinite lived deferred tax assets are generated, we will continue to book provision benefits until the deferred tax liability position is exhausted, barring any new developments.</w:t>
      </w:r>
    </w:p>
    <w:p>
      <w:pPr>
        <w:spacing w:after="0" w:line="187" w:lineRule="exact"/>
        <w:rPr>
          <w:sz w:val="20"/>
          <w:szCs w:val="20"/>
          <w:color w:val="auto"/>
        </w:rPr>
      </w:pPr>
    </w:p>
    <w:p>
      <w:pPr>
        <w:jc w:val="both"/>
        <w:ind w:right="20" w:firstLine="49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2019, Lineage recorded a $1.0 million and $6.6 million valuation allowance release and corresponding benefit for income taxes.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and nine months ended September 30, 2020, Lineage recorded a $0.2 million deferred tax benefit for income taxes.</w:t>
      </w:r>
    </w:p>
    <w:p>
      <w:pPr>
        <w:spacing w:after="0" w:line="225"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We expect that deferred income tax expense or benefit we record each reporting period, if any, will vary depending on the change in the closing stock prices of OncoCyte shares from period to period and the related changes in those deferred tax liabilities and our deferred tax assets and other credits, including changes in the valuation allowance, for each period.</w:t>
      </w:r>
    </w:p>
    <w:p>
      <w:pPr>
        <w:spacing w:after="0" w:line="176"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See Note 3 to our consolidated financial statements included elsewhere in this Report for a description of the Asterias Merger that was completed on March 8, 2019. We have concluded that an ownership change did occur after the Asterias Merger, and the acquired operating loss carryforwards are subject to limitation under Section 382 of the Internal Revenue Service Code; Lineage will only be able to utilize $52.8 million of these operating loss carryforwards.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At September 30, 2020, we had $38.0 million of cash, cash equivalents and marketable equity securities on hand, which includes our investments in HBL, AgeX and OncoCyte. We may use our marketable equity securities for liquidity, as necessary, and as market conditions allow. The market value may not represent the amount that could be realized in a sale of investment shares due to various market and regulatory factors, including trading volume or market depth factors and volume and manner of sale restrictions under Federal securities laws, prevailing market conditions and prices at the time of any sale, and subsequent sales of securities by the entities. In addition, the value of our marketable equity securities may be significantly and adversely impacted by deteriorating global economic conditions and the recent disruptions to and volatility in the credit and financial markets in the United States and worldwide resulting from the ongoing COVID-19 pandemic.</w:t>
      </w:r>
    </w:p>
    <w:p>
      <w:pPr>
        <w:spacing w:after="0" w:line="189"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and have funded our operations primarily through the issuance of equity securities, the sale of common stock of our former subsidiaries, AgeX and OncoCyte, payments from research grants, royalties from product sales and sales of research products and services. At September 30, 2020, we had an accumulated deficit of $296.1 million, working capital of $32.0 million and shareholders’ equity of $90.2 million. We evaluated the projected cash flows for Lineage and our subsidiaries, and we believe that our $38.0 million in cash, cash equivalents and marketable equity securities provide sufficient cash, cash equivalents, and liquidity to carry out our current planned operations through at least twelve months from the issuance date of our condensed consolidated interim financial statements included elsewhere in this Report. If we need near term working capital or liquidity to supplement our cash and cash equivalents for our operations, we may sell some, or all, of our investments, as necessary.</w:t>
      </w:r>
    </w:p>
    <w:p>
      <w:pPr>
        <w:spacing w:after="0" w:line="189"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On March 8, 2019, the Asterias Merger closed and Asterias became our wholly owned subsidiary. We began consolidating Asterias’ operations and results with our operations and results beginning on March 8, 2019. We have made extensive reductions in headcount and reduced non-clinical related spend, in each case, as compared to Asterias’ operations before the merger. We have implemented significant cost savings initiatives and anticipate reduced operational spend in 2020 compared to prior periods.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The COVID-19 pandemic has impacted patient enrollment in our OpRegen Phase 1/2a multicenter clinical trial and the VAC2 Phase 1 multicenter clinical trial. In particular, we saw sites pause enrollment to focus on, and direct resources to, the COVID-19 pandemic. Additionally, patients may choose not to enroll or continue participating in clinical trials as a result of the pandemic. At this point in time, the majority of our sites are back up and enrolling. We are unable to predict with confidence if there will be future patient enrollment delays and difficulties as the COVID-19 pandemic continues. If patient enrollment is delayed for an extended period of time, such clinical trials could be delayed or otherwise adversely affected. Our inability to enroll a sufficient number of patients for any of our current or future clinical trials could result in significant delays.</w:t>
      </w:r>
    </w:p>
    <w:p>
      <w:pPr>
        <w:spacing w:after="0" w:line="187" w:lineRule="exact"/>
        <w:rPr>
          <w:sz w:val="20"/>
          <w:szCs w:val="20"/>
          <w:color w:val="auto"/>
        </w:rPr>
      </w:pPr>
    </w:p>
    <w:p>
      <w:pPr>
        <w:jc w:val="both"/>
        <w:ind w:right="20" w:firstLine="495"/>
        <w:spacing w:after="0" w:line="282" w:lineRule="auto"/>
        <w:rPr>
          <w:sz w:val="20"/>
          <w:szCs w:val="20"/>
          <w:color w:val="auto"/>
        </w:rPr>
      </w:pPr>
      <w:r>
        <w:rPr>
          <w:rFonts w:ascii="Times New Roman" w:cs="Times New Roman" w:eastAsia="Times New Roman" w:hAnsi="Times New Roman"/>
          <w:sz w:val="18"/>
          <w:szCs w:val="18"/>
          <w:color w:val="auto"/>
        </w:rPr>
        <w:t>We may increase spending later in the year to accelerate clinical trial activities and try to mitigate the impact of the COVID-19 related enrollment delays.</w:t>
      </w:r>
    </w:p>
    <w:p>
      <w:pPr>
        <w:spacing w:after="0" w:line="162"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8"/>
          <w:szCs w:val="18"/>
          <w:color w:val="auto"/>
        </w:rPr>
        <w:t>Our projected cash flows are subject to various risks and uncertainties, and the unavailability or inadequacy of financing to meet future capital needs could force us to modify, curtail, delay, or suspend some or all aspects of our current planned operations. Our determination as to when we will seek new financing and the amount of financing that we will need will be based on our evaluation of the progress we make in our research and development programs, any changes to the scope and focus of those programs, any changes in grant funding for certain of those programs, and projection of future costs, revenues, and rates of expenditure. Our ability to raise additional funds may be adversely impacted by deteriorating global economic conditions and the disruptions to and volatility in the credit and financial markets in the United States and worldwide resulting from the ongoing COVID-19 pandemic. We may be required to delay, postpone, or cancel our clinical trials or limit the number of clinical trial sites, unless we are able to obtain adequate financing. We cannot assure that adequate financing will be available on favorable terms, if at all. Sales of additional equity securities by us or our subsidiaries and affiliates could result in the dilution of the interests of our current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$14.1 million for the nine months ended September 30, 2020 primarily reflects the loss from operations of $20.6 million less the changes in assets and liabilities of $2.0 million. These items were offset primarily by non-cash expenses of $1.8 million of depreciation and amortization and $1.7 million for stock-based compensation. The unrealized loss on marketable securities and deferred tax benefit are non-cash items that had no effect on cash flows.</w:t>
      </w:r>
    </w:p>
    <w:p>
      <w:pPr>
        <w:spacing w:after="0" w:line="180"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$26.4 million for the nine months ended September 30, 2019 primarily reflects the loss from operations of $32.0 million less the changes in assets and liabilities of $1.3 million. These items were offset primarily by non-cash expenses of $3.0 million for stock-based compensation and $2.3 million of depreciation and amortization. The unrealized gains on equity method investments and marketable securities and deferred tax benefit are non-cash items that had no effect on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investing activities</w:t>
      </w:r>
    </w:p>
    <w:p>
      <w:pPr>
        <w:spacing w:after="0" w:line="229"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of $12.1 million for the nine months ended September 30, 2020 was associated primarily with receipts of $10.9 million from sales of a portion of our OncoCyte holdings and $1.2 million in sales of a portion of our AgeX holdings.</w:t>
      </w:r>
    </w:p>
    <w:p>
      <w:pPr>
        <w:spacing w:after="0" w:line="162"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of $16.2 million for the nine months ended September 30, 2019 was associated primarily with receipts of $10.7 million from sales of a portion of our OncoCyte holdings, $1.6 million in sales of a portion of our AgeX holdings and $1.2 million in sales of a portion of our HBL holdings as well as the receipt of $3.1 million of cash that Asterias had on the closing date of the Asterias Merger, offset by $0.4 million in purchases of equipment and other assets.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of $25.1 million for the nine months ended September 30, 2020 was associated primarily with proceeds of $24.6 million from payment of the Juvenescence promissory note and proceeds of $0.5 million from a Paycheck Protection Program (“PPP”) loan under the Coronavirus Aid, Relief and Economic Security (“CARES”) Act.</w:t>
      </w:r>
    </w:p>
    <w:p>
      <w:pPr>
        <w:spacing w:after="0" w:line="176"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$0.6 million for the nine months ended September 30, 2019 was associated primarily with $0.7 million in landlord reimbursements for tenant improvements, offset by $0.1 million in common shares received and retired for employee taxes 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we did not have any off-balance sheet arrangements, as defined in Item 303(a)(4)(ii) of Commission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Under Commission rules and regulations, 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It is management’s responsibility to establish and maintain adequate internal control over all financial reporting pursuant to Rule 13a-15 under the Securities Exchange Act of 1934 (“Exchange Act”). Our management, including our principal executive officer and our principal financial officer, have reviewed and evaluated the effectiveness of our disclosure controls and procedures as of the end of the period covered by this Report. Following this review and evaluation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collectively determined that our disclosure controls and procedures are effective to ensure that information required to be disclosed by us in reports that we file or submit under the Exchange Act: (i) is recorded, processed, summarized and reported within the time periods specified in Commission rules and forms; and (ii) is accumulated and communicated to management, including our chief executive officer and our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Report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Notes to Condensed Consolidated Interim Financial Statements— Note 15. “Commitments and Contingencies” under the heading “Litigation,” in Part I, Item 1, of this Report.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time-to-time we may be involved in a variety of claims or litigation proceedings. Such proceedings may initially be viewed as immaterial but could later prove to be material. Litigation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such claims or litigation proceedings could involve significant expense and diversion of management’s attention and resources from other matters.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investment in our common shares involves a high degree of risk. You should carefully consider the following risk factors, as well as the other information in this Quarterly Report on Form 10-Q, before deciding whether to purchase, hold or sell our common shares. The occurrence of any of the following risks could harm our business, financial condition, results of operations and/or growth prospects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Item 1A of our Annual Report on Form 10-K for the fiscal year ended December 31, 2019, as filed with the Commission on March 12, 2020.</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operating losses since inception, and we do not know if or when we will attain profitability.*</w:t>
      </w:r>
    </w:p>
    <w:p>
      <w:pPr>
        <w:spacing w:after="0" w:line="22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total operating losses for the fiscal year ended December 31, 2019 were $38.9 million and our total operating losses for the nine months ended September 30, 2020 were $20.6 million and we had an accumulated deficit of $296.1 million as of September 30, 2020. Since inception, we have incurred significant operating losses and have funded our operations primarily through sales of our equity securities and the equity securities of former subsidiaries, receipt of research grants, royalties on product sales, license revenues, sales of research products, and revenues from subscription fees and advertising revenue from database products of a former subsidiary.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before we would be able to apply for or receive regulatory approvals. We expect to continue to incur losses for the foreseeable future, and we anticipate these losses will increase substantially as we continue our development of, seek regulatory approval for and potentially commercialize any of our product candidates and seek to identify, assess, acquire, in-license or develop additional product candidates.</w:t>
      </w:r>
    </w:p>
    <w:p>
      <w:pPr>
        <w:spacing w:after="0" w:line="18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and preclinical trials of our product candidates, obtaining regulatory approval for these product candidates and manufacturing, marketing and selling any products for which we may obtain regulatory approval. In addition, we are attempting to develop new medical products and technology. We may never succeed in these activities and, even if we do, may never generate revenues that are significant enough to achieve profitability.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will continue to spend a substantial amount of our capital on research and development, but we might not succeed in developing products and technologies that are useful in medicine.*</w:t>
      </w:r>
    </w:p>
    <w:p>
      <w:pPr>
        <w:spacing w:after="0" w:line="15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are attempting to develop new medical products and technology. These new products and technologies might not prove to be safe and efficacious in the human medical applications for which they are being developed. Our research and development activities are costly, time consuming, and their results are uncertain. We incurred research and development expenses amounting to approximately $9.7 million during the nine months ended September 30, 2020, and $17.9 million during the fiscal year ended December 31, 2019. If we successfully develop a new technology or product, refinement of the new technology or product and definition of the practical applications and limitations of the technology or product may take years and require large sums of money. Clinical trials of new therapeutic products, particularly those products that are regulated as biologics, drugs, or devices, are very expensive and take years to complete. We may not have the financial resources to fund clinical trials on our own and we may have to enter into licensing or collaborative arrangements with others. Any such arrangements may be dilutive to our ownership or economic interest in the products we develop, and we might have to accept royalty payments on product sales rather than receiving the gross revenues from product sales. In addition, we may discontinue one or more of the research or product development programs. Our product and technology development programs may be delayed or discontinued should adequate funding on acceptable terms not be available.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amount and pace of research and development work that we can do or sponsor, and our ability to commence and complete clinical trials required to obtain regulatory approval to market our therapeutic and medical device products, depends upon the amount of funds we have.*</w:t>
      </w:r>
    </w:p>
    <w:p>
      <w:pPr>
        <w:spacing w:after="0" w:line="15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At September 30, 2020, we had $38.0 million of cash, cash equivalents and marketable equity securities. There can be no assurance that we will be able to raise additional funds on favorable terms or at all, or that any funds raised will be sufficient to permit us to develop and market our products and technology, if and when approved. Our ability to raise additional funds may be adversely impacted by deteriorating global economic conditions and the disruptions to and volatility in the credit and financial markets in the United States and worldwide resulting from the ongoing COVID-19 pandemic. Unless we are able to generate sufficient revenue or raise additional funds when needed, it is likely that we will be unable to continue our planned activities, even if we make progress in our research and development projects. We may have to postpone or limit the pace of our research and development work and planned clinical trials of our product candidates unless our cash resources increase through a growth in revenues, royalties, license fees, equity financings or borrowings.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will need to issue additional equity or debt securities in order to raise additional capital needed to pay our operating expenses.*</w:t>
      </w:r>
    </w:p>
    <w:p>
      <w:pPr>
        <w:spacing w:after="0" w:line="22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expect to continue to incur substantial research and product development expenses and will need to raise additional capital to pay operating expenses until we are able to generate sufficient revenues from product sales, royalties and license fees. Our ability to raise additional equity or debt capital will depend, not only on progress made in developing new products and technologies, but also on access to capital and conditions in the capital markets. We believe that our cash, cash equivalents and marketable securities as of September 30, 2020 will be sufficient to fund our planned operations for at least the next 12 months. We have based these estimates on assumptions that may prove to be wrong, and we may use our capital resources sooner than we currently expect. Our operating plans and other demands on our cash resources may change as a result of many factors currently unknown to us, and we may need to seek additional funds sooner than planned. Any equity capital raise could result in the dilution of the interests of shareholders or may otherwise limit our ability to finance further in the future, which may negatively impact our business and operations. Any debt capital financing may involve covenants that restrict our operations, including limitations on additional borrowing and on the use of our assets. If we raise capital through licensing arrangements, it may be necessary to grant licenses on terms that are not favorable to us. There can be no assurance that we will be able to raise capital on favorable terms, or at all, or at times and in amounts needed to successfully finance product development, clinical trials, and general operations.</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Lawsuits have been filed and other lawsuits may be filed against Lineage and certain members of the Lineage and Asterias Biotherapeutics, Inc. (“Asterias”) boards of directors relating to our acquisition of Asterias (the “Asterias Merger”). An adverse ruling in any such lawsuit may result in additional payments and costs.*</w:t>
      </w:r>
    </w:p>
    <w:p>
      <w:pPr>
        <w:spacing w:after="0" w:line="17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 putative class action lawsuit alleging breach of fiduciary duties in connection with the Asterias Merger is pending in the Delaware Chancery Court. As of September 30, 2020, the defendants are certain former members of Asterias’ board of directors and Lineage. The complaint alleges that the merger process was conflicted, that the consideration was inadequate, and that the proxy statement filed by Asterias was misleading. The complaint seeks, among other things, certification of a class, rescission of the merger or monetary damages, and attorneys’ fees and costs.</w:t>
      </w:r>
    </w:p>
    <w:p>
      <w:pPr>
        <w:spacing w:after="0" w:line="180"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The defendants specifically deny all allegations in the litigation and intend to defend it vigorously. However, any adverse ruling in this case could result in additional payments. Additional lawsuits arising out of or relating to the merger agreement and/or the merger may be filed in the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tax laws or regulations that are applied adversely to us or our customers may have a material adverse effect on our business, cash flow, financial condition or results of operations.*</w:t>
      </w:r>
    </w:p>
    <w:p>
      <w:pPr>
        <w:spacing w:after="0" w:line="15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enacted in 2017, informally known as the Tax Cuts and Jobs Act (the “2017 Tax Act”), enacted many significant changes to the U.S. tax laws. Future guidance from the Internal Revenue Service and other tax authorities with respect to the 2017 Tax Act may affect us, and certain aspects of the 2017 Tax Act could be repealed or modified in future legislation. For example, the Coronavirus Aid, Relief, and Economic Security Act (the “CARES Act”) modified certain provisions of the 2017 Tax Act. In addition, it is uncertain if and to what extent various states will conform to the 2017 Tax Act, the CARES Act, or any newly enacted federal tax legislation.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Our ability to use net operating losses to offset future taxable income may be subject to limitations.*</w:t>
      </w:r>
    </w:p>
    <w:p>
      <w:pPr>
        <w:spacing w:after="0" w:line="22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As of December 31, 2019, we had net operating loss (“NOL”) carryforwards for U.S. federal and state tax purposes of approximately $164.0 million and $110.5 million, respectively. Included in these amounts are NOLs acquired through the merger with Asterias (see below). A portion of the federal and state NOL carryforwards will begin to expire, if not utilized, in varying amounts between 2027 and 2039. NOLs that expire unused will be unavailable to offset future income tax liabilities. Under federal income tax law, federal NOLs incurred in 2018 and in future years may be carried forward indefinitely. It is uncertain if and to what extent various states that we may operate in will conform to the federal tax law. In addition, under Sections 382 and 383 of the Internal Revenue Code of 1986, as amended (the “IRC”),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We may experience ownership changes in the future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w:t>
      </w:r>
    </w:p>
    <w:p>
      <w:pPr>
        <w:spacing w:after="0" w:line="190"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As part of the merger with Asterias, we acquired various tax attribute carryforwards including federal and California NOLs of $52.8 million and $41.9 million, respectively, as well as California research and development credits of $2.4 million. As a result of the merger, Asterias incurred an ownership change under Section 382 of the Internal Revenue Service Code, which places annual limits on the amount of these NOLs that are available to offset income. Because of the annual limitation, the total amount of these NOLs are not immediately available to offset future income. The California research and development credit of $2.4 million has no expiration.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Taxing authorities could reallocate our taxable income among our subsidiaries, which could increase our overall tax liability.</w:t>
      </w:r>
    </w:p>
    <w:p>
      <w:pPr>
        <w:spacing w:after="0" w:line="22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are organized in the United States, and currently have subsidiaries in Israel and Singapore. If we succeed in growing our business, we expect to conduct increased operations through subsidiaries in various tax jurisdictions pursuant to transfer pricing arrangements between us and our subsidiaries. If two or more affiliated companies are located in different countries, the tax laws or regulations of each country generally will require that such arrangements be priced the same as those between unrelated companies dealing at arm’s length and that appropriate documentation is maintained to support the value of such arrangements, or Transfer Pricing Regulations. Our transfer pricing policies were formulated with the assistance of third-party experts. We are in the process of obtaining a formal transfer pricing report. However, after we receive such report, we do not intend to amend our returns for prior years. Whether we obtain a formal transfer pricing study with outside experts or not, our transfer pricing procedures will not be binding on applicable tax authorities.</w:t>
      </w:r>
    </w:p>
    <w:p>
      <w:pPr>
        <w:spacing w:after="0" w:line="18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tax liability, which could adversely affect our financial condition, results of operations and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Our business and operations could suffer in the event of system failures.</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contractors and consultants are vulnerable to damage from computer viruses, unauthorized access, natural disasters including earthquakes and tsunamis, terrorism, war, and telecommunication and electrical failures. Such events could cause significant interruption of our operations and development programs. For example, the loss of data for our product candidates could result in delays in our regulatory filings and development efforts and significantly increase our costs. To the extent that any disruption or security breach was to result in a loss of or damage to our data, or inappropriate disclosure of confidential or proprietary information, we could incur liability and the development of our product candidates could be delayed.</w:t>
      </w:r>
    </w:p>
    <w:p>
      <w:pPr>
        <w:spacing w:after="0" w:line="187"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addition, our product candidates are manufactured by starting with cells that are stored in a cryopreserved master cell bank. While we believe we have adequate backup should any cell bank be lost in a catastrophic event, we or our third-party suppliers and manufacturers could lose multiple cell banks, which would severely affect our manufacturing activities. We cannot assure you that any stability or other issues relating to the manufacture of any of our product candidates or products will not occur in the future.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disruptions of information technology systems or data security breaches could adversely affect our business.</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to operate our business. In the ordinary course of our business, we collect, store, process and transmit large amounts of confidential information, including intellectual property, proprietary business information and personal information. It is critical that we do so in a secure manner to maintain the confidentiality, integrity and availability of such information. We have also outsourced some of our operations (including parts of our information technology infrastructure) to a number of third-party vendors who may have, or could gain, access to our confidential information. In addition, many of those third parties, in turn, subcontract or outsource some of their responsibilities to third parties.</w:t>
      </w:r>
    </w:p>
    <w:p>
      <w:pPr>
        <w:spacing w:after="0" w:line="18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have been the target of events of this nature and expect them to continue.</w:t>
      </w:r>
    </w:p>
    <w:p>
      <w:pPr>
        <w:spacing w:after="0" w:line="192"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Significant disruptions of our, our third party vendors’ and/or business partners’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Any such event that leads to unauthorized access, use or disclosure of personal information, including personal information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information, which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adversely affected if we lose the services of the key personnel upon whom we depend or if we fail to attract senior management and key scientific personnel.</w:t>
      </w:r>
    </w:p>
    <w:p>
      <w:pPr>
        <w:spacing w:after="0" w:line="15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believe that our continued success depends to a significant extent upon our efforts and ability to retain highly qualified personnel, including our Chief Executive Officer, Brian Culley. All of our officers and other employees are at-will employees and may terminate their employment with us at any time with no advance notice. The loss of the services of Mr. Culley or other members of our senior management could have a material adverse effect on us. Further, the replacement of any of such individuals likely would involve significant time and costs and may significantly delay or prevent the achievement of our business and clinical objectives and would harm our business.</w:t>
      </w:r>
    </w:p>
    <w:p>
      <w:pPr>
        <w:spacing w:after="0" w:line="183"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In addition, we could experience difficulties attracting qualified employees in the future. For example, competition for qualified personnel in the biotechnology and medical device field is intense due to the limited number of individuals who possess the skills and experience required by our industry. We will need to hire additional personnel, including experienced sales representatives, as we expand our clinical development and commercial activities. We may not be able to attract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value of our investments in public companies fluctuates based on their respective stock prices and could be negatively affected by business, regulatory and other risks applicable to them.*</w:t>
      </w:r>
    </w:p>
    <w:p>
      <w:pPr>
        <w:spacing w:after="0" w:line="15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As of September 30, 2020, we had equity investments in two U.S. publicly traded companies, OncoCyte and AgeX. As of September 30, 2020, the value of our investments in OncoCyte and AgeX was approximately $5.0 million and $41,000, respectively, based on their closing stock prices as of that date. If these companies were to have delays in clinical trials or commercialization activities or otherwise realize the specific business, regulatory and other risks applicable to them, the value of their common stock and the valuation of our investment could be negatively affected. If these companies were to fail and ultimately cease operations, we may lose the entire value of our investments. In addition, the value of our marketable equity securities may be significantly and adversely impacted by deteriorating global economic conditions and the disruptions to and volatility in the credit and financial markets in the United States and worldwide resulting from the ongoing COVID-19 pandemic.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of our internal control over financial reporting could harm our business and financial results.</w:t>
      </w:r>
    </w:p>
    <w:p>
      <w:pPr>
        <w:spacing w:after="0" w:line="22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Because of its inherent limitations, internal control over financial reporting is not intended to provide absolute assurance that a misstatement of our financial statements would be prevented or detected. Our growth and entry into new products, technologies and markets will place significant additional pressure on our system of internal control over financial reporting. Any failure to maintain an effective system of internal control over financial reporting could limit our ability to report our financial results accurately and timely or to detect and prevent fraud. Operating our business through subsidiaries, some of which are located in foreign countries, also adds to the complexity of our internal control over financial reporting and adds to the risk of a system failure, an undetected improper use or expenditure of funds or other resources by a subsidiary, or a failure to properly report a transaction or financial results of a subsidiary. We allocate certain expenses among Lineage itself and one or more of our subsidiaries, which creates a risk that the allocations we make may not accurately reflect the benefit of an expenditure or use of financial or other resources by Lineage as the parent company and the subsidiaries among which the allocations are made. An inaccurate allocation may impact our consolidated financial results, particularly in the case of subsidiaries that we do not wholly own since our financial statements include adjustments to reflect the minority ownership interests in our subsidiaries held by others.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If we identify material weaknesses in our internal control over financial reporting, if we are unable to comply with the requirements of Section 404 of the Sarbanes-Oxley Act in a timely manner or assert that our internal control over financial reporting is effective, or if our independent registered public accounting firm is unable to express an opinion or expresses a qualified or adverse opinion about the effectiveness of our internal control over financial reporting, investors may lose confidence in the accuracy and completeness of our financial reports and the market price of our common shares could be negatively affected. In addition, we could become subject to investigations by the NYSE American, the Securities and Exchange Commission, and other regulatory authorities, which could require additional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received a loan under the Paycheck Protection Program of the CARES Act, and all or a portion of the loan may not be forgivable.*</w:t>
      </w:r>
    </w:p>
    <w:p>
      <w:pPr>
        <w:spacing w:after="0" w:line="229"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8"/>
          <w:szCs w:val="18"/>
          <w:color w:val="auto"/>
        </w:rPr>
        <w:t>In April 2020, we received a loan for $523,000 from Axos Bank under the PPP contained within the new CARES Act. The PPP loan has a term of two years, is unsecured, and is guaranteed by the U.S. Small Business Administration (SBA). The loan carries a fixed interest rate of one percent per annum, with the first six months of interest deferred. Under the CARES Act and Paycheck Protection Program Flexibility Act, we are eligible to apply for forgiveness of all loan proceeds used to pay payroll costs, rent, utilities and other qualifying expenses during the 24-week period following receipt of the loan, provided that we maintain our number of employees and compensation within certain parameters during such period. Not more than 40% of the forgiven amount may be for non-payroll costs. If the conditions outlined in the PPP loan program are adhered to by us, all or part of such loan could be forgiven. However, we cannot provide any assurance that any amount of the PPP loan will ultimately be forgiven by the SBA. Any forgiven amounts will not be included in our taxable income. We applied for full forgiveness of the PPP loan on September 30, 2020.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be subject, directly or indirectly, to federal and state healthcare fraud and abuse laws, including anti-kickback and false claims laws, transparency laws, and health information privacy and security laws. If we are unable to comply, or have not fully complied, with such laws, it could face substantial penalties.</w:t>
      </w:r>
    </w:p>
    <w:p>
      <w:pPr>
        <w:spacing w:after="0" w:line="17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current and future operations may be subject to various federal and state fraud and abuse laws, including, without limitation, the federal Anti-Kickback Statute, the federal False Claims Act, and healthcare professional transparency laws and regulations. These laws may impact, among other things, our research activities and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80" w:lineRule="exact"/>
        <w:rPr>
          <w:sz w:val="20"/>
          <w:szCs w:val="20"/>
          <w:color w:val="auto"/>
        </w:rPr>
      </w:pPr>
    </w:p>
    <w:p>
      <w:pPr>
        <w:jc w:val="both"/>
        <w:ind w:left="820" w:hanging="326"/>
        <w:spacing w:after="0" w:line="266"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7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executing a scheme to defraud any healthcare benefit program and making false statements relating to healthcare matters;</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81" w:lineRule="auto"/>
        <w:tabs>
          <w:tab w:leader="none" w:pos="8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(“HITECH”) and their implementing regulations, which imposes certain requirements on covered entities,” including certain healthcare providers, health plans, and healthcare clearinghouses, as well as their respective “business associates” that create, receive, maintain or transmit individually identifiable health information for or on behalf of a covered entity, relating to the privacy, security, and transmission of individually identifiable health information;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left="820" w:hanging="326"/>
        <w:spacing w:after="0" w:line="261"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which requires manufacturers of drugs, devices, biologics, and medical supplies to report annually to CMS information related to payments and other transfers of value to physicians, as defined by such law, and teaching hospitals, and ownership and investment interests held by physicians and other healthcare providers and their immediate family members and applicable group purchasing organizations; and</w:t>
      </w:r>
    </w:p>
    <w:p>
      <w:pPr>
        <w:spacing w:after="0" w:line="179" w:lineRule="exact"/>
        <w:rPr>
          <w:rFonts w:ascii="Times New Roman" w:cs="Times New Roman" w:eastAsia="Times New Roman" w:hAnsi="Times New Roman"/>
          <w:sz w:val="18"/>
          <w:szCs w:val="18"/>
          <w:color w:val="auto"/>
        </w:rPr>
      </w:pPr>
    </w:p>
    <w:p>
      <w:pPr>
        <w:jc w:val="both"/>
        <w:ind w:left="820" w:hanging="326"/>
        <w:spacing w:after="0" w:line="254"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payors,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9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In addition, recent health care reform legislation has strengthened these laws.</w:t>
      </w:r>
    </w:p>
    <w:p>
      <w:pPr>
        <w:spacing w:after="0" w:line="176"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we may be subject to significant penalties, including administrative, civil and criminal penalties, damages, fines, disgorgement, exclusion from participation in government health care programs, such as Medicare and Medicaid, integrity oversight and reporting obligations, imprisonment, and the curtailment or restructuring of our operations, any of which could adversely affect our ability to operate our business and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receive regulatory approvals, we will not be permitted to sell our therapeutic and medical device products.</w:t>
      </w:r>
    </w:p>
    <w:p>
      <w:pPr>
        <w:spacing w:after="0" w:line="22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therapeutic and medical device products that we and our subsidiaries develop cannot be sold until the FDA and corresponding foreign regulatory authorities approve the products for medical use. The need to obtain regulatory approval to market a new product means that:</w:t>
      </w:r>
    </w:p>
    <w:p>
      <w:pPr>
        <w:spacing w:after="0" w:line="162" w:lineRule="exact"/>
        <w:rPr>
          <w:sz w:val="20"/>
          <w:szCs w:val="20"/>
          <w:color w:val="auto"/>
        </w:rPr>
      </w:pPr>
    </w:p>
    <w:p>
      <w:pPr>
        <w:jc w:val="both"/>
        <w:ind w:left="820" w:hanging="326"/>
        <w:spacing w:after="0" w:line="26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to conduct expensive and time-consuming clinical trials of new products. The full cost of conducting and completing clinical trials necessary to obtain FDA and foreign regulatory approval of a new product cannot be presently determined but could exceed our current financial resources.</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the regulatory approval process for a pharmaceutical or cell-based product can take several years to complete. As a result, we will incur the expense and delay inherent in seeking FDA and foreign regulatory approval of new products, even if the results of clinical trials are favorable.</w:t>
      </w:r>
    </w:p>
    <w:p>
      <w:pPr>
        <w:spacing w:after="0" w:line="17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obtained from preclinical and clinical studies is susceptible to varying interpretations and regulatory changes that could delay, limit, or prevent regulatory agency approvals.</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therapeutic products we are developing with pluripotent stem cell technology involve the application of new technologies and approaches to medicine, the FDA or foreign regulatory agencies may subject those products to additional or more stringent review than drugs or biologics derived from other technologies.</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that is approved may be subject to restrictions on use.</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can recall or withdraw approval of a product, if it deems necessary.</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face similar regulatory issues in foreign countries.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Government-imposed bans or restrictions and religious, moral, and ethical concerns about the use of hES cells could prevent us from developing and successfully marketing stem cell products.</w:t>
      </w:r>
    </w:p>
    <w:p>
      <w:pPr>
        <w:spacing w:after="0" w:line="15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Government-imposed bans or restrictions on the use of embryos or hES cells in research and development in the United States and abroad could generally constrain stem cell research, thereby limiting the market and demand for our products. During March 2009, President Obama lifted certain restrictions on federal funding of research involving the use of hES cells, and in accordance with President Obama’s Executive Order, the National Institutes of Health (“NIH”) has adopted guidelines for determining the eligibility of hES cell lines for use in federally funded research. The central focus of the guidelines is to assure that hES cells used in federally funded research were derived from human embryos that were created for reproductive purposes, were no longer needed for this purpose, and were voluntarily donated for research purposes with the informed written consent of the donors. The hES cells that were derived from embryos created for research purposes rather than reproductive purposes, and other hES cells that were not derived in compliance with the guidelines, are not eligible for use in federally funded research. California law requires that stem cell research be conducted under the oversight of a stem cell review oversight committee (“SCRO”). Many kinds of stem cell research, including the derivation of new hES cell lines, may only be conducted in California with the prior written approval of the SCRO. A SCRO could prohibit or impose restrictions on the research that we plan to do. The use of hES cells may give rise to religious, moral, and ethical issues. These considerations could lead to more restrictive government regulations or could generally constrain stem cell research, thereby limiting the market and demand for our products.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expect that the commercial opportunity for some of our products may depend on our ability to obtain reimbursement and continued coverage from various payors, including government entities and insurance companies.</w:t>
      </w:r>
    </w:p>
    <w:p>
      <w:pPr>
        <w:spacing w:after="0" w:line="15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If these third-party payors do not consider our products to be cost-effective compared to other therapies, they may not cover our products as a benefit under their plans or, if they do, the level of payment may not be sufficient to allow us to sell our products on a profitable basis.</w:t>
      </w:r>
    </w:p>
    <w:p>
      <w:pPr>
        <w:spacing w:after="0" w:line="162"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For example, in the United States, healthcare providers are reimbursed for covered services and products they deliver through Medicare, Medicaid and other government healthcare programs, as well as through private payers. No uniform policy for coverage and reimbursement exists in the United States, and coverage and reimbursement can differ significantly from payor to payor. Decisions regarding whether to cover any of our product candidates, if approved, the extent of coverage and amount of reimbursement to be provided are made on a plan-by-plan basis.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We may be required to provide specified rebates or discounts on the products we sell to certain government funded programs, including Medicare and Medicaid, and those rebates or discounts have increased over time. The Patient Protection and Affordable Care Act, as amended by the Health Care and Education Reconciliation Act (collectively, the “ACA”), enacted in 2010, increased many of the mandatory discounts and rebates and imposed a new branded prescription pharmaceutical manufacturers and importers fee payable each year by certain manufacturers.</w:t>
      </w:r>
    </w:p>
    <w:p>
      <w:pPr>
        <w:spacing w:after="0" w:line="190"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face similar issues outside of the United States.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Disruptions at the FDA and other government agencies caused by funding shortages or global health concerns could negatively impact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proposed clinical trials or new product candidates can be affected by a variety of factors, including, but not limited to,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Separately, in response to the global COVID-19 pandemic, on March 10, 2020, the FDA announced its intention to postpone most foreign inspections of manufacturing facilities and products through April 2020, and subsequently,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ACA and future changes to that law may adversely affect our business.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adoption of the ACA, in the United States, substantial changes have been made to the system for paying for healthcare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Among the ACA’s provisions of importance to our industry are that it:</w:t>
      </w:r>
    </w:p>
    <w:p>
      <w:pPr>
        <w:spacing w:after="0" w:line="207"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the branded prescription pharmaceutical manufacturers and importers annual fee;</w:t>
      </w:r>
    </w:p>
    <w:p>
      <w:pPr>
        <w:spacing w:after="0" w:line="22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statutory minimum rebates a manufacturer must pay under the Medicaid Drug Rebate Program, to 23.1% and 13% of the average manufacturer price for most branded and generic drugs, respectively and capped the total rebate amount for innovator drugs at 100% of the Average Manufacturer Price;</w:t>
      </w:r>
    </w:p>
    <w:p>
      <w:pPr>
        <w:spacing w:after="0" w:line="17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new methodology by which rebates owed by manufacturers under the Medicaid Drug Rebate Program are calculated for certain drugs and biologics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manufacturers’ Medicaid rebate liability to covered drugs dispensed to individuals who are enrolled in Medicaid managed care organizations;</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entities eligible for discounts under the Public Health program;</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Patient-Centered Outcomes Research Institute to oversee, identify priorities in, and conduct comparative clinical effectiveness research, along with funding for such research;</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Centers for Medicare &amp; Medicaid Services (“CMS”) to test innovative payment and service delivery models to lower Medicare and Medicaid spending, potentially including prescription drug spending;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licensure framework for follow on biologic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There remain judicial and Congressional challenges to certain aspects of the ACA, as well as recent efforts by the Trump administration to repeal or replace certain aspects of the ACA. Since January 2017, President Trump has signed Executive Orders and other directives designed to delay the implementation of certain provisions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December 14, 2018, a Texas U.S. District Court Judge ruled that the ACA is unconstitutional in its entirety because the “individual mandate” was repealed by Congress as part of the 2017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w:t>
      </w:r>
    </w:p>
    <w:p>
      <w:pPr>
        <w:spacing w:after="0" w:line="19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For example, the Budget Control Act of 2011, includes reductions to Medicare payments to providers of 2% per fiscal year, which went into effect on April 1, 2013 and, due to subsequent legislative amendments to the statute, will remain in effect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9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In addition,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to use step therapy for Part B drugs beginning January 1, 2020.This final rule codified CMS’s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addition, it is possible that additional governmental action is taken to address the COVID-19 pandemic.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pandemic.</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the extensive legal and regulatory requirements affecting the health care industry, we could face increased costs, penalties and a loss of business.</w:t>
      </w:r>
    </w:p>
    <w:p>
      <w:pPr>
        <w:spacing w:after="0" w:line="15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Our activities, and the activities of our collaborators, distributors and other third-party providers, are subject to extensive government regulation and oversight both in the U.S. and in foreign jurisdictions. The FDA and comparable agencies in other jurisdictions will directly regulate many of our most critical business activities, including the conduct of preclinical and clinical studies, product manufacturing, advertising and promotion, product distribution, adverse event reporting and product risk management. Our interactions in the U.S. or abroad with physicians and other health care providers that may prescribe or purchase our products are also subject to government regulation designed to prevent fraud and abuse in the sale and use of the products and place greater restrictions on the marketing practices of health care companies. Health care companies are facing heightened scrutiny of their relationships with health care providers from anti-corruption enforcement officials. In addition, health care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Risks relating to compliance with laws and regulations may be heightened as we bring products to the market globally.</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Regulations governing the health care industry are subject to change, with possibly retroactive effect, including:</w:t>
      </w:r>
    </w:p>
    <w:p>
      <w:pPr>
        <w:spacing w:after="0" w:line="225" w:lineRule="exact"/>
        <w:rPr>
          <w:sz w:val="20"/>
          <w:szCs w:val="20"/>
          <w:color w:val="auto"/>
        </w:rPr>
      </w:pPr>
    </w:p>
    <w:p>
      <w:pPr>
        <w:jc w:val="both"/>
        <w:ind w:left="820" w:hanging="326"/>
        <w:spacing w:after="0" w:line="258"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or new interpretations of existing laws, regulations or decisions, related to health care availability, pricing or marketing practices, compliance with wage and hour laws and other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18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approval processes that may delay or prevent the approval of new products and result in lost market opportunity;</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that provide for increased transparency of clinical trial results and quality data, such as the EMA’s clinical transparency policy, which could impact our ability to protect trade secrets and competitively sensitive information contained in approval applications or could be misinterpreted leading to reputational damage, misperception or legal action which could harm our business; and</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7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Violations of governmental regulation may be punishable by criminal and civil sanctions against us, including fines and civil monetary penalties and exclusion from participation in government programs, including Medicare and Medicaid, as well as against executives overseeing our business. In addition to penalties for violation of laws and regulations, we could be required to repay amounts we received from government payors or pay additional rebates and interest if we are found to have miscalculated the pricing information we have submitted to the government.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Even if we receive approval for our products, we may be subject to extensive regulatory obligations in order to commercialize our products.</w:t>
      </w:r>
    </w:p>
    <w:p>
      <w:pPr>
        <w:spacing w:after="0" w:line="22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Even after initial FDA or foreign regulatory agency approval has been obtained, further studies may be required to provide additional data on safety or to gain approval for the use of a product as a treatment for clinical indications other than those initially targeted. Use of a product during testing and after marketing could reveal side effects that could delay, impede, or prevent marketing approval, result in a regulatory agency-ordered product recall, or in regulatory agency-imposed limitations on permissible uses or in withdrawal of approval. For example, if the FDA or foreign regulatory agency becomes aware of new safety information after approval of a product, it may require us to conduct further clinical trials to assess a known or potential serious risk and to assure that the benefit of the product outweigh the risks. If we are required to conduct such a post-approval study, periodic status reports must be submitted to the FDA or foreign regulatory agency. Failure to conduct such post-approval studies in a timely manner may result in substantial civil or criminal penalties. Data resulting from these clinical trials may result in expansions or restrictions to the labeled indications for which a product has already been approved. Any of these requirements or actions may negatively impact our business or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we may have to institute burdensome compliance requirements and our activities may be restricted.</w:t>
      </w:r>
    </w:p>
    <w:p>
      <w:pPr>
        <w:spacing w:after="0" w:line="15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An entity that, among other things, is or holds itself out as being engaged primarily, or proposes to engage primarily, in the business of investing, reinvesting, owning, trading or holding certain types of securities would be deemed an investment company under the Investment Company Act of 1940, as amended (the “1940 Act”). Based on the securities we hold, including our equity ownership in publicly traded companies, we may not meet the requirements for an exemption promulgated under the 1940 Act. If we are deemed to be an investment company under the 1940 Act, we would be subject to additional limitations on operating our business, including limitations on the issuance of securities, which may make it difficult for us to raise capital.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Clinical Development and Commercial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Clinical studies are costly, time consuming and are subject to risks that could delay or prevent commercialization of our current or future product candidates.</w:t>
      </w:r>
    </w:p>
    <w:p>
      <w:pPr>
        <w:spacing w:after="0" w:line="15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cannot guarantee that any clinical studies will be conducted as planned or completed on schedule, if at all. A failure of one or more clinical studies can occur at any stage of development. Events that may prevent successful or timely completion of clinical development include but are not limited to:</w:t>
      </w:r>
    </w:p>
    <w:p>
      <w:pPr>
        <w:spacing w:after="0" w:line="174" w:lineRule="exact"/>
        <w:rPr>
          <w:sz w:val="20"/>
          <w:szCs w:val="20"/>
          <w:color w:val="auto"/>
        </w:rPr>
      </w:pPr>
    </w:p>
    <w:p>
      <w:pPr>
        <w:ind w:left="820" w:hanging="326"/>
        <w:spacing w:after="0" w:line="284"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satisfactory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or diagnostics to support the initiation or continuation of clinical studies necessary for product approval;</w:t>
      </w:r>
    </w:p>
    <w:p>
      <w:pPr>
        <w:spacing w:after="0" w:line="160"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securing clinical investigators and agreeing on acceptable terms with contract research organizations (“CROs”) and clinical trial sites, the terms of which can be subject to extensive negotiation and may vary significantly among CROs and clinical trial sites;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(“IRB”) approval at each clinical trial site;</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permission from regulatory authorities to conduct a clinical trial after review of an investigational new drug (“IND”) or equivalent foreign application or amendment;</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rates of patient recruitment and enrollment (including as a result of actual or threatened public health emergencies and outbreaks of disease such as the current COVID-19 pandemic), failing to reach the targeted number of patients due to competition for patients from other trials, or patients dropping out of our clinical studies once enrolled;</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our CROs or other third parties to adhere to clinical trial requirements or report complete findings;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ind w:left="820" w:hanging="326"/>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the clinical studies in accordance with the FDA’s good clinical practices requirements or applicable foreign regulatory guidelines;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our product candidates or with product candidates of third parties that may have characteristics similar to or perceived to be similar to our product candidates;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which may result in our deciding, or regulators requiring us, to conduct additional clinical studies or to curtail or abandon development programs for a product candidate;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side effects, possibly resulting in the FDA or other regulatory authorities denying approval of our product candidates;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and introduction of new therapies or changes in standards of practice or regulatory guidance that render our clinical trial endpoints or the targeting of our proposed indications obsolete;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or problems with investigator or patient compliance with the trial protocols;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clinical trial supplies;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use clinical trial results from foreign jurisdictions to support U.S. regulatory approval;</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studies of our product candidates; and</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agreeing on acceptable terms with third-party manufacturers and the time for manufacture of sufficient quantities of our product candidates for use in clinical studies.</w:t>
      </w:r>
    </w:p>
    <w:p>
      <w:pPr>
        <w:spacing w:after="0" w:line="16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could result in additional costs to us or impair our ability to generate revenue. Clinical trial delays could also shorten any periods during which our products have patent protection and may allow competitors to develop and bring products to market before we do and may harm our business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Clinical and preclinical drug development involves a lengthy and expensive process with an uncertain outcome. The results of early preclinical trials and clinical trials of our product candidates are not necessarily predictive of future results. Our product candidates may not have favorable results in later clinical trials, if any, or receive regulatory approval on a timely basis, if at all.*</w:t>
      </w:r>
    </w:p>
    <w:p>
      <w:pPr>
        <w:spacing w:after="0" w:line="175"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Clinical and preclinical drug development is expensive and can take many years to complete, and its outcome is inherently uncertain. Our clinical trials may not be conducted as planned or completed on schedule, if at all, and failure can occur at any time during the preclinical trial or clinical trial process. All of our product candidates will require substantial additional development, and no assurances can be given that the development of any of our product candidates will ultimately be successful. Although we may from time to time disclose results from preclinical testing or preliminary data or interim results from our clinical studies of our product candidates, and earlier clinical studies, including clinical studies with similar product candidates, these are not necessarily predictive of future results, including clinical trial results. The historical failure rate for product candidates in our industry is high.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ind w:firstLine="492"/>
        <w:spacing w:after="0" w:line="282" w:lineRule="auto"/>
        <w:rPr>
          <w:sz w:val="20"/>
          <w:szCs w:val="20"/>
          <w:color w:val="auto"/>
        </w:rPr>
      </w:pPr>
      <w:r>
        <w:rPr>
          <w:rFonts w:ascii="Times New Roman" w:cs="Times New Roman" w:eastAsia="Times New Roman" w:hAnsi="Times New Roman"/>
          <w:sz w:val="18"/>
          <w:szCs w:val="18"/>
          <w:color w:val="auto"/>
        </w:rPr>
        <w:t>The results of our current and future clinical trials may differ from results achieved in earlier preclinical and clinical studies for a variety of reasons, including:</w:t>
      </w:r>
    </w:p>
    <w:p>
      <w:pPr>
        <w:spacing w:after="0" w:line="162" w:lineRule="exact"/>
        <w:rPr>
          <w:sz w:val="20"/>
          <w:szCs w:val="20"/>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demonstrate the potency and efficacy benefits observed in previous studies;</w:t>
      </w:r>
    </w:p>
    <w:p>
      <w:pPr>
        <w:spacing w:after="0" w:line="22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improve, standardize and automate the manufacture of our product candidates, including OpRegen, OPC1 and VAC2, and any resulting deviations in the manufacture of our product candidates, may adversely affect the safety, purity, potency or efficacy of such product candidates;</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trial design, including differences in size, eligibility criteria, and patient populations;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the standard of care may affect our ability to demonstrate efficacy or achieve trial endpoints in our current or future clinical trials;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or adverse events in patients that enroll in our current or future clinical trials;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preclinical and clinical tests may not be repeated in subsequent tests or be predictive of future results.</w:t>
      </w:r>
    </w:p>
    <w:p>
      <w:pPr>
        <w:spacing w:after="0" w:line="22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particular, data presented from the Phase 1/2a open-label trial showed that both the surgical procedure and the OpRegen cells were generally well tolerated, with no treatment-related systemic serious adverse events reported to date in the first nine patients. The best corrected visual acuity of these patients remained relatively stable. In addition, the imaging of patients 8 and 9 suggested early signs of structural improvement within the retina. However, we do not know how OpRegen will perform in future clinical trials.</w:t>
      </w:r>
    </w:p>
    <w:p>
      <w:pPr>
        <w:spacing w:after="0" w:line="18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It is not uncommon to observe results in clinical trials that are unexpected based on preclinical trials and early clinical trials, and many product candidates fail in clinical trials despite very promising early results. Moreover, preclinical and clinical data may be susceptible to varying interpretations and analyses. A number of companies in the biotechnology industry have suffered significant setbacks in clinical development even after achieving promising results in earlier studies.</w:t>
      </w:r>
    </w:p>
    <w:p>
      <w:pPr>
        <w:spacing w:after="0" w:line="18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Further, as a result of the COVID-19 pandemic, if patients drop out of our clinical trials, miss scheduled doses or follow-up visits or otherwise fail to follow clinical trial protocols, or if our clinical trials are otherwise disrupted due to COVID-19 or actions taken to slow its spread, the integrity of data from our clinical trials may be compromised or not accepted by the FDA or other regulatory authorities, which would represent a significant setback for the applicable program.</w:t>
      </w:r>
    </w:p>
    <w:p>
      <w:pPr>
        <w:spacing w:after="0" w:line="180"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Even if our current and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Our failure to meet the requirements to support marketing approval for our product candidates in our ongoing and future clinical trials would substantially harm our business and prospects. For the foregoing reasons, our ongoing and planned clinical trials may not be successful,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have multiple cell therapy programs in clinical development, we may expend our limited resources to pursue a particular product candidate and fail to capitalize on product candidates that may be more profitable or for which there is a greater likelihood of success.</w:t>
      </w:r>
    </w:p>
    <w:p>
      <w:pPr>
        <w:spacing w:after="0" w:line="15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have three cell therapy programs in clinical development. OpRegen is currently in a Phase 1/2a multicenter clinical trial for the treatment of dry AMD, OPC-1 is currently in a Phase 1/2a clinical trial for acute spinal cord injuries, and VAC2 is in a Phase 1 clinical trial in non-small cell lung cancer. As a result of these and other future clinical trials for these product candidates or any of our future product candidates may make our decision as to which product candidates to focus on more difficult and we may forgo or delay pursuit of opportunities with other product candidates that could have had greater commercial potential or likelihood of success.</w:t>
      </w:r>
    </w:p>
    <w:p>
      <w:pPr>
        <w:spacing w:after="0" w:line="183"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research and development programs and product candidates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commercial success of any of our current or future product candidates will depend upon the degree of market acceptance by physicians, patients, third-party payors, other health care providers and others in the medical community.</w:t>
      </w:r>
    </w:p>
    <w:p>
      <w:pPr>
        <w:spacing w:after="0" w:line="15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Even if a product candidate obtains regulatory approval, its commercial success will depend in part on physicians, patients, third-party payors, other health care providers and others in the medical community accepting our product candidates as medically useful, cost-effective, and safe. Any product we bring to the market may not gain market acceptance by such parties. The degree of market acceptance of any of our products will depend on several factors, including without limitation:</w:t>
      </w:r>
    </w:p>
    <w:p>
      <w:pPr>
        <w:spacing w:after="0" w:line="180" w:lineRule="exact"/>
        <w:rPr>
          <w:sz w:val="20"/>
          <w:szCs w:val="20"/>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and any side effects;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particularly as additive to existing treatments;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and use these therapies;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our products or competing products and treatments;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coverage and adequate reimbursement by third-party payors and government authorities.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will be uncertain. Efforts to educate the medical community and third-party payors on the benefits of the products may require significant investment and resources and may never succeed. If our products fail to achieve an adequate level of acceptance by physicians, patients, third-party payors, other health care providers and others in the medical community, we will not be able to generate sufficient revenue to become or remain profitable.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market opportunities for our product candidates are smaller than we believe and estimate they are, we may not meet our revenue expectations and our business may suffer.</w:t>
      </w:r>
    </w:p>
    <w:p>
      <w:pPr>
        <w:spacing w:after="0" w:line="15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projections of the number of potential users in the markets we are attempting to address are based on our beliefs and estimates. Our estimates have been derived from a variety of sources, including market research and publications and scientific literature estimating the total number of potential patients and currently approved or used therapies. Our estimates are also based on assumptions regarding the potential size of the market assuming broad regulatory approval or potential usage by physicians beyond the approved label. Any of our estimates may prove to be incorrect. The scope of approval and potential use of any product candidate may be significantly narrower, and the number of patients may turn out to be lower than expected. Competitive products or approaches may be approved or come into use and the potentially addressable patient population for each of our product candidates may be limited or may not be amenable to treatment with our product candidates, and new patients may become increasingly difficult to identify or gain access to, any which could adversely affect our results of operations and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the products we may develop will be adversely affected by the availability of competing products.</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products and product candidates will face substantial competition, whether through the development of safer and more effective alternatives to our products, lower costs to administer than our products or other forms of competition such as more favorable distribution, reimbursement and pricing or formulary and health care provider acceptance.</w:t>
      </w:r>
    </w:p>
    <w:p>
      <w:pPr>
        <w:spacing w:after="0" w:line="176"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cell therapy industry is characterized by rapidly evolving technology and intense competition. Our competitors include major multinational pharmaceutical companies, specialty biotechnology companies, and chemical and medical products companies operating in the fields of regenerative medicine, cell therapy, tissue engineering, and tissue regeneration. Many of these companies are well established and possess technical, research and development, financial, and sales and marketing resources significantly greater than ours. In addition, certain smaller biotechnology companies have formed strategic collaborations, partnerships, and other types of joint ventures with larger, well-established industry competitors that afford the smaller companies’ potential research and development as well as commercialization advantages. Academic institutions, governmental agencies, and other public and private research organizations are also conducting and financing research activities, which may produce products directly competitive to those we are developing.</w:t>
      </w:r>
    </w:p>
    <w:p>
      <w:pPr>
        <w:spacing w:after="0" w:line="19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believe that some of our competitors are trying to develop pluripotent cells and human embryonic progenitor cell (“hEPC”) based technologies and products that may compete with our stem cell products based on efficacy, safety, cost, and intellectual property positions. Ocata, which was acquired by a subsidiary of Astellas Pharma Inc., and Retinal Patch Technologies Inc. are conducting clinical trials of hES cell products designed to treat age-related macular degeneration. If their products are proven to be safe and effective, they may reach the market ahead of OpRegen.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may also face competition from companies that have filed patent applications relating to the propagation and differentiation of stem cells. Those companies include Ocata, which in 2015 had certain U.S. patents issue with claims directed to methods of producing RPE cells and isolating and purifying such cells. We may be required to seek licenses from these competitors in order to commercialize certain products proposed by us, and such licenses may not be granted.</w:t>
      </w:r>
    </w:p>
    <w:p>
      <w:pPr>
        <w:spacing w:after="0" w:line="18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face risks related to our own manufacturing capabilities and those related to our reliance on third parties to manufacture products, including those related to product acquisition costs, production delays, and supply shortages that could impair our ability to complete the development and commercialization of our product candidates.</w:t>
      </w:r>
    </w:p>
    <w:p>
      <w:pPr>
        <w:spacing w:after="0" w:line="17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manufacture of medical products is complex and requires significant expertise and capital investment, including the development of advanced manufacturing techniques and process controls. We do not currently have nor do we plan to acquire the infrastructure or capability to internally manufacture Renevia or our other HyStem products on a clinical or commercial scale. Although we have manufacturing capability through Cell Cure for OpRegen in Israel, we will need greater manufacturing capacity if we are to successfully commercialize our products. Unless we can raise the capital required to construct our own commercial scale manufacturing facilities and can develop the expertise to manage and operate a manufacturing facility of our own, we may need to rely on third-party manufacturers to manufacture any products we develop. There is no assurance that we will be able to identify manufacturers on acceptable terms or at all. Regardless of whether we do our own manufacturing or rely on third parties to manufacture products for us, we will face risks related to the manufacture of our products including these risks:</w:t>
      </w:r>
    </w:p>
    <w:p>
      <w:pPr>
        <w:spacing w:after="0" w:line="192" w:lineRule="exact"/>
        <w:rPr>
          <w:sz w:val="20"/>
          <w:szCs w:val="20"/>
          <w:color w:val="auto"/>
        </w:rPr>
      </w:pPr>
    </w:p>
    <w:p>
      <w:pPr>
        <w:ind w:left="820" w:right="20" w:hanging="326"/>
        <w:spacing w:after="0" w:line="282"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third-party manufacturers might not timely formulate and manufacture our products or produce the quantity and quality required to meet our clinical and commercial needs, if any.</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third-party manufacturers may not execute our manufacturing procedures appropriately.</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we engage may not perform as agreed or may not remain in the contract manufacturing business for the time required to supply our clinical trials or to successfully produce, store and distribute our products on a commercial scale.</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third-party manufacturers will be subject to ongoing periodic unannounced inspection by the FDA and corresponding state agencies to ensure strict compliance with current good manufacturing practices (“cGMP”), and other government regulations and corresponding foreign standards. We will not have control over third-party manufacturers’ compliance with applicable regulations and standards.</w:t>
      </w:r>
    </w:p>
    <w:p>
      <w:pPr>
        <w:spacing w:after="0" w:line="17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licenses for third-party intellectual property rights needed by manufacturers to produce our products.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manufacturers could breach or terminate their agreements with us.</w:t>
      </w:r>
    </w:p>
    <w:p>
      <w:pPr>
        <w:spacing w:after="0" w:line="225"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manufacturers may experience manufacturing difficulties as a result of resource constraints, labor disputes, unstable political environments, natural disasters, public health crises such as pandemics and epidemics, political crises such as terrorism, war, political insecurity or other conflict, or other events outside of our or our third-party manufacturers control (including as a result of actual or threatened public health emergencies and outbreaks of disease such as the current COVID-19 pandemic). This may result in business closures that affect us and our third-party manufacturers.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In addition, we may rely on third parties to perform release testing on our product candidates prior to delivery to patients. If these tests are not appropriately conducted and test data are not reliable, patients could be put at risk of serious harm which could result in product liability suits.</w:t>
      </w:r>
    </w:p>
    <w:p>
      <w:pPr>
        <w:spacing w:after="0" w:line="162"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If we or any third-party manufacturers we may engage were to encounter any of these difficulties, our ability to provide our product candidates to patients in clinical trials or to the medical market place would be jeopardized. Any delay or interruption in the supply of clinical trial supplies could delay the completion of clinical trials, increase the costs associated with maintaining clinical trial programs and, depending upon the period of delay, could require us to either commence new clinical trials at additional expense or terminate clinical trials completely. Each risk could delay our clinical trials, any approval of our product candidates by the FDA, or the commercialization of our product candidates, and could result in higher costs or deprive us of potential product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cell-based products that receive regulatory approval may be difficult and expensive to manufacture profitably.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Cell-based products are among the more expensive biologic products to manufacture in accordance with cGMP. We do not yet have sufficient information to reliably estimate the cost of commercially manufacturing any of our product candidates. Excessive manufacturing costs could make our product candidates too expensive to compete in the medical market place with alternative products manufactured by our competitors or might result in third party payors such as health insurers and Medicare, declining to cover our products or setting reimbursement levels too low for us to earn a profit from the commercialization of one or more of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secure a commercialization partner for Renevia.</w:t>
      </w:r>
    </w:p>
    <w:p>
      <w:pPr>
        <w:spacing w:after="0" w:line="22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September 2019, Renevia was granted a CE Mark and Class III classification with an intended use in adults as a resorbable matrix for the delivery of autologous adipose tissue preparations to restore and/or augment facial volume after subcutaneous fat volume loss for the treatment of facial lipoatrophy. The CE Mark provides us, or our authorized agent, the authority to market and distribute Renevia throughout the European Union (“EU”) and in other countries that recognize the CE Mark.</w:t>
      </w:r>
    </w:p>
    <w:p>
      <w:pPr>
        <w:spacing w:after="0" w:line="180"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However, because we have no commercial infrastructure, we are seeking a commercialization partner in the EU. We can give no assurance that we will secure a commercialization partner for Renevia or otherwise commercialize Renevia.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ongoing COVID-19 pandemic may adversely affect our operations, including the conduct of our clinical trials.*</w:t>
      </w:r>
    </w:p>
    <w:p>
      <w:pPr>
        <w:spacing w:after="0" w:line="22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In December 2019, a novel strain of coronavirus and the resulting illness known as COVID-19 emerged in Wuhan, China. The outbreak has now spread to other countries and has been declared a pandemic by the World Health Organization.</w:t>
      </w:r>
    </w:p>
    <w:p>
      <w:pPr>
        <w:spacing w:after="0" w:line="16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COVID-19 pandemic has resulted in travel and other restrictions in order to reduce the spread of the disease, including a California executive order and several other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the executive order, the shelter-in-place order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ind w:firstLine="492"/>
        <w:spacing w:after="0" w:line="282" w:lineRule="auto"/>
        <w:rPr>
          <w:sz w:val="20"/>
          <w:szCs w:val="20"/>
          <w:color w:val="auto"/>
        </w:rPr>
      </w:pPr>
      <w:r>
        <w:rPr>
          <w:rFonts w:ascii="Times New Roman" w:cs="Times New Roman" w:eastAsia="Times New Roman" w:hAnsi="Times New Roman"/>
          <w:sz w:val="18"/>
          <w:szCs w:val="18"/>
          <w:color w:val="auto"/>
        </w:rPr>
        <w:t>As COVID-19 continues to spread in the United States and Israel, we have experienced and may continue to experience disruptions that could adversely affect our operations and clinical trials, including:</w:t>
      </w:r>
    </w:p>
    <w:p>
      <w:pPr>
        <w:spacing w:after="0" w:line="162" w:lineRule="exact"/>
        <w:rPr>
          <w:sz w:val="20"/>
          <w:szCs w:val="20"/>
          <w:color w:val="auto"/>
        </w:rPr>
      </w:pPr>
    </w:p>
    <w:p>
      <w:pPr>
        <w:ind w:left="820" w:hanging="326"/>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or conducting follow-up visits with, patients in our clinical trials, particularly patients for our OpRegen Phase 1/2a clinical trial, who are older and who may be at higher risk of complications from COVID-19;</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staff;</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our employees and the staff of our current clinical sites due to sickness or social distancing measures;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difficulties for us and our suppliers of raw materials caused by business closures;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225"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and other disruptions in our operations and the global economy could negatively impact our business, operating results and financial condition. The extent to which the COVID-19 pandemic affects our operations will depend on future developments, which are highly uncertain and cannot be predicted with confidence, including the duration and severity of the pandemic, and the actions that may be required to contain the COVID-19 pandemic or treat its impact.</w:t>
      </w:r>
    </w:p>
    <w:p>
      <w:pPr>
        <w:spacing w:after="0" w:line="18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clinical trials have been, and may in the future be, affected by the COVID-19 pandemic. For example, the COVID-19 pandemic has impacted patient enrollment in our OpRegen Phase 1/2a multicenter clinical trial and the VAC2 Phase 1 multicenter clinical trial. In particular, some sites have paused enrollment to focus on, and direct resources to, the COVID-19 pandemic, while at other sites, patients are choosing not to enroll or continue participating in the clinical trial as a result of the pandemic. We are unable to predict with confidence the duration of such patient enrollment delays and difficulties. If patient enrollment is delayed for an extended period of time, such clinical trials could be delayed or otherwise adversely affected. Our inability to enroll a sufficient number of patients for any of our current or future clinical trials could result in significant delays or may require us to abandon one or more clinical trials altogether. As a result, we may experience new or additional delays and difficulties in enrollment, which would result in the delay of completion of such trials beyond our expected timelines.</w:t>
      </w:r>
    </w:p>
    <w:p>
      <w:pPr>
        <w:spacing w:after="0" w:line="19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Our ongoing or planned clinical trials may also be impacted by interruptions or delays in the operations of the FDA and comparable foreign regulatory agencies.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 disrupt the supply chain for our product candidates.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our product candidates or otherwise advancing development of our product candidates may become impaired.</w:t>
      </w:r>
    </w:p>
    <w:p>
      <w:pPr>
        <w:spacing w:after="0" w:line="18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biotechnology companies have been highly volatile as a result of the COVID-19 pandemic. As a result, we may face difficulties raising capital through sales of our common shares or such sales may be on unfavorable terms.</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COVID-19 and actions taken to reduce its spread continue to rapidly evolve. The extent to which COVID-19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17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withdrawal of the United Kingdom (the “U.K.”) from the EU, commonly referred to as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180"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On June 23, 2016, the U.K. held a referendum in which a majority of the eligible members of the electorate voted for the U.K. to leave the EU. The U.K. formally left the EU on January 31, 2020, which is commonly referred to as Brexit. The U.K. is subject to a transition period until December 31, 2020 (the “Transition Period”), during which EU rules continue to apply. During the Transition Period, negotiations between the U.K. and the EU are expected to continue in relation to the customs and trading relationship between the U.K. and the EU following the expiry of the Transition Period. Due to the COVID-19 global pandemic, negotiations between the U.K. and the EU that were scheduled for March and April were either being postponed or occurring in a reduced forum via video conference. There is, therefore, an increased likelihood that the Transition Period may need to be extended beyond December 31, 2020 (although it remains the position of the UK government that it will not be extended). Under the formal withdrawal arrangements between the United Kingdom and the European Union, the parties had until June 30, 2020 to agree to extend the Transition Period if required. No such extension was agreed prior to such date. No agreement has yet been reached between the United Kingdom and the European Union and it may be the case that no formal customs and trading agreement will be reached prior to the expiry of the Transition Period on December 31, 2020.</w:t>
      </w:r>
    </w:p>
    <w:p>
      <w:pPr>
        <w:spacing w:after="0" w:line="194"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candidates is derived from EU directives and regulations, Brexit, following the Transition Period, could materially impact the regulatory regime with respect to the development, manufacture, importation, approval and commercialization of our product candidates in the U.K. or the EU. For example, as a result of the uncertainty surrounding Brexit, the European Medicines Agency (the “EMA”) relocated to Amsterdam from London. Following the Transition Period, the U.K. will no longer be covered by the centralized procedures for obtaining EU-wide marketing authorization from the EMA and, unless a specific agreement is entered into, a separate process for authorization of drug products, including our product candidates, will be required in the U.K., the potential process for which is currently unclear. Any delay in obtaining, or an inability to obtain, any marketing approvals, as a result of Brexit or otherwise, would prevent us from commercializing our product candidates in the U.K. or the EU and restrict our ability to generate revenue and achieve and sustain profitability. In addition, we may be required to pay taxes or duties or be subjected to other hurdles in connection with the importation of our product candidates into the EU, or we may incur expenses in establishing a manufacturing facility in the EU in order to circumvent such hurdles. If any of these outcomes occur, we may be forced to restrict or delay efforts to seek regulatory approval in the U.K. or the EU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affected nations and the U.K. It is also possible that Brexit may negatively affect our ability to attract and retain employees, particularly those from the EU.</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face potential product liability, and, if successful claims are brought against us, we may incur substantial liability and costs. If the use or misuse of our products or product candidates harm patients or is perceived to harm patients even when such harm is unrelated to our products or product candidates, our regulatory approvals could be revoked, suspended or otherwise negatively affected, and we could be subject to costly and damaging product liability claims.</w:t>
      </w:r>
    </w:p>
    <w:p>
      <w:pPr>
        <w:spacing w:after="0" w:line="180"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face the risk of incurring liabilities to clinical trial patients if they are injured as a result of their participation in our clinical trials. In the event we commercialize Renevia in the EU or in other countries that recognize the CE Mark, we will also face product liability risks associated with the use of Renevia by consumers. If any claims are made and if liability can be established, the amount of any liability we or our affiliates may incur, could exceed any insurance coverage in effect, and the amount of the liability could be material to our financial condition.</w:t>
      </w:r>
    </w:p>
    <w:p>
      <w:pPr>
        <w:spacing w:after="0" w:line="180"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obtain marketing approval, including Renevia,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183" w:lineRule="exact"/>
        <w:rPr>
          <w:sz w:val="20"/>
          <w:szCs w:val="20"/>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w:t>
      </w:r>
    </w:p>
    <w:p>
      <w:pPr>
        <w:spacing w:after="0" w:line="225"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believe our current product liability insurance coverage is appropriate in light of our clinical programs; however, we may not be able to maintain insurance coverage at a reasonable cost or in sufficient amounts to protect us against losses due to liability. If and when we obtain marketing approval for product candidates, we intend to increase our insurance coverage to include the sale of commercial products; however, we may be unable to obtain product liability insurance on commercially reasonable terms or in adequate amounts. Significant damages have been awarded in class action lawsuits based on drugs or medical treatments that had unanticipated adverse effects. A successful product liability claim or series of claims brought against us could cause our stock price to decline and, if the amount of damages exceeds our insurance coverage, could adversely affect our results of operations and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6" w:name="page67"/>
    <w:bookmarkEnd w:id="66"/>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Cell Cure has received Israeli government grants for certain of its research and development activities. The terms of these grants may require Cell Cure to seek approvals and to satisfy specified conditions to manufacture products and transfer or license grant-supported technologies outside of Israel. In the context of such approvals, Cell Cure will be required to pay penalties in addition to the repayment of the grants. Such grants are applied for on a yearly basis and may not be available or only partially granted in the future, which would increase our costs.</w:t>
      </w:r>
    </w:p>
    <w:p>
      <w:pPr>
        <w:spacing w:after="0" w:line="180"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Cell Cure has received Israeli government grants for certain of its research and development activities. The terms of these grants require prior approval and the satisfaction of specified conditions to manufacture products and transfer or license technologies outside of Israel.</w:t>
      </w:r>
    </w:p>
    <w:p>
      <w:pPr>
        <w:spacing w:after="0" w:line="16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Under the Encouragement of Research, Development and Technological Innovation in the Industry Law 5744-1984 (formerly known as the Law for the Encouragement of Research and Development in Industry 5744-1984), and the regulations, guidelines, rules, procedures and benefit tracks thereunder (collectively, the “Innovation Law”), annual research and development programs that meet specified criteria and are approved by a committee of the Israel Innovation Authority (“IIA”) are eligible for grants. The grants awarded are typically up to 50% of the project’s expenditures, as determined by the IIA committee and subject to the benefit track under which the grant was awarded. A company that receives a grant from the IIA ( a “Grant Recipient”), is typically required to pay royalties to the IIA on income generated from products incorporating know-how developed using such grants (including income derived from services associated with such products) or on all revenues of the Grant Recipient (depending upon the terms of the approval letters issued by the IIA), until 100% of the U.S. dollar-linked grant plus annual LIBOR interest is repaid. In general, the rate of such royalties varies between 3% to 5%.</w:t>
      </w:r>
    </w:p>
    <w:p>
      <w:pPr>
        <w:spacing w:after="0" w:line="19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obligation to pay royalties is contingent on actual revenues being generated from such products and services or actual revenues being generated by the Grant Recipient in general (as the case may be). In the absence of such revenues, no payment of royalties is required. It should be noted that the restrictions under the Innovation Law will continue to apply even after the repayment of such royalties in full by the Grant Recipient including restrictions on the sale, transfer or licensing to a foreign entity of know-how developed as part of the programs under which the grants were given.</w:t>
      </w:r>
    </w:p>
    <w:p>
      <w:pPr>
        <w:spacing w:after="0" w:line="180"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terms of the grants under the Innovation Law also (generally) require that the products developed as part of the programs under which the grants were given be manufactured in Israel and that the know-how developed thereunder may not be transferred outside of Israel, unless prior written approval is received from the IIA (such approval is not required for the transfer of a portion of the manufacturing capacity which does not exceed, in the aggregate, 10% of the portion declared to be manufactured outside of Israel in the applications for funding (in which case only notification is required), and additional payments are required to be made to IIA). It should be noted that this does not restrict the export of products that incorporate the funded know-how.</w:t>
      </w:r>
    </w:p>
    <w:p>
      <w:pPr>
        <w:spacing w:after="0" w:line="183"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 Innovation Law restricts the ability to transfer or license know-how funded by IIA outside of Israel. Transfer of IIA-funded know-how outside of Israel requires prior approval and is subject to approval and payment of a redemption fee to the IIA calculated according to the relevant formulas provided under the Innovation Law. A transfer or license for the purpose of the Innovation Law are generally interpreted very broadly and include, inter alia, any actual sale or assignment of the IIA-funded know-how, any license to further develop or otherwise exploit the IIA-funded know-how or the products resulting from such IIA-funded know-how or any other transaction, which, in essence, constitutes a transfer of the IIA-funded know-how. Generally, a mere license solely to market or distribute products resulting from the IIA-funded know-how would not be deemed a transfer or license for the purpose of the Innovation Law.</w:t>
      </w:r>
    </w:p>
    <w:p>
      <w:pPr>
        <w:spacing w:after="0" w:line="18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Part of Cell Cure’s research and development efforts have been financed, partially, through grants that it has received from the IIA and when we acquired our holdings in Cell Cure, we undertook in writing, vis-à-vis the IIA, to abide by, and to ensure the abidance of Cell Cure to, the Innovation Law. We therefore must comply with the requirements of the Innovation Law and related regulations. As of December 31, 2019, we received approximately $14.5 million of such grants.</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restrictions under the Innovation Law may impair our ability to enter into agreements which involve IIA-funded products or know-how without the approval of IIA. We cannot be certain that any approval of IIA will be obtained on terms that are acceptable to us, or at all. We may not receive the required approvals should we wish to transfer or license IIA-funded know-how, manufacturing and/or development outside of Israel in the future. Furthermore, in the event that we undertake a transaction involving the transfer to a non-Israeli entity of know-how developed with IIA-funding pursuant to a merger or similar transaction, the consideration available to our shareholders may be reduced by the amounts we are required to pay to the IIA. Any approval, if given, will generally be subject to additional financial obligations. Failure to comply with the requirements under the Innovation Law may subject Cell Cure to mandatory repayment of grants received by it (together with interest and penalties), as well as expose its directors and management to criminal proceedings. In addition, the IIA may from time to time conduct royalty audits. Further grants may not be approved or reduced in the future, which would increase our costs. IIA approval is not required for the marketing or distribution of products resulting from the IIA-funded research or development in the ordinary course of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international business exposes us to business, regulatory, political, operational, financial and economic risks associated with doing business outside of the United States.</w:t>
      </w:r>
    </w:p>
    <w:p>
      <w:pPr>
        <w:spacing w:after="0" w:line="15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Cell Cure is our 99% owned subsidiary located in Jerusalem, Israel. OpRegen is currently manufactured at Cell Cure and we anticipate transitioning some or all of the manufacturing of OPC1 and VAC2 to Cell Cure as well. A portion of our OpRegen Phase 1/2a clinical trial has been conducted at sites in Israel. Conducting operations internationally involves a number of risks, including:</w:t>
      </w:r>
    </w:p>
    <w:p>
      <w:pPr>
        <w:spacing w:after="0" w:line="176" w:lineRule="exact"/>
        <w:rPr>
          <w:sz w:val="20"/>
          <w:szCs w:val="20"/>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the appropriate regulatory approvals;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drug product or patient samples, including infrastructure conditions and transportation delays;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and exposure to foreign currency exchange rate fluctuations;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wars, terrorism, and political unrest, outbreak of disease, boycotts, curtailment of trade and other business restrictions;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employment laws, data and privacy laws, regulatory requirements and other governmental approvals, permits and licenses; and</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may fall within the purview of the U.S. Foreign Corrupt Practices Act, UK Bribery Act, anti-boycott laws and other anti-corruption laws.</w:t>
      </w:r>
    </w:p>
    <w:p>
      <w:pPr>
        <w:spacing w:after="0" w:line="162"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Any of these factors could significantly harm our international operations and, consequently, our results of operations. In addition,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clinical trial activities.</w:t>
      </w:r>
    </w:p>
    <w:p>
      <w:pPr>
        <w:spacing w:after="0" w:line="18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international operations could be affected by changes in laws, trade regulations, labor and employment regulations, and procedures and actions affecting approval, production, pricing, reimbursement and marketing of tests, as well as by inter-governmental disputes. Any of these changes could adversely affect our business.</w:t>
      </w:r>
    </w:p>
    <w:p>
      <w:pPr>
        <w:spacing w:after="0" w:line="17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success internationally will depend, in part, on our ability to develop and implement policies and strategies that are effective in anticipating and managing these and other risks in Israel. Failure to manage these and other risks may have a material adverse effect on our operations in Israel and on our business as a whole.</w:t>
      </w:r>
    </w:p>
    <w:p>
      <w:pPr>
        <w:spacing w:after="0" w:line="17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 may be insufficient to protect our products.</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patents and patent applications are directed to compositions of matter, formulations, methods of use and/or methods of manufacturing, as appropriate. In addition to patenting our own technology and that of our subsidiaries, we have licensed patents and patent applications for certain stem cell technology, hEPC, and hES cell lines, hydrogel technology and other technology from other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ind w:firstLine="492"/>
        <w:spacing w:after="0" w:line="282"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including ours, are generally uncertain and involve complex legal and factual questions. Our business could be negatively affected by any of the following:</w:t>
      </w:r>
    </w:p>
    <w:p>
      <w:pPr>
        <w:spacing w:after="0" w:line="162" w:lineRule="exact"/>
        <w:rPr>
          <w:sz w:val="20"/>
          <w:szCs w:val="20"/>
          <w:color w:val="auto"/>
        </w:rPr>
      </w:pPr>
    </w:p>
    <w:p>
      <w:pPr>
        <w:ind w:left="820" w:hanging="326"/>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patents that are issued may not provide meaningful protection, may not provide a basis for commercially viable products or may not provide us with any competitive advantages;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may be challenged by third parties;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patents that relate to our technology or business that may prevent us from marketing our product candidates unless we are able to obtain a license to those patents;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pending patent applications to which we have rights may not result in issued patents;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may have terms that are inadequate to protect our competitive position on our products;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developing additional proprietary technologies that are patentable.</w:t>
      </w:r>
    </w:p>
    <w:p>
      <w:pPr>
        <w:spacing w:after="0" w:line="22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addition, others may independently develop similar or alternative technologies, duplicate any of our technologies and, if patents are licensed or issued to us, design around the patented technologies licensed to or developed by us. As an example, Astellas’ patent portfolio with respect to the manufacture of its RPE products could adversely impact our rights to manufacture OpRegen. Moreover, we could incur substantial costs in litigation if we have to defend ourselves in patent lawsuits brought by third parties or if we initiate such lawsuits.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obtain and enforce patents and to protect our trade secrets, others could use our technology to compete with us, which could limit opportunities for us to generate revenues by licensing our technology and selling products.</w:t>
      </w:r>
    </w:p>
    <w:p>
      <w:pPr>
        <w:spacing w:after="0" w:line="15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enforce patents and maintain trade secrets in the United States and in other countries. If we are unsuccessful at obtaining and enforcing patents, our competitors could use our technology and create products that compete with our products, without paying license fees or royalties to us. The preparation, filing, and prosecution of patent applications can be costly and time consuming. Our limited financial resources may not permit us to pursue patent protection of all of our technology and products in all key markets. Even if we are able to obtain issued patents covering our technology or products, we may have to incur substantial legal fees and other expenses to enforce our patent rights to protect our technology and products from infringing uses. We may not have the financial resources to finance the litigation required to preserve our patent and trade secret rights. 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This means that patents owned or licensed by us may be lost if the outcome of a proceeding is unfavorable to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no certainty that our pending or future patent applications will result in the issuance of patents.</w:t>
      </w:r>
    </w:p>
    <w:p>
      <w:pPr>
        <w:spacing w:after="0" w:line="22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defend patent and other intellectual property rights that are important to the commercialization of our products and product candidates. The degree of patent protection that will be afforded to our products and processes in the U.S. and in other important markets remains uncertain and is dependent upon the scope of protection decided upon by the patent offices, courts, administrative bodies and lawmakers in these countries. We can provide no assurance that we will successfully obtain or preserve patent protection for the technologies incorporated into our products and processes, or that the protection obtained will be of sufficient breadth and degree to protect our commercial interests in all countries where we conduct business. If we cannot prevent others from exploiting our inventions, we will not derive the benefit from them that we currently expect. Furthermore, we can provide no assurance that our products will not infringe patents or other intellectual property rights held by third parties.</w:t>
      </w:r>
    </w:p>
    <w:p>
      <w:pPr>
        <w:spacing w:after="0" w:line="192"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In Europe, there is uncertainty about the eligibility of hES cell subject matter for patent protection. The European Patent Convention prohibits the granting of European patents for inventions that concern “uses of human embryos for industrial or commercial purposes.” A recent decision at the Court of Justice of the European Union interpreted parthenogenetically produced hES cells as patentable subject matter. Consequently, the European Patent Office now recognizes that human pluripotent stem cells (including human ES cells) can be created without a destructive use of human embryos as of June 5, 2003, and patent applications relating to hES cell subject matter with a filing and priority date after this date are no longer automatically excluded from patentability under Article 53 (a) EPC and Rule 28(c) EPC.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Intellectual property we may develop using grants received from governments are subject to rights maintained by those governments.</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Research and development we perform that is funded by grants from government, and any intellectual property that we create using those grants, is subject to certain rights of the government entities to require that we license or grant rights to the intellectual property developed using government funding in certain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no certainty that we will be able to obtain licenses to intellectual property rights owned by third parties.</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There are no assurances that any of our intellectual property rights will guarantee protection or market exclusivity for our products and product candidates. In such cases, we may need to obtain enabling licenses from third parties to protect our products and product candidates, try to secure market exclusivity or avoid infringing on the intellectual property rights of third parties. If we are unable to fully protect our product candidates or achieve market exclusivity for our products and product candidates, our financial success will be dependent, in part, on our ability to protect and enforce our intellectual property rights, to operate without infringing upon the proprietary rights of others, or, when necessary, our ability to obtain enabling licenses.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meet our obligations under license agreements, we may lose our rights to key technologies on which our business depends.</w:t>
      </w:r>
    </w:p>
    <w:p>
      <w:pPr>
        <w:spacing w:after="0" w:line="22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Our business depends on several critical technologies that are based in part on technology licensed from third parties. Those third-party license agreements impose obligations on us, including payment obligations and obligations to pursue development of commercial products under the licensed patents or technology. If a licensor believes that we have failed to meet our obligations under a license agreement,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and our ability to raise any capital that we might then need, could be significantly and negatively affected. If our license rights were restricted or ultimately lost, we would not be able to continue to use the licensed technology in our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dependent on possible future collaborations to develop and commercialize many of our product candidates and to provide the regulatory compliance, sales, marketing and distribution capabilities required for the success of our business.</w:t>
      </w:r>
    </w:p>
    <w:p>
      <w:pPr>
        <w:spacing w:after="0" w:line="15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may enter into various kinds of collaborative research and development and product marketing agreements to develop and commercialize our products. The expected future milestone payments and cost reimbursements from collaboration agreements could provide an important source of financing for our research and development programs, thereby facilitating the application of our technology to the development and commercialization of our products, but there are risks associated with entering into collaboration arrangements.</w:t>
      </w:r>
    </w:p>
    <w:p>
      <w:pPr>
        <w:spacing w:after="0" w:line="180" w:lineRule="exact"/>
        <w:rPr>
          <w:sz w:val="20"/>
          <w:szCs w:val="20"/>
          <w:color w:val="auto"/>
        </w:rPr>
      </w:pPr>
    </w:p>
    <w:p>
      <w:pPr>
        <w:jc w:val="both"/>
        <w:ind w:right="20" w:firstLine="492"/>
        <w:spacing w:after="0" w:line="261" w:lineRule="auto"/>
        <w:rPr>
          <w:sz w:val="20"/>
          <w:szCs w:val="20"/>
          <w:color w:val="auto"/>
        </w:rPr>
      </w:pPr>
      <w:r>
        <w:rPr>
          <w:rFonts w:ascii="Times New Roman" w:cs="Times New Roman" w:eastAsia="Times New Roman" w:hAnsi="Times New Roman"/>
          <w:sz w:val="18"/>
          <w:szCs w:val="18"/>
          <w:color w:val="auto"/>
        </w:rPr>
        <w:t>There is a risk we could become dependent upon one or more collaborative arrangements. A collaborative arrangement upon which we might depend might be terminated by our collaboration partner or a partner might determine not to actively pursue the development or commercialization of our products. A collaboration partner also may not be precluded from independently pursuing competing products and drug delivery approaches or technologies.</w:t>
      </w:r>
    </w:p>
    <w:p>
      <w:pPr>
        <w:spacing w:after="0" w:line="180"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There is a risk that a collaboration partner might fail to perform its obligations under the collaborative arrangements or may be slow in performing its obligations. In addition, a collaboration partner may experience financial difficulties at any time that could prevent it from having available funds to contribute to the collaboration. If a collaboration partner fails to conduct its product development, commercialization, regulatory compliance, sales and marketing or distribution activities successfully and in a timely manner, or if it terminates or materially modifies its agreements with us, the development and commercialization of one or more product candidates could be delayed, curtailed or terminated because we may not have sufficient financial resources or capabilities to continue such development and commercialization on our own.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We do not have the ability to independently conduct clinical trials required to obtain regulatory approvals for our product candidates.*</w:t>
      </w:r>
    </w:p>
    <w:p>
      <w:pPr>
        <w:spacing w:after="0" w:line="22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will need to rely on third parties, such as CROs, data management companies, contract clinical research associates, medical institutions, clinical investigators and contract laboratories to conduct any clinical trials we may undertake for our product candidates. We may also rely on third parties to assist with preclinical development of our product candidates. If we outsource clinical trials, we may not directly control the timing, conduct and expense of our clinical trials. If we enlist third parties to conduct clinical trials and they fail to perform their contractual duties or regulatory obligations or fail to meet expected deadlines, if they need to be replaced or if the quality or accuracy of the data they obtain is compromised due to failing to adhere to our clinical protocols or regulatory requirements or for other reasons, our preclinical development activities or clinical trials may be extended, delayed, suspended or terminated, and we may not obtain regulatory approval for or successfully commercialize our product candidates.</w:t>
      </w:r>
    </w:p>
    <w:p>
      <w:pPr>
        <w:spacing w:after="0" w:line="18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these third parties, which could disrupt our clinical timelines, which could have a material adverse impact on our business, prospects,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relied on CIRM to fund past clinical trials of OPC1 and we do not know if they will provide additional funding for future studies of OPC1.</w:t>
      </w:r>
    </w:p>
    <w:p>
      <w:pPr>
        <w:spacing w:after="0" w:line="15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received $14.0 million of funding from CIRM to support clinical development of OPC1. We intend to apply for additional CIRM grants, if available; however, we cannot provide any assurance that such grants will be awarded. If we are unable to obtain another CIRM grant, we will need to raise funds through other mechanisms to support future clinical studies of OPC1, which may take additional time and effort. If capital is not immediately available, this may force us to amend, delay, or discontinue the clinical trial and development work for OPC1 until funding is secured.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need to rely on marketing partners or contract sales companies.</w:t>
      </w:r>
    </w:p>
    <w:p>
      <w:pPr>
        <w:spacing w:after="0" w:line="229" w:lineRule="exact"/>
        <w:rPr>
          <w:sz w:val="20"/>
          <w:szCs w:val="20"/>
          <w:color w:val="auto"/>
        </w:rPr>
      </w:pPr>
    </w:p>
    <w:p>
      <w:pPr>
        <w:jc w:val="both"/>
        <w:ind w:right="20" w:firstLine="492"/>
        <w:spacing w:after="0" w:line="261" w:lineRule="auto"/>
        <w:rPr>
          <w:sz w:val="20"/>
          <w:szCs w:val="20"/>
          <w:color w:val="auto"/>
        </w:rPr>
      </w:pPr>
      <w:r>
        <w:rPr>
          <w:rFonts w:ascii="Times New Roman" w:cs="Times New Roman" w:eastAsia="Times New Roman" w:hAnsi="Times New Roman"/>
          <w:sz w:val="18"/>
          <w:szCs w:val="18"/>
          <w:color w:val="auto"/>
        </w:rPr>
        <w:t>If we are able to develop our product candidates and obtain necessary regulatory approvals, we may need to rely on marketing, selling or distributing partners. If we do not partner for commercial services, we will depend on our ability to build our own marketing, selling and distribution capabilities, which would require the investment of significant financial and management resources, or we will need to find collaborative marketing partners, sales representatives or wholesale distributors for the commercial sale of our products.</w:t>
      </w:r>
    </w:p>
    <w:p>
      <w:pPr>
        <w:spacing w:after="0" w:line="180" w:lineRule="exact"/>
        <w:rPr>
          <w:sz w:val="20"/>
          <w:szCs w:val="20"/>
          <w:color w:val="auto"/>
        </w:rPr>
      </w:pPr>
    </w:p>
    <w:p>
      <w:pPr>
        <w:jc w:val="both"/>
        <w:ind w:right="20" w:firstLine="492"/>
        <w:spacing w:after="0" w:line="261" w:lineRule="auto"/>
        <w:rPr>
          <w:sz w:val="20"/>
          <w:szCs w:val="20"/>
          <w:color w:val="auto"/>
        </w:rPr>
      </w:pPr>
      <w:r>
        <w:rPr>
          <w:rFonts w:ascii="Times New Roman" w:cs="Times New Roman" w:eastAsia="Times New Roman" w:hAnsi="Times New Roman"/>
          <w:sz w:val="18"/>
          <w:szCs w:val="18"/>
          <w:color w:val="auto"/>
        </w:rPr>
        <w:t>If we market products through arrangements with third parties, we may pay sales commissions to sales representatives or we may sell or consign products to distributors at wholesale prices. As a result, our gross profit from product sales may be lower than it would be if we sold our products directly to end users at retail prices through our own sales force. There can be no assurance we will able to negotiate distribution or sales agreements with third parties on favorable terms to justify our investment in our products or achieve sufficient revenues to support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Pertaining to Our Common Shares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are engaged in the development of pharmaceutical and stem cell therapy products, the price of our common shares may rise and fall rapidly.</w:t>
      </w:r>
    </w:p>
    <w:p>
      <w:pPr>
        <w:spacing w:after="0" w:line="15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market price of our common shares, like that of the shares of many biotechnology companies, has been highly volatile. The price of our common shares may rise rapidly in response to certain events, such as the commencement of clinical trials of an experimental new therapy, even though the outcome of those trials and the likelihood of ultimate FDA approval of a therapeutic product remain uncertain. Similarly, prices of our common shares may fall rapidly in response to certain events such as unfavorable results of clinical trials or a delay or failure to obtain FDA approval. The failure of our earnings to meet analysts’ expectations could result in a significant rapid decline in the market price of our common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Current economic and stock market conditions may adversely affect the price of our common shares.</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stock market has been experiencing extreme price and volume fluctuations which have affected the market price of the equity securities without regard to the operating performance of the issuing companies. Broad market fluctuations, as well as general economic, political and other conditions (such as the recent coronavirus outbreak), may adversely affect the market price of our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we do not pay cash dividends, our common shares may not be a suitable investment for anyone who needs to earn dividend income.</w:t>
      </w:r>
    </w:p>
    <w:p>
      <w:pPr>
        <w:spacing w:after="0" w:line="229"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We do not pay cash dividends on our common shares. For the foreseeable future, we anticipate that any earnings generated in our business will be used to finance the growth of our business and will not be paid out as dividends to holders of our common shares. This means that our common shares may not be a suitable investment for anyone who needs to earn income from their investments.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Insiders continue to have substantial influence over our company, which could limit your ability to influence the outcome of key transactions, including a change of control.</w:t>
      </w:r>
    </w:p>
    <w:p>
      <w:pPr>
        <w:spacing w:after="0" w:line="15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Our directors, executive officers and their affiliates, in the aggregate, owned approximately 28% of our outstanding common shares as of December 31, 2019. As a result, these shareholders, if acting together, will be able to heavily influence or control matters requiring approval by our shareholders, including the election of directors and the approval of mergers, acquisitions or other extraordinary transactions. They may also have interests that differ from yours and may vote in a way with which you disagree, and which may be averse to your interests. This concentration of ownership may have the effect of delaying, preventing or deterring a change of control of our company, could deter certain public investors from purchasing our common shares and might ultimately affect the market price of our common shares.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negatively affected as a result of actions of activist shareholders, and such activism could affect the trading value of our securities.</w:t>
      </w:r>
    </w:p>
    <w:p>
      <w:pPr>
        <w:spacing w:after="0" w:line="159"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Shareholders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Securities analysts may not initiate coverage or continue to cover our common shares, and this may have a negative impact on the market price of our common shares.</w:t>
      </w:r>
    </w:p>
    <w:p>
      <w:pPr>
        <w:spacing w:after="0" w:line="15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shares depends, in part, on the research and reports that securities analysts publish about our business and our common shares. We do not have any control over these analysts. There is no guarantee that securities analysts will cover our common shares. If securities analysts do not cover our common shares, the lack of research coverage may adversely affect the market price of those shares. If securities analysts do cover our common shares, they could issue reports or recommendations that are unfavorable to the price of our common shares, and they could downgrade a previously favorable report or recommendation, and in either case our share prices could decline as a result of the report. If one or more of these analysts does not initiate coverage, ceases to cover our common shares or fails to publish regular reports on our business, we could lose visibility in the financial markets, which could cause our share prices or trading volume to decline.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or our subsidiaries issue additional common shares or preferred shares, investors in our common shares may experience dilution of their ownership interests.*</w:t>
      </w:r>
    </w:p>
    <w:p>
      <w:pPr>
        <w:spacing w:after="0" w:line="15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and our subsidiaries may issue additional common shares or other securities convertible into or exercisable for common shares to raise additional capital or to hire or retain employees or consultants, or in connection with future acquisitions of companies or licenses to technology or rights, or for other business purposes. The future issuance of additional securities may be dilutive to our shareholders and may create downward pressure on the trading price of our common shares.</w:t>
      </w:r>
    </w:p>
    <w:p>
      <w:pPr>
        <w:spacing w:after="0" w:line="180"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are currently authorized to issue an aggregate of 252,000,000 shares of capital stock consisting of 250,000,000 common shares and 2,000,000 “blank check” preferred shares, which means we may issue, without stockholder approval, one or more series of preferred stock having such designation, powers, privileges, preferences, including preferences over our common shares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shares. Any preferred shares may also be convertible into common shares on terms that would be dilutive to holders of common shares. Our subsidiaries may also issue their own preferred shares with a similar impact on our ownership of the subsidiaries.</w:t>
      </w:r>
    </w:p>
    <w:p>
      <w:pPr>
        <w:spacing w:after="0" w:line="18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As of September 30, 2020, Lineage had 149,991,454 common shares outstanding, 16,559,980 common shares reserved for issuance upon the exercise of outstanding options under our employee stock option plans, 108,150 common shares reserved for issuance upon the vesting and settlement of restricted stock units under our equity incentive plan, and 1,089,900 common shares subject to warrants.</w:t>
      </w:r>
    </w:p>
    <w:p>
      <w:pPr>
        <w:spacing w:after="0" w:line="179" w:lineRule="exact"/>
        <w:rPr>
          <w:sz w:val="20"/>
          <w:szCs w:val="20"/>
          <w:color w:val="auto"/>
        </w:rPr>
      </w:pPr>
    </w:p>
    <w:p>
      <w:pPr>
        <w:jc w:val="both"/>
        <w:ind w:right="20" w:firstLine="495"/>
        <w:spacing w:after="0" w:line="225" w:lineRule="auto"/>
        <w:rPr>
          <w:sz w:val="20"/>
          <w:szCs w:val="20"/>
          <w:color w:val="auto"/>
        </w:rPr>
      </w:pPr>
      <w:r>
        <w:rPr>
          <w:rFonts w:ascii="Times New Roman" w:cs="Times New Roman" w:eastAsia="Times New Roman" w:hAnsi="Times New Roman"/>
          <w:sz w:val="18"/>
          <w:szCs w:val="18"/>
          <w:color w:val="auto"/>
        </w:rPr>
        <w:t>In addition, in May 2020 we entered into a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Fitzgerald”), pursuant to which we may, but are not obligated to, raise up to $25.0 million through the sale of common shares from time to time in at-the-market transactions under the Sales Agreement. As of September 30, 2020, no sales had been made under the Sales Agreement.</w:t>
      </w:r>
    </w:p>
    <w:p>
      <w:pPr>
        <w:spacing w:after="0" w:line="200"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operation of some of our subsidiaries has been financed in part through the sale of shares of capital stock and warrants to purchase securities of those subsidiaries to private investors. Future sales of such securities by our subsidiaries could reduce our ownership interest in the applicable subsidiary, and correspondingly dilute our shareholder’s ownership interests in our consolidated enterprise. Certain of our subsidiaries also have their own stock option plans and the exercise of stock options or the sale of restricted stock under those plans would also reduce our ownership interest in the applicable subsidiary, with a resulting dilutive effect on the ownership interest of our shareholders in our consolidated enterprise.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4"/>
        </w:trPr>
        <w:tc>
          <w:tcPr>
            <w:tcW w:w="124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5"/>
        </w:trPr>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tcPr>
          <w:p>
            <w:pPr>
              <w:spacing w:after="0"/>
              <w:rPr>
                <w:sz w:val="21"/>
                <w:szCs w:val="21"/>
                <w:color w:val="auto"/>
              </w:rPr>
            </w:pPr>
          </w:p>
        </w:tc>
        <w:tc>
          <w:tcPr>
            <w:tcW w:w="360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21"/>
                <w:szCs w:val="2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18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2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File No.</w:t>
            </w:r>
          </w:p>
        </w:tc>
      </w:tr>
      <w:tr>
        <w:trPr>
          <w:trHeight w:val="198"/>
        </w:trPr>
        <w:tc>
          <w:tcPr>
            <w:tcW w:w="10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7"/>
                <w:szCs w:val="17"/>
                <w:color w:val="auto"/>
              </w:rPr>
            </w:pPr>
          </w:p>
        </w:tc>
        <w:tc>
          <w:tcPr>
            <w:tcW w:w="4900" w:type="dxa"/>
            <w:vAlign w:val="bottom"/>
            <w:tcBorders>
              <w:top w:val="single" w:sz="8" w:color="auto"/>
            </w:tcBorders>
            <w:gridSpan w:val="6"/>
          </w:tcPr>
          <w:p>
            <w:pPr>
              <w:ind w:left="20"/>
              <w:spacing w:after="0" w:line="198" w:lineRule="exact"/>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Restated Articles of Incorporation, as amended</w:t>
              </w:r>
            </w:hyperlink>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jc w:val="right"/>
              <w:ind w:right="470"/>
              <w:spacing w:after="0" w:line="198" w:lineRule="exact"/>
              <w:rPr>
                <w:sz w:val="20"/>
                <w:szCs w:val="20"/>
                <w:color w:val="auto"/>
              </w:rPr>
            </w:pPr>
            <w:r>
              <w:rPr>
                <w:rFonts w:ascii="Times New Roman" w:cs="Times New Roman" w:eastAsia="Times New Roman" w:hAnsi="Times New Roman"/>
                <w:sz w:val="18"/>
                <w:szCs w:val="18"/>
                <w:color w:val="auto"/>
                <w:w w:val="88"/>
              </w:rPr>
              <w:t>3.1</w:t>
            </w: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10-Q</w:t>
            </w:r>
          </w:p>
        </w:tc>
        <w:tc>
          <w:tcPr>
            <w:tcW w:w="200" w:type="dxa"/>
            <w:vAlign w:val="bottom"/>
          </w:tcPr>
          <w:p>
            <w:pPr>
              <w:spacing w:after="0"/>
              <w:rPr>
                <w:sz w:val="17"/>
                <w:szCs w:val="17"/>
                <w:color w:val="auto"/>
              </w:rPr>
            </w:pPr>
          </w:p>
        </w:tc>
        <w:tc>
          <w:tcPr>
            <w:tcW w:w="18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May 10, 2018</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w w:val="97"/>
              </w:rPr>
              <w:t>001-12830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4960" w:type="dxa"/>
            <w:vAlign w:val="bottom"/>
            <w:gridSpan w:val="7"/>
          </w:tcPr>
          <w:p>
            <w:pPr>
              <w:ind w:left="20"/>
              <w:spacing w:after="0"/>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Certificate of Ownership</w:t>
              </w:r>
            </w:hyperlink>
          </w:p>
        </w:tc>
        <w:tc>
          <w:tcPr>
            <w:tcW w:w="9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August 12, 2019</w:t>
            </w:r>
          </w:p>
        </w:tc>
        <w:tc>
          <w:tcPr>
            <w:tcW w:w="13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001-12830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4960" w:type="dxa"/>
            <w:vAlign w:val="bottom"/>
            <w:gridSpan w:val="7"/>
          </w:tcPr>
          <w:p>
            <w:pPr>
              <w:ind w:left="20"/>
              <w:spacing w:after="0"/>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Amended and Restated Bylaws</w:t>
              </w:r>
            </w:hyperlink>
          </w:p>
        </w:tc>
        <w:tc>
          <w:tcPr>
            <w:tcW w:w="9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August 12, 2019</w:t>
            </w:r>
          </w:p>
        </w:tc>
        <w:tc>
          <w:tcPr>
            <w:tcW w:w="13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001-12830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4960" w:type="dxa"/>
            <w:vAlign w:val="bottom"/>
            <w:gridSpan w:val="7"/>
          </w:tcPr>
          <w:p>
            <w:pPr>
              <w:ind w:left="20"/>
              <w:spacing w:after="0"/>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Lease Termination Agreement dated September 11, 2020</w:t>
              </w:r>
            </w:hyperlink>
          </w:p>
        </w:tc>
        <w:tc>
          <w:tcPr>
            <w:tcW w:w="9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September 14, 2020</w:t>
            </w:r>
          </w:p>
        </w:tc>
        <w:tc>
          <w:tcPr>
            <w:tcW w:w="13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001-12830</w:t>
            </w: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6"/>
                <w:szCs w:val="16"/>
                <w:color w:val="auto"/>
              </w:rPr>
            </w:pPr>
          </w:p>
        </w:tc>
        <w:tc>
          <w:tcPr>
            <w:tcW w:w="4900" w:type="dxa"/>
            <w:vAlign w:val="bottom"/>
            <w:tcBorders>
              <w:bottom w:val="single" w:sz="8" w:color="0000EE"/>
            </w:tcBorders>
            <w:gridSpan w:val="6"/>
          </w:tcPr>
          <w:p>
            <w:pPr>
              <w:ind w:left="20"/>
              <w:spacing w:after="0" w:line="194"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Certification of Chief Executive Officer pursuant to Form of Rule</w:t>
              </w:r>
            </w:hyperlink>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8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13a-14(a), as Adopted Pursuant to Section 302(a) of the Sarbanes-</w:t>
              </w:r>
            </w:hyperlink>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8"/>
              </w:rPr>
            </w:pPr>
            <w:hyperlink w:anchor="page76">
              <w:r>
                <w:rPr>
                  <w:rFonts w:ascii="Times New Roman" w:cs="Times New Roman" w:eastAsia="Times New Roman" w:hAnsi="Times New Roman"/>
                  <w:sz w:val="18"/>
                  <w:szCs w:val="18"/>
                  <w:color w:val="0000EE"/>
                  <w:w w:val="98"/>
                </w:rPr>
                <w:t>Oxley Act of 2002</w:t>
              </w:r>
            </w:hyperlink>
          </w:p>
        </w:tc>
        <w:tc>
          <w:tcPr>
            <w:tcW w:w="360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484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Certification of Chief Financial Officer pursuant to Form of Rule</w:t>
              </w:r>
            </w:hyperlink>
          </w:p>
        </w:tc>
        <w:tc>
          <w:tcPr>
            <w:tcW w:w="1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8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13a-14(a), as Adopted Pursuant to Section 302(a) of the Sarbanes-</w:t>
              </w:r>
            </w:hyperlink>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8"/>
              </w:rPr>
            </w:pPr>
            <w:hyperlink w:anchor="page77">
              <w:r>
                <w:rPr>
                  <w:rFonts w:ascii="Times New Roman" w:cs="Times New Roman" w:eastAsia="Times New Roman" w:hAnsi="Times New Roman"/>
                  <w:sz w:val="18"/>
                  <w:szCs w:val="18"/>
                  <w:color w:val="0000EE"/>
                  <w:w w:val="98"/>
                </w:rPr>
                <w:t>Oxley Act of 2002</w:t>
              </w:r>
            </w:hyperlink>
          </w:p>
        </w:tc>
        <w:tc>
          <w:tcPr>
            <w:tcW w:w="360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486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Certification of Chief Executive Officer and Chief Financial</w:t>
              </w:r>
            </w:hyperlink>
          </w:p>
        </w:tc>
        <w:tc>
          <w:tcPr>
            <w:tcW w:w="1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Officer pursuant to 18 U.S.C. Section 1350, as Adopted Pursuant</w:t>
              </w:r>
            </w:hyperlink>
          </w:p>
        </w:tc>
        <w:tc>
          <w:tcPr>
            <w:tcW w:w="1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7"/>
          </w:tcPr>
          <w:p>
            <w:pPr>
              <w:ind w:left="20"/>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to Section 906 of the Sarbanes-Oxley Act of 2002</w:t>
              </w:r>
            </w:hyperlink>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3600" w:type="dxa"/>
            <w:vAlign w:val="bottom"/>
            <w:tcBorders>
              <w:top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Interactive Data File</w:t>
            </w:r>
          </w:p>
        </w:tc>
        <w:tc>
          <w:tcPr>
            <w:tcW w:w="136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4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XBRL document)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LINEAGE CELL THERAPEUTICS, INC.</w:t>
      </w:r>
    </w:p>
    <w:p>
      <w:pPr>
        <w:spacing w:after="0" w:line="2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4, 2020</w:t>
      </w:r>
      <w:r>
        <w:rPr>
          <w:sz w:val="20"/>
          <w:szCs w:val="20"/>
          <w:color w:val="auto"/>
        </w:rPr>
        <w:tab/>
      </w:r>
      <w:r>
        <w:rPr>
          <w:rFonts w:ascii="Times New Roman" w:cs="Times New Roman" w:eastAsia="Times New Roman" w:hAnsi="Times New Roman"/>
          <w:sz w:val="17"/>
          <w:szCs w:val="17"/>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Brian M. Culley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4, 2020</w:t>
      </w:r>
      <w:r>
        <w:rPr>
          <w:sz w:val="20"/>
          <w:szCs w:val="20"/>
          <w:color w:val="auto"/>
        </w:rPr>
        <w:tab/>
      </w:r>
      <w:r>
        <w:rPr>
          <w:rFonts w:ascii="Times New Roman" w:cs="Times New Roman" w:eastAsia="Times New Roman" w:hAnsi="Times New Roman"/>
          <w:sz w:val="18"/>
          <w:szCs w:val="18"/>
          <w:i w:val="1"/>
          <w:iCs w:val="1"/>
          <w:color w:val="auto"/>
        </w:rPr>
        <w:t>/s/ Brandi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Brandi L. Roberts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M. Culley,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Lineage Cell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M. Culley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Brandi L. Roberts,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Lineage Cell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Brandi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L.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Lineage Cell Therapeutics, Inc. (the “Company”) for the quarter ended September 30, 2020 as filed with the Securities and Exchange Commission on the date hereof (the “Report”), we, Brian M. Culley, Chief Executive Officer of the Company, and Brandi L. Roberts,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499" w:lineRule="auto"/>
        <w:tabs>
          <w:tab w:leader="none" w:pos="3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4, 2020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M. Culley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Brandi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L.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1"/>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lowerRoman"/>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86" Type="http://schemas.openxmlformats.org/officeDocument/2006/relationships/hyperlink" Target="https://www.sec.gov/Archives/edgar/data/876343/000149315218006559/ex3-1.htm" TargetMode="External"/><Relationship Id="rId87" Type="http://schemas.openxmlformats.org/officeDocument/2006/relationships/hyperlink" Target="https://www.sec.gov/Archives/edgar/data/876343/000149315219012036/ex3-1.htm" TargetMode="External"/><Relationship Id="rId88" Type="http://schemas.openxmlformats.org/officeDocument/2006/relationships/hyperlink" Target="https://www.sec.gov/Archives/edgar/data/876343/000149315219012036/ex3-2.htm" TargetMode="External"/><Relationship Id="rId89" Type="http://schemas.openxmlformats.org/officeDocument/2006/relationships/hyperlink" Target="https://www.sec.gov/Archives/edgar/data/876343/00014931522001769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2020-11-04T15:33:35Z</dcterms:created>
  <dcterms:modified xsi:type="dcterms:W3CDTF">2020-11-04T15:33:35Z</dcterms:modified>
</cp:coreProperties>
</file>