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11,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Lineage Cell Therapeutics,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California</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001-12830</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94-3127919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2173 Salk Avenue, Suite 200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Carlsbad, California</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92008</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(442) 287-8990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746" w:right="3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7980" w:type="dxa"/>
            <w:vAlign w:val="bottom"/>
            <w:gridSpan w:val="5"/>
          </w:tcPr>
          <w:p>
            <w:pPr>
              <w:ind w:left="30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452"/>
        </w:trPr>
        <w:tc>
          <w:tcPr>
            <w:tcW w:w="3260" w:type="dxa"/>
            <w:vAlign w:val="bottom"/>
          </w:tcPr>
          <w:p>
            <w:pPr>
              <w:jc w:val="center"/>
              <w:ind w:left="270"/>
              <w:spacing w:after="0"/>
              <w:rPr>
                <w:sz w:val="20"/>
                <w:szCs w:val="20"/>
                <w:color w:val="auto"/>
              </w:rPr>
            </w:pPr>
            <w:r>
              <w:rPr>
                <w:rFonts w:ascii="Arial" w:cs="Arial" w:eastAsia="Arial" w:hAnsi="Arial"/>
                <w:sz w:val="18"/>
                <w:szCs w:val="18"/>
                <w:color w:val="auto"/>
                <w:w w:val="90"/>
              </w:rPr>
              <w:t>Title of each class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4"/>
        </w:trPr>
        <w:tc>
          <w:tcPr>
            <w:tcW w:w="3260" w:type="dxa"/>
            <w:vAlign w:val="bottom"/>
            <w:tcBorders>
              <w:top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89"/>
              </w:rPr>
              <w:t>Common shares, no par value</w:t>
            </w: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LCTX</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NYSE American</w:t>
            </w:r>
          </w:p>
        </w:tc>
      </w:tr>
    </w:tbl>
    <w:p>
      <w:pPr>
        <w:spacing w:after="0" w:line="183"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11, 2022, the Compensation Committee of the Board of Directors of Lineage Cell Therapeutics, Inc. (the “Company”) approved restricted stock units awards (“RSUs”) for an aggregate of 694,424 of the Company’s common shares, to certain of its employees, including the Company’s executive officers, to further align management with the achievement of certain development milestones under the Company’s Collaboration and License Agreement (the “License Agreement”) with F. Hoffmann-La Roche Ltd and Genentech, Inc., a member of the Roche Group (collectively, “Roche”), dated December 17, 2021.</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each RSU, half of the common shares subject to the RSU will vest in four equal annual installments beginning on the first anniversary of the grant date. The other half of the common shares subject to each RSU will vest in connection with the achievement of certain milestones set forth in the License Agreement. Pursuant to the License Agreement, the Company granted to Roche exclusive worldwide rights to develop and commercialize retinal pigment epithelium cell therapies, including its proprietary cell therapy known as OpRegen®, for the treatment of ocular disorders, including advanced dry age-related macular degeneration with geographic atrophy. Under the License Agreement, Roche has paid the Company a $50 million upfront payment and the Company is eligible to receive up to an additional $620 million in certain developmental, regulatory and commercialization milestone payments. The Company is also eligible for tiered double-digit percentage royalties on net sales of OpRegen. All regulatory and commercial milestone payments, and royalty payments, are subject to the existence of certain intellectual property rights that cover OpRegen at the time such payments would otherwise become due, and the royalties on net sales of OpRegen are subject to financial offsets based on the existence of competing products.</w:t>
      </w:r>
    </w:p>
    <w:p>
      <w:pPr>
        <w:spacing w:after="0" w:line="1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RSUs are subject to the terms and conditions of the Company’s 2021 Equity Incentive Plan and continued vesting of the RSUs is subject to such employee’s continuous service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Arial" w:cs="Arial" w:eastAsia="Arial" w:hAnsi="Arial"/>
                <w:sz w:val="18"/>
                <w:szCs w:val="18"/>
                <w:b w:val="1"/>
                <w:bCs w:val="1"/>
                <w:color w:val="auto"/>
              </w:rPr>
              <w:t>Lineage Cell Therapeutics, Inc.</w:t>
            </w:r>
          </w:p>
        </w:tc>
      </w:tr>
      <w:tr>
        <w:trPr>
          <w:trHeight w:val="439"/>
        </w:trPr>
        <w:tc>
          <w:tcPr>
            <w:tcW w:w="3700" w:type="dxa"/>
            <w:vAlign w:val="bottom"/>
          </w:tcPr>
          <w:p>
            <w:pPr>
              <w:spacing w:after="0"/>
              <w:rPr>
                <w:sz w:val="20"/>
                <w:szCs w:val="20"/>
                <w:color w:val="auto"/>
              </w:rPr>
            </w:pPr>
            <w:r>
              <w:rPr>
                <w:rFonts w:ascii="Arial" w:cs="Arial" w:eastAsia="Arial" w:hAnsi="Arial"/>
                <w:sz w:val="18"/>
                <w:szCs w:val="18"/>
                <w:color w:val="auto"/>
              </w:rPr>
              <w:t>Date: February 14, 2022</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George A. Samuel III</w:t>
            </w:r>
          </w:p>
        </w:tc>
      </w:tr>
      <w:tr>
        <w:trPr>
          <w:trHeight w:val="202"/>
        </w:trPr>
        <w:tc>
          <w:tcPr>
            <w:tcW w:w="3700" w:type="dxa"/>
            <w:vAlign w:val="bottom"/>
          </w:tcPr>
          <w:p>
            <w:pPr>
              <w:spacing w:after="0"/>
              <w:rPr>
                <w:sz w:val="17"/>
                <w:szCs w:val="17"/>
                <w:color w:val="auto"/>
              </w:rPr>
            </w:pPr>
          </w:p>
        </w:tc>
        <w:tc>
          <w:tcPr>
            <w:tcW w:w="2500" w:type="dxa"/>
            <w:vAlign w:val="bottom"/>
          </w:tcPr>
          <w:p>
            <w:pPr>
              <w:ind w:left="194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George A. Samuel III</w:t>
            </w:r>
          </w:p>
        </w:tc>
      </w:tr>
      <w:tr>
        <w:trPr>
          <w:trHeight w:val="230"/>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r>
        <w:trPr>
          <w:trHeight w:val="439"/>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2022-02-14T08:06:46Z</dcterms:created>
  <dcterms:modified xsi:type="dcterms:W3CDTF">2022-02-14T08:06:46Z</dcterms:modified>
</cp:coreProperties>
</file>