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136525</wp:posOffset>
            </wp:positionH>
            <wp:positionV relativeFrom="page">
              <wp:posOffset>136525</wp:posOffset>
            </wp:positionV>
            <wp:extent cx="7289165" cy="137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13779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173"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10-K</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 xml:space="preserve">x </w:t>
      </w:r>
      <w:r>
        <w:rPr>
          <w:rFonts w:ascii="Arial" w:cs="Arial" w:eastAsia="Arial" w:hAnsi="Arial"/>
          <w:sz w:val="16"/>
          <w:szCs w:val="16"/>
          <w:color w:val="auto"/>
        </w:rPr>
        <w:t>ANNUAL REPORT PURSUANT TO SECTION 13 OR 15(d)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OF 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 the fiscal year ended December 31, 2013</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 xml:space="preserve">o </w:t>
      </w:r>
      <w:r>
        <w:rPr>
          <w:rFonts w:ascii="Arial" w:cs="Arial" w:eastAsia="Arial" w:hAnsi="Arial"/>
          <w:sz w:val="16"/>
          <w:szCs w:val="16"/>
          <w:color w:val="auto"/>
        </w:rPr>
        <w:t>TRANSITION REPORT PURSUANT TO SECTION 13 OR 15(d)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OF THE SECURITIES EXCHANGE ACT OF 1934</w:t>
      </w:r>
    </w:p>
    <w:p>
      <w:pPr>
        <w:spacing w:after="0" w:line="207"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For the transition period from___________ to __________</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Commission file number 1-12830</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38"/>
          <w:szCs w:val="38"/>
          <w:b w:val="1"/>
          <w:bCs w:val="1"/>
          <w:color w:val="auto"/>
        </w:rPr>
        <w:t>BioTime,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0"/>
          </w:cols>
          <w:pgMar w:left="240" w:top="486" w:right="219" w:bottom="1440" w:gutter="0" w:footer="0" w:header="0"/>
        </w:sectPr>
      </w:pPr>
    </w:p>
    <w:p>
      <w:pPr>
        <w:spacing w:after="0" w:line="200"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California</w:t>
      </w:r>
    </w:p>
    <w:p>
      <w:pPr>
        <w:spacing w:after="0" w:line="20" w:lineRule="exact"/>
        <w:rPr>
          <w:sz w:val="24"/>
          <w:szCs w:val="24"/>
          <w:color w:val="auto"/>
        </w:rPr>
      </w:pPr>
    </w:p>
    <w:p>
      <w:pPr>
        <w:jc w:val="center"/>
        <w:ind w:right="116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1660"/>
        <w:spacing w:after="0"/>
        <w:rPr>
          <w:sz w:val="20"/>
          <w:szCs w:val="20"/>
          <w:color w:val="auto"/>
        </w:rPr>
      </w:pPr>
      <w:r>
        <w:rPr>
          <w:rFonts w:ascii="Arial" w:cs="Arial" w:eastAsia="Arial" w:hAnsi="Arial"/>
          <w:sz w:val="16"/>
          <w:szCs w:val="16"/>
          <w:b w:val="1"/>
          <w:bCs w:val="1"/>
          <w:color w:val="auto"/>
        </w:rPr>
        <w:t>94-3127919</w:t>
      </w:r>
    </w:p>
    <w:p>
      <w:pPr>
        <w:spacing w:after="0" w:line="20" w:lineRule="exact"/>
        <w:rPr>
          <w:sz w:val="24"/>
          <w:szCs w:val="24"/>
          <w:color w:val="auto"/>
        </w:rPr>
      </w:pPr>
    </w:p>
    <w:p>
      <w:pPr>
        <w:jc w:val="center"/>
        <w:ind w:right="1660"/>
        <w:spacing w:after="0"/>
        <w:rPr>
          <w:sz w:val="20"/>
          <w:szCs w:val="20"/>
          <w:color w:val="auto"/>
        </w:rPr>
      </w:pPr>
      <w:r>
        <w:rPr>
          <w:rFonts w:ascii="Arial" w:cs="Arial" w:eastAsia="Arial" w:hAnsi="Arial"/>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760" w:space="720"/>
            <w:col w:w="3960"/>
          </w:cols>
          <w:pgMar w:left="240" w:top="486" w:right="219" w:bottom="1440" w:gutter="0" w:footer="0" w:header="0"/>
          <w:type w:val="continuous"/>
        </w:sectPr>
      </w:pP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1301 Harbor Bay Parkway, Suite 100</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Alameda, California 94502</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 (Zip Code)</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(510) 521-3390</w:t>
      </w: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40"/>
          </w:cols>
          <w:pgMar w:left="240" w:top="486" w:right="219" w:bottom="1440" w:gutter="0" w:footer="0" w:header="0"/>
          <w:type w:val="continuous"/>
        </w:sectPr>
      </w:pPr>
    </w:p>
    <w:p>
      <w:pPr>
        <w:spacing w:after="0" w:line="218" w:lineRule="exact"/>
        <w:rPr>
          <w:sz w:val="24"/>
          <w:szCs w:val="24"/>
          <w:color w:val="auto"/>
        </w:rPr>
      </w:pPr>
    </w:p>
    <w:p>
      <w:pPr>
        <w:jc w:val="center"/>
        <w:ind w:right="1080"/>
        <w:spacing w:after="0"/>
        <w:rPr>
          <w:sz w:val="20"/>
          <w:szCs w:val="20"/>
          <w:color w:val="auto"/>
        </w:rPr>
      </w:pPr>
      <w:r>
        <w:rPr>
          <w:rFonts w:ascii="Arial" w:cs="Arial" w:eastAsia="Arial" w:hAnsi="Arial"/>
          <w:sz w:val="16"/>
          <w:szCs w:val="16"/>
          <w:color w:val="auto"/>
        </w:rPr>
        <w:t>Title of each class</w:t>
      </w:r>
    </w:p>
    <w:p>
      <w:pPr>
        <w:spacing w:after="0" w:line="16" w:lineRule="exact"/>
        <w:rPr>
          <w:sz w:val="24"/>
          <w:szCs w:val="24"/>
          <w:color w:val="auto"/>
        </w:rPr>
      </w:pPr>
    </w:p>
    <w:p>
      <w:pPr>
        <w:jc w:val="center"/>
        <w:ind w:right="1080"/>
        <w:spacing w:after="0"/>
        <w:rPr>
          <w:sz w:val="20"/>
          <w:szCs w:val="20"/>
          <w:color w:val="auto"/>
        </w:rPr>
      </w:pPr>
      <w:r>
        <w:rPr>
          <w:rFonts w:ascii="Arial" w:cs="Arial" w:eastAsia="Arial" w:hAnsi="Arial"/>
          <w:sz w:val="14"/>
          <w:szCs w:val="14"/>
          <w:b w:val="1"/>
          <w:bCs w:val="1"/>
          <w:color w:val="auto"/>
        </w:rPr>
        <w:t>Common shares, no par value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580"/>
        <w:spacing w:after="0"/>
        <w:rPr>
          <w:sz w:val="20"/>
          <w:szCs w:val="20"/>
          <w:color w:val="auto"/>
        </w:rPr>
      </w:pPr>
      <w:r>
        <w:rPr>
          <w:rFonts w:ascii="Arial" w:cs="Arial" w:eastAsia="Arial" w:hAnsi="Arial"/>
          <w:sz w:val="14"/>
          <w:szCs w:val="14"/>
          <w:color w:val="auto"/>
        </w:rPr>
        <w:t>Name of exchange on which registered</w:t>
      </w:r>
    </w:p>
    <w:p>
      <w:pPr>
        <w:spacing w:after="0" w:line="39" w:lineRule="exact"/>
        <w:rPr>
          <w:sz w:val="24"/>
          <w:szCs w:val="24"/>
          <w:color w:val="auto"/>
        </w:rPr>
      </w:pPr>
    </w:p>
    <w:p>
      <w:pPr>
        <w:jc w:val="center"/>
        <w:ind w:right="1580"/>
        <w:spacing w:after="0"/>
        <w:rPr>
          <w:sz w:val="20"/>
          <w:szCs w:val="20"/>
          <w:color w:val="auto"/>
        </w:rPr>
      </w:pPr>
      <w:r>
        <w:rPr>
          <w:rFonts w:ascii="Arial" w:cs="Arial" w:eastAsia="Arial" w:hAnsi="Arial"/>
          <w:sz w:val="16"/>
          <w:szCs w:val="16"/>
          <w:b w:val="1"/>
          <w:bCs w:val="1"/>
          <w:color w:val="auto"/>
        </w:rPr>
        <w:t>NYSE MKT</w:t>
      </w:r>
    </w:p>
    <w:p>
      <w:pPr>
        <w:spacing w:after="0" w:line="200" w:lineRule="exact"/>
        <w:rPr>
          <w:sz w:val="24"/>
          <w:szCs w:val="24"/>
          <w:color w:val="auto"/>
        </w:rPr>
      </w:pPr>
    </w:p>
    <w:p>
      <w:pPr>
        <w:sectPr>
          <w:pgSz w:w="11900" w:h="16838" w:orient="portrait"/>
          <w:cols w:equalWidth="0" w:num="2">
            <w:col w:w="6680" w:space="720"/>
            <w:col w:w="4040"/>
          </w:cols>
          <w:pgMar w:left="240" w:top="486" w:right="219" w:bottom="1440" w:gutter="0" w:footer="0" w:header="0"/>
          <w:type w:val="continuous"/>
        </w:sectPr>
      </w:pP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Securities registered pursuant to Section 12(g) of the Act:</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None</w:t>
      </w:r>
    </w:p>
    <w:p>
      <w:pPr>
        <w:sectPr>
          <w:pgSz w:w="11900" w:h="16838" w:orient="portrait"/>
          <w:cols w:equalWidth="0" w:num="1">
            <w:col w:w="11440"/>
          </w:cols>
          <w:pgMar w:left="240" w:top="486" w:right="219" w:bottom="1440" w:gutter="0" w:footer="0" w:header="0"/>
          <w:type w:val="continuous"/>
        </w:sectPr>
      </w:pPr>
    </w:p>
    <w:p>
      <w:pPr>
        <w:spacing w:after="0" w:line="207"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6" w:lineRule="exact"/>
        <w:rPr>
          <w:sz w:val="24"/>
          <w:szCs w:val="24"/>
          <w:color w:val="auto"/>
        </w:rPr>
      </w:pPr>
    </w:p>
    <w:p>
      <w:pPr>
        <w:ind w:left="560"/>
        <w:spacing w:after="0"/>
        <w:rPr>
          <w:sz w:val="20"/>
          <w:szCs w:val="20"/>
          <w:color w:val="auto"/>
        </w:rPr>
      </w:pPr>
      <w:r>
        <w:rPr>
          <w:rFonts w:ascii="Arial" w:cs="Arial" w:eastAsia="Arial" w:hAnsi="Arial"/>
          <w:sz w:val="16"/>
          <w:szCs w:val="16"/>
          <w:color w:val="auto"/>
        </w:rPr>
        <w:t xml:space="preserve">Yes </w:t>
      </w:r>
      <w:r>
        <w:rPr>
          <w:rFonts w:ascii="Arial" w:cs="Arial" w:eastAsia="Arial" w:hAnsi="Arial"/>
          <w:sz w:val="16"/>
          <w:szCs w:val="16"/>
          <w:b w:val="1"/>
          <w:bCs w:val="1"/>
          <w:color w:val="auto"/>
        </w:rPr>
        <w:t>o</w:t>
      </w:r>
      <w:r>
        <w:rPr>
          <w:rFonts w:ascii="Arial" w:cs="Arial" w:eastAsia="Arial" w:hAnsi="Arial"/>
          <w:sz w:val="16"/>
          <w:szCs w:val="16"/>
          <w:color w:val="auto"/>
        </w:rPr>
        <w:t xml:space="preserve"> No </w:t>
      </w:r>
      <w:r>
        <w:rPr>
          <w:rFonts w:ascii="Arial" w:cs="Arial" w:eastAsia="Arial" w:hAnsi="Arial"/>
          <w:sz w:val="16"/>
          <w:szCs w:val="16"/>
          <w:b w:val="1"/>
          <w:bCs w:val="1"/>
          <w:color w:val="auto"/>
        </w:rPr>
        <w:t>x</w:t>
      </w:r>
    </w:p>
    <w:p>
      <w:pPr>
        <w:spacing w:after="0" w:line="207"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16" w:lineRule="exact"/>
        <w:rPr>
          <w:sz w:val="24"/>
          <w:szCs w:val="24"/>
          <w:color w:val="auto"/>
        </w:rPr>
      </w:pPr>
    </w:p>
    <w:p>
      <w:pPr>
        <w:ind w:left="600"/>
        <w:spacing w:after="0"/>
        <w:rPr>
          <w:sz w:val="20"/>
          <w:szCs w:val="20"/>
          <w:color w:val="auto"/>
        </w:rPr>
      </w:pPr>
      <w:r>
        <w:rPr>
          <w:rFonts w:ascii="Arial" w:cs="Arial" w:eastAsia="Arial" w:hAnsi="Arial"/>
          <w:sz w:val="16"/>
          <w:szCs w:val="16"/>
          <w:color w:val="auto"/>
        </w:rPr>
        <w:t xml:space="preserve">Yes </w:t>
      </w:r>
      <w:r>
        <w:rPr>
          <w:rFonts w:ascii="Arial" w:cs="Arial" w:eastAsia="Arial" w:hAnsi="Arial"/>
          <w:sz w:val="16"/>
          <w:szCs w:val="16"/>
          <w:b w:val="1"/>
          <w:bCs w:val="1"/>
          <w:color w:val="auto"/>
        </w:rPr>
        <w:t>o</w:t>
      </w:r>
      <w:r>
        <w:rPr>
          <w:rFonts w:ascii="Arial" w:cs="Arial" w:eastAsia="Arial" w:hAnsi="Arial"/>
          <w:sz w:val="16"/>
          <w:szCs w:val="16"/>
          <w:color w:val="auto"/>
        </w:rPr>
        <w:t xml:space="preserve"> No </w:t>
      </w:r>
      <w:r>
        <w:rPr>
          <w:rFonts w:ascii="Arial" w:cs="Arial" w:eastAsia="Arial" w:hAnsi="Arial"/>
          <w:sz w:val="16"/>
          <w:szCs w:val="16"/>
          <w:b w:val="1"/>
          <w:bCs w:val="1"/>
          <w:color w:val="auto"/>
        </w:rPr>
        <w:t>x</w:t>
      </w:r>
    </w:p>
    <w:p>
      <w:pPr>
        <w:spacing w:after="0" w:line="207" w:lineRule="exact"/>
        <w:rPr>
          <w:sz w:val="24"/>
          <w:szCs w:val="24"/>
          <w:color w:val="auto"/>
        </w:rPr>
      </w:pPr>
    </w:p>
    <w:p>
      <w:pPr>
        <w:jc w:val="both"/>
        <w:ind w:firstLine="567"/>
        <w:spacing w:after="0" w:line="257"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b w:val="1"/>
          <w:bCs w:val="1"/>
          <w:color w:val="auto"/>
        </w:rPr>
        <w:t>x</w:t>
      </w:r>
      <w:r>
        <w:rPr>
          <w:rFonts w:ascii="Arial" w:cs="Arial" w:eastAsia="Arial" w:hAnsi="Arial"/>
          <w:sz w:val="16"/>
          <w:szCs w:val="16"/>
          <w:color w:val="auto"/>
        </w:rPr>
        <w:t xml:space="preserve"> No </w:t>
      </w:r>
      <w:r>
        <w:rPr>
          <w:rFonts w:ascii="Arial" w:cs="Arial" w:eastAsia="Arial" w:hAnsi="Arial"/>
          <w:sz w:val="16"/>
          <w:szCs w:val="16"/>
          <w:b w:val="1"/>
          <w:bCs w:val="1"/>
          <w:color w:val="auto"/>
        </w:rPr>
        <w:t>o</w:t>
      </w:r>
    </w:p>
    <w:p>
      <w:pPr>
        <w:spacing w:after="0" w:line="189" w:lineRule="exact"/>
        <w:rPr>
          <w:sz w:val="24"/>
          <w:szCs w:val="24"/>
          <w:color w:val="auto"/>
        </w:rPr>
      </w:pPr>
    </w:p>
    <w:p>
      <w:pPr>
        <w:jc w:val="both"/>
        <w:ind w:right="20" w:firstLine="595"/>
        <w:spacing w:after="0" w:line="25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1" w:lineRule="exact"/>
        <w:rPr>
          <w:sz w:val="24"/>
          <w:szCs w:val="24"/>
          <w:color w:val="auto"/>
        </w:rPr>
      </w:pPr>
    </w:p>
    <w:p>
      <w:pPr>
        <w:ind w:left="600"/>
        <w:spacing w:after="0"/>
        <w:rPr>
          <w:sz w:val="20"/>
          <w:szCs w:val="20"/>
          <w:color w:val="auto"/>
        </w:rPr>
      </w:pPr>
      <w:r>
        <w:rPr>
          <w:rFonts w:ascii="Arial" w:cs="Arial" w:eastAsia="Arial" w:hAnsi="Arial"/>
          <w:sz w:val="16"/>
          <w:szCs w:val="16"/>
          <w:color w:val="auto"/>
        </w:rPr>
        <w:t xml:space="preserve">Yes </w:t>
      </w:r>
      <w:r>
        <w:rPr>
          <w:rFonts w:ascii="Arial" w:cs="Arial" w:eastAsia="Arial" w:hAnsi="Arial"/>
          <w:sz w:val="16"/>
          <w:szCs w:val="16"/>
          <w:b w:val="1"/>
          <w:bCs w:val="1"/>
          <w:color w:val="auto"/>
        </w:rPr>
        <w:t>x o</w:t>
      </w:r>
      <w:r>
        <w:rPr>
          <w:rFonts w:ascii="Arial" w:cs="Arial" w:eastAsia="Arial" w:hAnsi="Arial"/>
          <w:sz w:val="16"/>
          <w:szCs w:val="16"/>
          <w:color w:val="auto"/>
        </w:rPr>
        <w:t xml:space="preserve"> No</w:t>
      </w:r>
    </w:p>
    <w:p>
      <w:pPr>
        <w:spacing w:after="0" w:line="207" w:lineRule="exact"/>
        <w:rPr>
          <w:sz w:val="24"/>
          <w:szCs w:val="24"/>
          <w:color w:val="auto"/>
        </w:rPr>
      </w:pPr>
    </w:p>
    <w:p>
      <w:pPr>
        <w:jc w:val="both"/>
        <w:ind w:firstLine="567"/>
        <w:spacing w:after="0" w:line="257" w:lineRule="auto"/>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153035</wp:posOffset>
            </wp:positionV>
            <wp:extent cx="7289165" cy="137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1377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375285</wp:posOffset>
            </wp:positionV>
            <wp:extent cx="726376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type w:val="continuous"/>
        </w:sectPr>
      </w:pPr>
    </w:p>
    <w:bookmarkStart w:id="1" w:name="page2"/>
    <w:bookmarkEnd w:id="1"/>
    <w:p>
      <w:pPr>
        <w:ind w:firstLine="567"/>
        <w:spacing w:after="0" w:line="26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40"/>
          </w:cols>
          <w:pgMar w:left="240" w:top="127" w:right="219" w:bottom="1440" w:gutter="0" w:footer="0" w:header="0"/>
        </w:sectPr>
      </w:pP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6"/>
          <w:szCs w:val="16"/>
          <w:b w:val="1"/>
          <w:bCs w:val="1"/>
          <w:color w:val="auto"/>
        </w:rPr>
        <w:t>o</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 xml:space="preserve">Non-accelerated filer </w:t>
      </w:r>
      <w:r>
        <w:rPr>
          <w:rFonts w:ascii="Arial" w:cs="Arial" w:eastAsia="Arial" w:hAnsi="Arial"/>
          <w:sz w:val="14"/>
          <w:szCs w:val="14"/>
          <w:b w:val="1"/>
          <w:bCs w:val="1"/>
          <w:color w:val="auto"/>
        </w:rPr>
        <w:t>o</w:t>
      </w:r>
      <w:r>
        <w:rPr>
          <w:rFonts w:ascii="Arial" w:cs="Arial" w:eastAsia="Arial" w:hAnsi="Arial"/>
          <w:sz w:val="14"/>
          <w:szCs w:val="14"/>
          <w:color w:val="auto"/>
        </w:rPr>
        <w:t xml:space="preserve"> (Do not check if a smaller reporting company)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6"/>
          <w:szCs w:val="16"/>
          <w:b w:val="1"/>
          <w:bCs w:val="1"/>
          <w:color w:val="auto"/>
        </w:rPr>
        <w:t>x</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Smaller reporting company </w:t>
      </w:r>
      <w:r>
        <w:rPr>
          <w:rFonts w:ascii="Arial" w:cs="Arial" w:eastAsia="Arial" w:hAnsi="Arial"/>
          <w:sz w:val="14"/>
          <w:szCs w:val="14"/>
          <w:b w:val="1"/>
          <w:bCs w:val="1"/>
          <w:color w:val="auto"/>
        </w:rPr>
        <w:t>o</w:t>
      </w:r>
    </w:p>
    <w:p>
      <w:pPr>
        <w:spacing w:after="0" w:line="200" w:lineRule="exact"/>
        <w:rPr>
          <w:sz w:val="20"/>
          <w:szCs w:val="20"/>
          <w:color w:val="auto"/>
        </w:rPr>
      </w:pPr>
    </w:p>
    <w:p>
      <w:pPr>
        <w:sectPr>
          <w:pgSz w:w="11900" w:h="16838" w:orient="portrait"/>
          <w:cols w:equalWidth="0" w:num="2">
            <w:col w:w="5000" w:space="720"/>
            <w:col w:w="5720"/>
          </w:cols>
          <w:pgMar w:left="240" w:top="127" w:right="219" w:bottom="1440" w:gutter="0" w:footer="0" w:header="0"/>
          <w:type w:val="continuous"/>
        </w:sectPr>
      </w:pPr>
    </w:p>
    <w:p>
      <w:pPr>
        <w:spacing w:after="0" w:line="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Yes </w:t>
      </w:r>
      <w:r>
        <w:rPr>
          <w:rFonts w:ascii="Arial" w:cs="Arial" w:eastAsia="Arial" w:hAnsi="Arial"/>
          <w:sz w:val="16"/>
          <w:szCs w:val="16"/>
          <w:b w:val="1"/>
          <w:bCs w:val="1"/>
          <w:color w:val="auto"/>
        </w:rPr>
        <w:t>o</w:t>
      </w:r>
      <w:r>
        <w:rPr>
          <w:rFonts w:ascii="Arial" w:cs="Arial" w:eastAsia="Arial" w:hAnsi="Arial"/>
          <w:sz w:val="16"/>
          <w:szCs w:val="16"/>
          <w:color w:val="auto"/>
        </w:rPr>
        <w:t xml:space="preserve"> No </w:t>
      </w:r>
      <w:r>
        <w:rPr>
          <w:rFonts w:ascii="Arial" w:cs="Arial" w:eastAsia="Arial" w:hAnsi="Arial"/>
          <w:sz w:val="16"/>
          <w:szCs w:val="16"/>
          <w:b w:val="1"/>
          <w:bCs w:val="1"/>
          <w:color w:val="auto"/>
        </w:rPr>
        <w:t>x</w:t>
      </w:r>
    </w:p>
    <w:p>
      <w:pPr>
        <w:spacing w:after="0" w:line="207"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16"/>
          <w:szCs w:val="16"/>
          <w:color w:val="auto"/>
        </w:rPr>
        <w:t>The approximate aggregate market value of voting common shares held by non-affiliates computed by reference to the price at which common shares were last sold as of June 30, 2013 was $135,804,066. Shares held by each executive officer and director and by each person who beneficially owns more than 5% of the outstanding common shares have been excluded in that such persons may under certain circumstances be deemed to be affiliates. This determination of affiliate status is not necessarily a conclusive determination for other purposes.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number of common shares outstanding as of March 5, 2014 was 69,598,709.</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Portions of the registrant's Proxy Statement for 2014 Annual Meeting of Shareholders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26376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540" w:type="dxa"/>
            <w:vAlign w:val="bottom"/>
            <w:gridSpan w:val="8"/>
          </w:tcPr>
          <w:p>
            <w:pPr>
              <w:jc w:val="center"/>
              <w:ind w:right="3640"/>
              <w:spacing w:after="0"/>
              <w:rPr>
                <w:sz w:val="20"/>
                <w:szCs w:val="20"/>
                <w:color w:val="auto"/>
              </w:rPr>
            </w:pPr>
            <w:r>
              <w:rPr>
                <w:rFonts w:ascii="Arial" w:cs="Arial" w:eastAsia="Arial" w:hAnsi="Arial"/>
                <w:sz w:val="16"/>
                <w:szCs w:val="16"/>
                <w:b w:val="1"/>
                <w:bCs w:val="1"/>
                <w:color w:val="auto"/>
                <w:w w:val="90"/>
              </w:rPr>
              <w:t>BioTime, Inc.</w:t>
            </w:r>
          </w:p>
        </w:tc>
        <w:tc>
          <w:tcPr>
            <w:tcW w:w="1140" w:type="dxa"/>
            <w:vAlign w:val="bottom"/>
          </w:tcPr>
          <w:p>
            <w:pPr>
              <w:spacing w:after="0"/>
              <w:rPr>
                <w:sz w:val="17"/>
                <w:szCs w:val="17"/>
                <w:color w:val="auto"/>
              </w:rPr>
            </w:pPr>
          </w:p>
        </w:tc>
      </w:tr>
      <w:tr>
        <w:trPr>
          <w:trHeight w:val="402"/>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40" w:type="dxa"/>
            <w:vAlign w:val="bottom"/>
            <w:gridSpan w:val="8"/>
          </w:tcPr>
          <w:p>
            <w:pPr>
              <w:jc w:val="center"/>
              <w:ind w:right="3640"/>
              <w:spacing w:after="0"/>
              <w:rPr>
                <w:sz w:val="20"/>
                <w:szCs w:val="20"/>
                <w:color w:val="auto"/>
              </w:rPr>
            </w:pPr>
            <w:r>
              <w:rPr>
                <w:rFonts w:ascii="Arial" w:cs="Arial" w:eastAsia="Arial" w:hAnsi="Arial"/>
                <w:sz w:val="16"/>
                <w:szCs w:val="16"/>
                <w:b w:val="1"/>
                <w:bCs w:val="1"/>
                <w:color w:val="auto"/>
                <w:w w:val="87"/>
              </w:rPr>
              <w:t>Table of Contents</w:t>
            </w:r>
          </w:p>
        </w:tc>
        <w:tc>
          <w:tcPr>
            <w:tcW w:w="1140" w:type="dxa"/>
            <w:vAlign w:val="bottom"/>
          </w:tcPr>
          <w:p>
            <w:pPr>
              <w:spacing w:after="0"/>
              <w:rPr>
                <w:sz w:val="24"/>
                <w:szCs w:val="24"/>
                <w:color w:val="auto"/>
              </w:rPr>
            </w:pPr>
          </w:p>
        </w:tc>
      </w:tr>
      <w:tr>
        <w:trPr>
          <w:trHeight w:val="387"/>
        </w:trPr>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209"/>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r>
      <w:tr>
        <w:trPr>
          <w:trHeight w:val="188"/>
        </w:trPr>
        <w:tc>
          <w:tcPr>
            <w:tcW w:w="780" w:type="dxa"/>
            <w:vAlign w:val="bottom"/>
            <w:gridSpan w:val="2"/>
          </w:tcPr>
          <w:p>
            <w:pPr>
              <w:spacing w:after="0"/>
              <w:rPr>
                <w:sz w:val="20"/>
                <w:szCs w:val="20"/>
                <w:color w:val="auto"/>
              </w:rPr>
            </w:pPr>
            <w:r>
              <w:rPr>
                <w:rFonts w:ascii="Arial" w:cs="Arial" w:eastAsia="Arial" w:hAnsi="Arial"/>
                <w:sz w:val="16"/>
                <w:szCs w:val="16"/>
                <w:color w:val="auto"/>
              </w:rPr>
              <w:t>Part I.</w:t>
            </w:r>
          </w:p>
        </w:tc>
        <w:tc>
          <w:tcPr>
            <w:tcW w:w="9520" w:type="dxa"/>
            <w:vAlign w:val="bottom"/>
            <w:gridSpan w:val="21"/>
          </w:tcPr>
          <w:p>
            <w:pPr>
              <w:ind w:left="140"/>
              <w:spacing w:after="0"/>
              <w:rPr>
                <w:sz w:val="20"/>
                <w:szCs w:val="20"/>
                <w:color w:val="auto"/>
              </w:rPr>
            </w:pPr>
            <w:r>
              <w:rPr>
                <w:rFonts w:ascii="Arial" w:cs="Arial" w:eastAsia="Arial" w:hAnsi="Arial"/>
                <w:sz w:val="16"/>
                <w:szCs w:val="16"/>
                <w:color w:val="auto"/>
              </w:rPr>
              <w:t>Financial Information</w:t>
            </w:r>
          </w:p>
        </w:tc>
        <w:tc>
          <w:tcPr>
            <w:tcW w:w="1140" w:type="dxa"/>
            <w:vAlign w:val="bottom"/>
          </w:tcPr>
          <w:p>
            <w:pPr>
              <w:spacing w:after="0"/>
              <w:rPr>
                <w:sz w:val="16"/>
                <w:szCs w:val="16"/>
                <w:color w:val="auto"/>
              </w:rPr>
            </w:pPr>
          </w:p>
        </w:tc>
      </w:tr>
      <w:tr>
        <w:trPr>
          <w:trHeight w:val="190"/>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1 -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4">
              <w:r>
                <w:rPr>
                  <w:rFonts w:ascii="Arial" w:cs="Arial" w:eastAsia="Arial" w:hAnsi="Arial"/>
                  <w:sz w:val="16"/>
                  <w:szCs w:val="16"/>
                  <w:color w:val="0000EE"/>
                </w:rPr>
                <w:t>Business</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4</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1A</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60">
              <w:r>
                <w:rPr>
                  <w:rFonts w:ascii="Arial" w:cs="Arial" w:eastAsia="Arial" w:hAnsi="Arial"/>
                  <w:sz w:val="16"/>
                  <w:szCs w:val="16"/>
                  <w:color w:val="0000EE"/>
                </w:rPr>
                <w:t>Risk Factors</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60</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1B</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74">
              <w:r>
                <w:rPr>
                  <w:rFonts w:ascii="Arial" w:cs="Arial" w:eastAsia="Arial" w:hAnsi="Arial"/>
                  <w:sz w:val="16"/>
                  <w:szCs w:val="16"/>
                  <w:color w:val="0000EE"/>
                </w:rPr>
                <w:t>Unresolved Staff Comments</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74</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2 -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74">
              <w:r>
                <w:rPr>
                  <w:rFonts w:ascii="Arial" w:cs="Arial" w:eastAsia="Arial" w:hAnsi="Arial"/>
                  <w:sz w:val="16"/>
                  <w:szCs w:val="16"/>
                  <w:color w:val="0000EE"/>
                </w:rPr>
                <w:t>Properties</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74</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3 -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76">
              <w:r>
                <w:rPr>
                  <w:rFonts w:ascii="Arial" w:cs="Arial" w:eastAsia="Arial" w:hAnsi="Arial"/>
                  <w:sz w:val="16"/>
                  <w:szCs w:val="16"/>
                  <w:color w:val="0000EE"/>
                </w:rPr>
                <w:t>Legal Proceedings</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76</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4 -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76">
              <w:r>
                <w:rPr>
                  <w:rFonts w:ascii="Arial" w:cs="Arial" w:eastAsia="Arial" w:hAnsi="Arial"/>
                  <w:sz w:val="16"/>
                  <w:szCs w:val="16"/>
                  <w:color w:val="0000EE"/>
                </w:rPr>
                <w:t>Mine Safety Disclosures</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76</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89"/>
        </w:trPr>
        <w:tc>
          <w:tcPr>
            <w:tcW w:w="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Part II.</w:t>
            </w:r>
          </w:p>
        </w:tc>
        <w:tc>
          <w:tcPr>
            <w:tcW w:w="9520" w:type="dxa"/>
            <w:vAlign w:val="bottom"/>
            <w:gridSpan w:val="21"/>
            <w:shd w:val="clear" w:color="auto" w:fill="CCEEFF"/>
          </w:tcPr>
          <w:p>
            <w:pPr>
              <w:ind w:left="140"/>
              <w:spacing w:after="0"/>
              <w:rPr>
                <w:sz w:val="20"/>
                <w:szCs w:val="20"/>
                <w:color w:val="auto"/>
              </w:rPr>
            </w:pPr>
            <w:r>
              <w:rPr>
                <w:rFonts w:ascii="Arial" w:cs="Arial" w:eastAsia="Arial" w:hAnsi="Arial"/>
                <w:sz w:val="16"/>
                <w:szCs w:val="16"/>
                <w:color w:val="auto"/>
              </w:rPr>
              <w:t>Other Information</w:t>
            </w:r>
          </w:p>
        </w:tc>
        <w:tc>
          <w:tcPr>
            <w:tcW w:w="1140" w:type="dxa"/>
            <w:vAlign w:val="bottom"/>
            <w:shd w:val="clear" w:color="auto" w:fill="CCEEFF"/>
          </w:tcPr>
          <w:p>
            <w:pPr>
              <w:spacing w:after="0"/>
              <w:rPr>
                <w:sz w:val="16"/>
                <w:szCs w:val="16"/>
                <w:color w:val="auto"/>
              </w:rPr>
            </w:pPr>
          </w:p>
        </w:tc>
      </w:tr>
      <w:tr>
        <w:trPr>
          <w:trHeight w:val="189"/>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5 -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77">
              <w:r>
                <w:rPr>
                  <w:rFonts w:ascii="Arial" w:cs="Arial" w:eastAsia="Arial" w:hAnsi="Arial"/>
                  <w:sz w:val="16"/>
                  <w:szCs w:val="16"/>
                  <w:color w:val="0000EE"/>
                </w:rPr>
                <w:t>Market for Registrant’s Common Equity, Related Stockholder Matters, and Issuer Purchases of Equity Securities</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77</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6 -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81">
              <w:r>
                <w:rPr>
                  <w:rFonts w:ascii="Arial" w:cs="Arial" w:eastAsia="Arial" w:hAnsi="Arial"/>
                  <w:sz w:val="16"/>
                  <w:szCs w:val="16"/>
                  <w:color w:val="0000EE"/>
                </w:rPr>
                <w:t>Selected Financial Data</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81</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7 -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82">
              <w:r>
                <w:rPr>
                  <w:rFonts w:ascii="Arial" w:cs="Arial" w:eastAsia="Arial" w:hAnsi="Arial"/>
                  <w:sz w:val="16"/>
                  <w:szCs w:val="16"/>
                  <w:color w:val="0000EE"/>
                </w:rPr>
                <w:t>Management’s Discussion and Analysis of Financial Condition and Results of Operations</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82</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7A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96">
              <w:r>
                <w:rPr>
                  <w:rFonts w:ascii="Arial" w:cs="Arial" w:eastAsia="Arial" w:hAnsi="Arial"/>
                  <w:sz w:val="16"/>
                  <w:szCs w:val="16"/>
                  <w:color w:val="0000EE"/>
                </w:rPr>
                <w:t>Quantitative and Qualitative Disclosures about Market Risk</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96</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8 -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99">
              <w:r>
                <w:rPr>
                  <w:rFonts w:ascii="Arial" w:cs="Arial" w:eastAsia="Arial" w:hAnsi="Arial"/>
                  <w:sz w:val="16"/>
                  <w:szCs w:val="16"/>
                  <w:color w:val="0000EE"/>
                </w:rPr>
                <w:t>Financial Statements and Supplementary Data</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99</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9 -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134">
              <w:r>
                <w:rPr>
                  <w:rFonts w:ascii="Arial" w:cs="Arial" w:eastAsia="Arial" w:hAnsi="Arial"/>
                  <w:sz w:val="16"/>
                  <w:szCs w:val="16"/>
                  <w:color w:val="0000EE"/>
                </w:rPr>
                <w:t>Changes in and Disagreements with Accountants on Accounting and Financial Disclosure</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134</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9A-</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134">
              <w:r>
                <w:rPr>
                  <w:rFonts w:ascii="Arial" w:cs="Arial" w:eastAsia="Arial" w:hAnsi="Arial"/>
                  <w:sz w:val="16"/>
                  <w:szCs w:val="16"/>
                  <w:color w:val="0000EE"/>
                </w:rPr>
                <w:t>Controls and Procedures</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134</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9B</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135">
              <w:r>
                <w:rPr>
                  <w:rFonts w:ascii="Arial" w:cs="Arial" w:eastAsia="Arial" w:hAnsi="Arial"/>
                  <w:sz w:val="16"/>
                  <w:szCs w:val="16"/>
                  <w:color w:val="0000EE"/>
                </w:rPr>
                <w:t>Other Information</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135</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78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color w:val="auto"/>
              </w:rPr>
              <w:t>Part III.</w:t>
            </w: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10 -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136">
              <w:r>
                <w:rPr>
                  <w:rFonts w:ascii="Arial" w:cs="Arial" w:eastAsia="Arial" w:hAnsi="Arial"/>
                  <w:sz w:val="16"/>
                  <w:szCs w:val="16"/>
                  <w:color w:val="0000EE"/>
                </w:rPr>
                <w:t>Directors, Executive Officers, and Corporate Governance</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136</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11 -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136">
              <w:r>
                <w:rPr>
                  <w:rFonts w:ascii="Arial" w:cs="Arial" w:eastAsia="Arial" w:hAnsi="Arial"/>
                  <w:sz w:val="16"/>
                  <w:szCs w:val="16"/>
                  <w:color w:val="0000EE"/>
                </w:rPr>
                <w:t>Executive Compensation</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136</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12 -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136">
              <w:r>
                <w:rPr>
                  <w:rFonts w:ascii="Arial" w:cs="Arial" w:eastAsia="Arial" w:hAnsi="Arial"/>
                  <w:sz w:val="16"/>
                  <w:szCs w:val="16"/>
                  <w:color w:val="0000EE"/>
                </w:rPr>
                <w:t>Security Ownership of Certain Beneficial Owners and Management, and Related Stockholder Matters</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136</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13 -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136">
              <w:r>
                <w:rPr>
                  <w:rFonts w:ascii="Arial" w:cs="Arial" w:eastAsia="Arial" w:hAnsi="Arial"/>
                  <w:sz w:val="16"/>
                  <w:szCs w:val="16"/>
                  <w:color w:val="0000EE"/>
                </w:rPr>
                <w:t>Certain Relationships and Related Transactions, and Director Independence</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136</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0" w:type="dxa"/>
            <w:vAlign w:val="bottom"/>
            <w:tcBorders>
              <w:top w:val="single" w:sz="8" w:color="0000EE"/>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14 -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136">
              <w:r>
                <w:rPr>
                  <w:rFonts w:ascii="Arial" w:cs="Arial" w:eastAsia="Arial" w:hAnsi="Arial"/>
                  <w:sz w:val="16"/>
                  <w:szCs w:val="16"/>
                  <w:color w:val="0000EE"/>
                </w:rPr>
                <w:t>Principal Accounting Fees and Services</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136</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78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color w:val="auto"/>
              </w:rPr>
              <w:t>Part IV</w:t>
            </w:r>
          </w:p>
        </w:tc>
        <w:tc>
          <w:tcPr>
            <w:tcW w:w="1060" w:type="dxa"/>
            <w:vAlign w:val="bottom"/>
            <w:shd w:val="clear" w:color="auto" w:fill="CCEEFF"/>
          </w:tcPr>
          <w:p>
            <w:pPr>
              <w:ind w:left="140"/>
              <w:spacing w:after="0" w:line="154" w:lineRule="exact"/>
              <w:rPr>
                <w:sz w:val="20"/>
                <w:szCs w:val="20"/>
                <w:color w:val="auto"/>
              </w:rPr>
            </w:pPr>
            <w:r>
              <w:rPr>
                <w:rFonts w:ascii="Arial" w:cs="Arial" w:eastAsia="Arial" w:hAnsi="Arial"/>
                <w:sz w:val="16"/>
                <w:szCs w:val="16"/>
                <w:color w:val="auto"/>
              </w:rPr>
              <w:t>Item 15 -</w:t>
            </w:r>
          </w:p>
        </w:tc>
        <w:tc>
          <w:tcPr>
            <w:tcW w:w="8460" w:type="dxa"/>
            <w:vAlign w:val="bottom"/>
            <w:gridSpan w:val="20"/>
            <w:shd w:val="clear" w:color="auto" w:fill="CCEEFF"/>
          </w:tcPr>
          <w:p>
            <w:pPr>
              <w:spacing w:after="0" w:line="154" w:lineRule="exact"/>
              <w:rPr>
                <w:rFonts w:ascii="Arial" w:cs="Arial" w:eastAsia="Arial" w:hAnsi="Arial"/>
                <w:sz w:val="16"/>
                <w:szCs w:val="16"/>
                <w:color w:val="0000EE"/>
              </w:rPr>
            </w:pPr>
            <w:hyperlink w:anchor="page137">
              <w:r>
                <w:rPr>
                  <w:rFonts w:ascii="Arial" w:cs="Arial" w:eastAsia="Arial" w:hAnsi="Arial"/>
                  <w:sz w:val="16"/>
                  <w:szCs w:val="16"/>
                  <w:color w:val="0000EE"/>
                </w:rPr>
                <w:t>Exhibits, Financial Statement Schedules</w:t>
              </w:r>
            </w:hyperlink>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136</w:t>
            </w:r>
          </w:p>
        </w:tc>
      </w:tr>
      <w:tr>
        <w:trPr>
          <w:trHeight w:val="189"/>
        </w:trPr>
        <w:tc>
          <w:tcPr>
            <w:tcW w:w="6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7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3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9"/>
        </w:trPr>
        <w:tc>
          <w:tcPr>
            <w:tcW w:w="780" w:type="dxa"/>
            <w:vAlign w:val="bottom"/>
            <w:gridSpan w:val="2"/>
            <w:shd w:val="clear" w:color="auto" w:fill="CCEEFF"/>
          </w:tcPr>
          <w:p>
            <w:pPr>
              <w:spacing w:after="0" w:line="154" w:lineRule="exact"/>
              <w:rPr>
                <w:rFonts w:ascii="Arial" w:cs="Arial" w:eastAsia="Arial" w:hAnsi="Arial"/>
                <w:sz w:val="16"/>
                <w:szCs w:val="16"/>
                <w:i w:val="1"/>
                <w:iCs w:val="1"/>
                <w:color w:val="0000EE"/>
                <w:w w:val="99"/>
              </w:rPr>
            </w:pPr>
            <w:hyperlink w:anchor="page143">
              <w:r>
                <w:rPr>
                  <w:rFonts w:ascii="Arial" w:cs="Arial" w:eastAsia="Arial" w:hAnsi="Arial"/>
                  <w:sz w:val="16"/>
                  <w:szCs w:val="16"/>
                  <w:i w:val="1"/>
                  <w:iCs w:val="1"/>
                  <w:color w:val="0000EE"/>
                  <w:w w:val="99"/>
                </w:rPr>
                <w:t>Signatures</w:t>
              </w:r>
            </w:hyperlink>
          </w:p>
        </w:tc>
        <w:tc>
          <w:tcPr>
            <w:tcW w:w="10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14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143</w:t>
            </w:r>
          </w:p>
        </w:tc>
      </w:tr>
      <w:tr>
        <w:trPr>
          <w:trHeight w:val="511"/>
        </w:trPr>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4760" w:type="dxa"/>
            <w:vAlign w:val="bottom"/>
            <w:tcBorders>
              <w:top w:val="single" w:sz="8" w:color="CCEEFF"/>
            </w:tcBorders>
            <w:gridSpan w:val="15"/>
          </w:tcPr>
          <w:p>
            <w:pPr>
              <w:jc w:val="center"/>
              <w:ind w:left="2902"/>
              <w:spacing w:after="0"/>
              <w:rPr>
                <w:sz w:val="20"/>
                <w:szCs w:val="20"/>
                <w:color w:val="auto"/>
              </w:rPr>
            </w:pPr>
            <w:r>
              <w:rPr>
                <w:rFonts w:ascii="Arial" w:cs="Arial" w:eastAsia="Arial" w:hAnsi="Arial"/>
                <w:sz w:val="13"/>
                <w:szCs w:val="13"/>
                <w:color w:val="auto"/>
                <w:w w:val="82"/>
              </w:rPr>
              <w:t>3</w:t>
            </w:r>
          </w:p>
        </w:tc>
        <w:tc>
          <w:tcPr>
            <w:tcW w:w="8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r>
      <w:tr>
        <w:trPr>
          <w:trHeight w:val="37"/>
        </w:trPr>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3" w:right="219" w:bottom="1440" w:gutter="0" w:footer="0" w:header="0"/>
        </w:sectPr>
      </w:pPr>
    </w:p>
    <w:bookmarkStart w:id="3" w:name="page4"/>
    <w:bookmarkEnd w:id="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22" w:lineRule="exact"/>
        <w:rPr>
          <w:sz w:val="20"/>
          <w:szCs w:val="20"/>
          <w:color w:val="auto"/>
        </w:rPr>
      </w:pPr>
    </w:p>
    <w:p>
      <w:pPr>
        <w:ind w:firstLine="567"/>
        <w:spacing w:after="0" w:line="257" w:lineRule="auto"/>
        <w:rPr>
          <w:sz w:val="20"/>
          <w:szCs w:val="20"/>
          <w:color w:val="auto"/>
        </w:rPr>
      </w:pPr>
      <w:r>
        <w:rPr>
          <w:rFonts w:ascii="Arial" w:cs="Arial" w:eastAsia="Arial" w:hAnsi="Arial"/>
          <w:sz w:val="16"/>
          <w:szCs w:val="16"/>
          <w:i w:val="1"/>
          <w:iCs w:val="1"/>
          <w:color w:val="auto"/>
        </w:rPr>
        <w:t>Statements made in this Form 10-K that are not historical facts may constitute forward-looking statements that are subject to risks and uncertainties that could cause actual results to differ materially from those discussed. Words such as “expects,” “may,” “will,” “anticipates,” “intends,” “plans,” “believes,” “seeks,” “estimates,” and similar expressions identify forward-looking statements. See Note 1 to Financial Statements.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References to “we” means BioTime, Inc. and its subsidiaries unless the context otherwise indicates.</w:t>
      </w:r>
    </w:p>
    <w:p>
      <w:pPr>
        <w:spacing w:after="0" w:line="218" w:lineRule="exact"/>
        <w:rPr>
          <w:sz w:val="20"/>
          <w:szCs w:val="20"/>
          <w:color w:val="auto"/>
        </w:rPr>
      </w:pPr>
    </w:p>
    <w:p>
      <w:pPr>
        <w:ind w:right="640" w:firstLine="567"/>
        <w:spacing w:after="0" w:line="267" w:lineRule="auto"/>
        <w:rPr>
          <w:sz w:val="20"/>
          <w:szCs w:val="20"/>
          <w:color w:val="auto"/>
        </w:rPr>
      </w:pPr>
      <w:r>
        <w:rPr>
          <w:rFonts w:ascii="Arial" w:cs="Arial" w:eastAsia="Arial" w:hAnsi="Arial"/>
          <w:sz w:val="16"/>
          <w:szCs w:val="16"/>
          <w:i w:val="1"/>
          <w:iCs w:val="1"/>
          <w:color w:val="auto"/>
        </w:rPr>
        <w:t>The description or discussion, in this Form 10-K, of any contract or agreement is a summary only and is qualified in all respects by reference to the full text of the applicable contract or agreement.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2" w:lineRule="exact"/>
        <w:rPr>
          <w:sz w:val="20"/>
          <w:szCs w:val="20"/>
          <w:color w:val="auto"/>
        </w:rPr>
      </w:pPr>
    </w:p>
    <w:p>
      <w:pPr>
        <w:ind w:firstLine="567"/>
        <w:spacing w:after="0" w:line="245" w:lineRule="auto"/>
        <w:rPr>
          <w:sz w:val="20"/>
          <w:szCs w:val="20"/>
          <w:color w:val="auto"/>
        </w:rPr>
      </w:pPr>
      <w:r>
        <w:rPr>
          <w:rFonts w:ascii="Arial" w:cs="Arial" w:eastAsia="Arial" w:hAnsi="Arial"/>
          <w:sz w:val="14"/>
          <w:szCs w:val="14"/>
          <w:color w:val="auto"/>
        </w:rPr>
        <w:t xml:space="preserve">We are a biotechnology company focused on the emerging field of regenerative medicine. Our core technologies center on stem cells capable of becoming all of the cell types in the human body, a property called pluripotency. Products made from these "pluripotent" stem cells are being developed by us and our subsidiaries, for use in a variety of fields of medicine, including: neuroscience, oncology, orthopedics, and blood and vascular diseases. BioTime's commercial strategy targets near-term yet strategic commercial opportunities such as: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 product currently in clinical trials in Europe to facilitate cell transplantation); </w:t>
      </w:r>
      <w:r>
        <w:rPr>
          <w:rFonts w:ascii="Arial" w:cs="Arial" w:eastAsia="Arial" w:hAnsi="Arial"/>
          <w:sz w:val="14"/>
          <w:szCs w:val="14"/>
          <w:i w:val="1"/>
          <w:iCs w:val="1"/>
          <w:color w:val="auto"/>
        </w:rPr>
        <w:t>ReGlyde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w:t>
      </w:r>
      <w:r>
        <w:rPr>
          <w:rFonts w:ascii="Arial" w:cs="Arial" w:eastAsia="Arial" w:hAnsi="Arial"/>
          <w:sz w:val="14"/>
          <w:szCs w:val="14"/>
          <w:i w:val="1"/>
          <w:iCs w:val="1"/>
          <w:color w:val="auto"/>
        </w:rPr>
        <w:t>Premvia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tendon and dermatological applications; </w:t>
      </w:r>
      <w:r>
        <w:rPr>
          <w:rFonts w:ascii="Arial" w:cs="Arial" w:eastAsia="Arial" w:hAnsi="Arial"/>
          <w:sz w:val="14"/>
          <w:szCs w:val="14"/>
          <w:i w:val="1"/>
          <w:iCs w:val="1"/>
          <w:color w:val="auto"/>
        </w:rPr>
        <w:t>PanC-Dx</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 family of novel blood and urine-based cancer screens); our current line of research products including </w:t>
      </w:r>
      <w:r>
        <w:rPr>
          <w:rFonts w:ascii="Arial" w:cs="Arial" w:eastAsia="Arial" w:hAnsi="Arial"/>
          <w:sz w:val="14"/>
          <w:szCs w:val="14"/>
          <w:i w:val="1"/>
          <w:iCs w:val="1"/>
          <w:color w:val="auto"/>
        </w:rPr>
        <w:t>PureStem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cell lines, associated </w:t>
      </w:r>
      <w:r>
        <w:rPr>
          <w:rFonts w:ascii="Arial" w:cs="Arial" w:eastAsia="Arial" w:hAnsi="Arial"/>
          <w:sz w:val="14"/>
          <w:szCs w:val="14"/>
          <w:i w:val="1"/>
          <w:iCs w:val="1"/>
          <w:color w:val="auto"/>
        </w:rPr>
        <w:t>ESpan</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 xml:space="preserve"> culture media, and cGMP-capable human embryonic stem cell lines; and the LifeMap Database Suite. Four of our subsidiaries, Asterias Biotherapeutics, Inc. ("Asterias"), Cell Cure Neurosciences, Ltd (Cell Cure Neurosciences"), OrthoCyte Corporation ("OrthoCyte"), and ReCyte Therapeutics, Inc. ("ReCyte Therapeutics") are focused on developing cell based therapeutic products for diseases such as neurological disorders, cancer, age related macular degeneration, orthopedic disorders, and age-related cardiovascular disease."</w:t>
      </w:r>
    </w:p>
    <w:p>
      <w:pPr>
        <w:spacing w:after="0" w:line="176" w:lineRule="exact"/>
        <w:rPr>
          <w:sz w:val="20"/>
          <w:szCs w:val="20"/>
          <w:color w:val="auto"/>
        </w:rPr>
      </w:pPr>
    </w:p>
    <w:p>
      <w:pPr>
        <w:ind w:right="20" w:firstLine="567"/>
        <w:spacing w:after="0" w:line="267" w:lineRule="auto"/>
        <w:rPr>
          <w:sz w:val="20"/>
          <w:szCs w:val="20"/>
          <w:color w:val="auto"/>
        </w:rPr>
      </w:pPr>
      <w:r>
        <w:rPr>
          <w:rFonts w:ascii="Arial" w:cs="Arial" w:eastAsia="Arial" w:hAnsi="Arial"/>
          <w:sz w:val="15"/>
          <w:szCs w:val="15"/>
          <w:color w:val="auto"/>
        </w:rPr>
        <w:t>“Regenerative medicine” refers to an emerging field of therapeutic product development that may allow all human cell and tissue types to be manufactured on an industrial scale. This new technology is made possible by the isolation of human embryonic stem (“hES”) cells, and by the development of “induced pluripotent stem (“iPS”) cells” which are created from regular cells of the human body using technology that allows adult cells to be “reprogrammed” into cells with pluripotency similar to hES-like cells. These pluripotent hES and iPS cells have the unique property of being able to branch out into each and every kind of cell in the human body, including the cell types that make up the brain, the blood, the heart, the lungs, the liver, and other tissues. Unlike adult-derived stem cells that have limited potential to become different cell types, pluripotent stem cells may have vast potential to supply an array of new regenerative therapeutic products, especially those targeting the large and growing markets associated with age-related degenerative disease. Unlike pharmaceuticals that require a molecular target, therapeutic strategies in regenerative medicine are generally aimed at regenerating affected cells and tissues, and therefore may have broader applicability. Regenerative medicine represents a revolution in the field of biotechnology with the promise of providing therapies for diseases previously considered incurable.</w:t>
      </w:r>
    </w:p>
    <w:p>
      <w:pPr>
        <w:spacing w:after="0" w:line="187" w:lineRule="exact"/>
        <w:rPr>
          <w:sz w:val="20"/>
          <w:szCs w:val="20"/>
          <w:color w:val="auto"/>
        </w:rPr>
      </w:pPr>
    </w:p>
    <w:p>
      <w:pPr>
        <w:ind w:firstLine="567"/>
        <w:spacing w:after="0" w:line="242" w:lineRule="auto"/>
        <w:rPr>
          <w:sz w:val="20"/>
          <w:szCs w:val="20"/>
          <w:color w:val="auto"/>
        </w:rPr>
      </w:pPr>
      <w:r>
        <w:rPr>
          <w:rFonts w:ascii="Arial" w:cs="Arial" w:eastAsia="Arial" w:hAnsi="Arial"/>
          <w:sz w:val="15"/>
          <w:szCs w:val="15"/>
          <w:color w:val="auto"/>
        </w:rPr>
        <w:t xml:space="preserve">The field of regenerative medicine includes a broad range of disciplines, including tissue banking, cellular therapy, gene therapy, and tissue engineering. Our commercial efforts in regenerative medicine include the development and sale of products designed for research applications in the near term as well as products designed for diagnostic and therapeutic applications in the medium and long term. Through our ESI BIO division, we offer advanced human stem cell products and technologies that can be used by researchers at universities and at companies in the bioscience and biopharmaceutical industries. We have developed research and clinical grade hES cell lines that we market for both basic research and therapeutic product development. Our subsidiary, ES Cell International Pte Ltd (“ESI”), has developed six hES cell lines that are among the best characterized and documented cell lines available today. Developed in compliance with the principles of current Good Manufacturing Practices (“cGMP”) that facilitate transition into the clinic, these hES cell lines are extensively characterized and five of the six cell lines currently have documented and publicly-available genomic sequences. The ESI hES cell lines are now included in the Stem Cell Registry of the National Institutes of Health (“NIH”), making them eligible for use in federally funded research, and all are available for purchase through our ESI BIO division at </w:t>
      </w:r>
      <w:r>
        <w:rPr>
          <w:rFonts w:ascii="Arial" w:cs="Arial" w:eastAsia="Arial" w:hAnsi="Arial"/>
          <w:sz w:val="15"/>
          <w:szCs w:val="15"/>
          <w:i w:val="1"/>
          <w:iCs w:val="1"/>
          <w:color w:val="auto"/>
        </w:rPr>
        <w:t>http://esibio.com/products/</w:t>
      </w:r>
      <w:r>
        <w:rPr>
          <w:rFonts w:ascii="Arial" w:cs="Arial" w:eastAsia="Arial" w:hAnsi="Arial"/>
          <w:sz w:val="15"/>
          <w:szCs w:val="15"/>
          <w:color w:val="auto"/>
        </w:rPr>
        <w:t xml:space="preserve">. We are working with several collaborators to enable the use of these lines for production of cell therapy products for investigational new drug enabling studies. ESI BIO also markets human embryonic progenitor cells (“hEPCs”), which are called </w:t>
      </w:r>
      <w:r>
        <w:rPr>
          <w:rFonts w:ascii="Arial" w:cs="Arial" w:eastAsia="Arial" w:hAnsi="Arial"/>
          <w:sz w:val="15"/>
          <w:szCs w:val="15"/>
          <w:i w:val="1"/>
          <w:iCs w:val="1"/>
          <w:color w:val="auto"/>
        </w:rPr>
        <w:t>PureStem</w:t>
      </w:r>
      <w:r>
        <w:rPr>
          <w:rFonts w:ascii="Arial" w:cs="Arial" w:eastAsia="Arial" w:hAnsi="Arial"/>
          <w:sz w:val="24"/>
          <w:szCs w:val="24"/>
          <w:color w:val="auto"/>
          <w:vertAlign w:val="superscript"/>
        </w:rPr>
        <w:t>®</w:t>
      </w:r>
      <w:r>
        <w:rPr>
          <w:rFonts w:ascii="Arial" w:cs="Arial" w:eastAsia="Arial" w:hAnsi="Arial"/>
          <w:sz w:val="15"/>
          <w:szCs w:val="15"/>
          <w:color w:val="auto"/>
        </w:rPr>
        <w:t xml:space="preserve"> progenitors and were developed using </w:t>
      </w:r>
      <w:r>
        <w:rPr>
          <w:rFonts w:ascii="Arial" w:cs="Arial" w:eastAsia="Arial" w:hAnsi="Arial"/>
          <w:sz w:val="15"/>
          <w:szCs w:val="15"/>
          <w:i w:val="1"/>
          <w:iCs w:val="1"/>
          <w:color w:val="auto"/>
        </w:rPr>
        <w:t>PureStem</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(previously designated</w:t>
      </w:r>
      <w:r>
        <w:rPr>
          <w:rFonts w:ascii="Arial" w:cs="Arial" w:eastAsia="Arial" w:hAnsi="Arial"/>
          <w:sz w:val="15"/>
          <w:szCs w:val="15"/>
          <w:i w:val="1"/>
          <w:iCs w:val="1"/>
          <w:color w:val="auto"/>
        </w:rPr>
        <w:t xml:space="preserve"> ACTCellerate</w:t>
      </w:r>
      <w:r>
        <w:rPr>
          <w:rFonts w:ascii="Arial" w:cs="Arial" w:eastAsia="Arial" w:hAnsi="Arial"/>
          <w:sz w:val="25"/>
          <w:szCs w:val="25"/>
          <w:color w:val="auto"/>
          <w:vertAlign w:val="superscript"/>
        </w:rPr>
        <w:t>™</w:t>
      </w:r>
      <w:r>
        <w:rPr>
          <w:rFonts w:ascii="Arial" w:cs="Arial" w:eastAsia="Arial" w:hAnsi="Arial"/>
          <w:sz w:val="15"/>
          <w:szCs w:val="15"/>
          <w:color w:val="auto"/>
        </w:rPr>
        <w:t>) technology. These hEPCs are purified lineages of cells that are intermediate in the developmental process between embryonic</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stem cells and fully differentiated cells. We expect that hEPCs will simplify the scalable manufacture of highly purified and identified cell types and will possess the ability to become a wide array of cell types with potential applications in research, drug discovery, and human regenerative stem cell therapies. The </w:t>
      </w:r>
      <w:r>
        <w:rPr>
          <w:rFonts w:ascii="Arial" w:cs="Arial" w:eastAsia="Arial" w:hAnsi="Arial"/>
          <w:sz w:val="15"/>
          <w:szCs w:val="15"/>
          <w:i w:val="1"/>
          <w:iCs w:val="1"/>
          <w:color w:val="auto"/>
        </w:rPr>
        <w:t>PureStem</w:t>
      </w:r>
      <w:r>
        <w:rPr>
          <w:rFonts w:ascii="Arial" w:cs="Arial" w:eastAsia="Arial" w:hAnsi="Arial"/>
          <w:sz w:val="24"/>
          <w:szCs w:val="24"/>
          <w:color w:val="auto"/>
          <w:vertAlign w:val="superscript"/>
        </w:rPr>
        <w:t>®</w:t>
      </w:r>
      <w:r>
        <w:rPr>
          <w:rFonts w:ascii="Arial" w:cs="Arial" w:eastAsia="Arial" w:hAnsi="Arial"/>
          <w:sz w:val="15"/>
          <w:szCs w:val="15"/>
          <w:color w:val="auto"/>
        </w:rPr>
        <w:t xml:space="preserve"> progenitors are also available for purchase through </w:t>
      </w:r>
      <w:r>
        <w:rPr>
          <w:rFonts w:ascii="Arial" w:cs="Arial" w:eastAsia="Arial" w:hAnsi="Arial"/>
          <w:sz w:val="15"/>
          <w:szCs w:val="15"/>
          <w:i w:val="1"/>
          <w:iCs w:val="1"/>
          <w:color w:val="auto"/>
        </w:rPr>
        <w:t>http://esibio.com/products/.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 w:name="page5"/>
    <w:bookmarkEnd w:id="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firstLine="567"/>
        <w:spacing w:after="0" w:line="228" w:lineRule="auto"/>
        <w:rPr>
          <w:sz w:val="20"/>
          <w:szCs w:val="20"/>
          <w:color w:val="auto"/>
        </w:rPr>
      </w:pPr>
      <w:r>
        <w:rPr>
          <w:rFonts w:ascii="Arial" w:cs="Arial" w:eastAsia="Arial" w:hAnsi="Arial"/>
          <w:sz w:val="16"/>
          <w:szCs w:val="16"/>
          <w:color w:val="auto"/>
        </w:rPr>
        <w:t xml:space="preserve">Research products can be marketed without regulatory or other governmental approval, and thus offer relatively near-term business opportunities, especially when compared to therapeutic products. Certain research products, such as ESI hES lines and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hydrogels, have the advantage of being “translatable to the clinic” meaning that these products are available as economical research grade or clinical grade products. Consequently, these products allow researchers more assurance that they will be acceptable for use in future clinical trials. The medical devices and diagnostics that we and our subsidiaries are developing will require regulatory approval for marketing, but the clinical trial and approval process for medical devices is often faster and less expensive than the process for the approval of new drugs and biological therapeutics. Our current and near-term product opportunities, combined with expected long-term revenues that could be derived from cell-based therapeutic products under development at our subsidiaries, provide us with a balanced commercial strategy.</w:t>
      </w:r>
    </w:p>
    <w:p>
      <w:pPr>
        <w:spacing w:after="0" w:line="172" w:lineRule="exact"/>
        <w:rPr>
          <w:sz w:val="20"/>
          <w:szCs w:val="20"/>
          <w:color w:val="auto"/>
        </w:rPr>
      </w:pPr>
    </w:p>
    <w:p>
      <w:pPr>
        <w:ind w:right="20" w:firstLine="567"/>
        <w:spacing w:after="0" w:line="192"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hydrogel product line is one of the components in our near-term revenue strategy.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a patented biomaterial that mimics the human extracellular matrix, which is the network of molecules surrounding cells in organs and tissues that is essential to cellular function. Many tissue engineering and regenerative cell-based therapies will require the delivery of therapeutic cells in a matrix or scaffold to sustain cell survival after transplantation and to maintain proper cellular function.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a unique hydrogel that has been shown to support cellular attachment and proliferation </w:t>
      </w:r>
      <w:r>
        <w:rPr>
          <w:rFonts w:ascii="Arial" w:cs="Arial" w:eastAsia="Arial" w:hAnsi="Arial"/>
          <w:sz w:val="16"/>
          <w:szCs w:val="16"/>
          <w:i w:val="1"/>
          <w:iCs w:val="1"/>
          <w:color w:val="auto"/>
        </w:rPr>
        <w:t>in vivo.</w:t>
      </w:r>
    </w:p>
    <w:p>
      <w:pPr>
        <w:spacing w:after="0" w:line="196" w:lineRule="exact"/>
        <w:rPr>
          <w:sz w:val="20"/>
          <w:szCs w:val="20"/>
          <w:color w:val="auto"/>
        </w:rPr>
      </w:pPr>
    </w:p>
    <w:p>
      <w:pPr>
        <w:ind w:right="40" w:firstLine="567"/>
        <w:spacing w:after="0" w:line="205" w:lineRule="auto"/>
        <w:rPr>
          <w:sz w:val="20"/>
          <w:szCs w:val="20"/>
          <w:color w:val="auto"/>
        </w:rPr>
      </w:pP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is a clinical grade formulation of our</w:t>
      </w:r>
      <w:r>
        <w:rPr>
          <w:rFonts w:ascii="Arial" w:cs="Arial" w:eastAsia="Arial" w:hAnsi="Arial"/>
          <w:sz w:val="14"/>
          <w:szCs w:val="14"/>
          <w:i w:val="1"/>
          <w:iCs w:val="1"/>
          <w:color w:val="auto"/>
        </w:rPr>
        <w:t xml:space="preserve"> HyStem</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-C</w:t>
      </w:r>
      <w:r>
        <w:rPr>
          <w:rFonts w:ascii="Arial" w:cs="Arial" w:eastAsia="Arial" w:hAnsi="Arial"/>
          <w:sz w:val="14"/>
          <w:szCs w:val="14"/>
          <w:color w:val="auto"/>
        </w:rPr>
        <w:t>, a biocompatible, implantable hyaluronan and collagen- based matrix for cell delivery in human clinical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applications. As an injectable product,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may address an immediate need in cosmetic and reconstructive surgeries and other procedures by improving the process of transplanting adipose derived cells, mesenchymal stem cells, or other adult stem cells. We will need to obtain approval by the United States Food and Drug Administration (the “FDA”) and comparable regulatory agencies in foreign countries in order to market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as a medical device. We recently conducted our first European clinical trial of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without cells to determine the safety, tolerability, and acceptance of</w:t>
      </w:r>
      <w:r>
        <w:rPr>
          <w:rFonts w:ascii="Arial" w:cs="Arial" w:eastAsia="Arial" w:hAnsi="Arial"/>
          <w:sz w:val="14"/>
          <w:szCs w:val="14"/>
          <w:i w:val="1"/>
          <w:iCs w:val="1"/>
          <w:color w:val="auto"/>
        </w:rPr>
        <w:t xml:space="preserve"> Renevia</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after subcutaneous injection. Examinations of the subjects after they received</w:t>
      </w:r>
      <w:r>
        <w:rPr>
          <w:rFonts w:ascii="Arial" w:cs="Arial" w:eastAsia="Arial" w:hAnsi="Arial"/>
          <w:sz w:val="14"/>
          <w:szCs w:val="14"/>
          <w:i w:val="1"/>
          <w:iCs w:val="1"/>
          <w:color w:val="auto"/>
        </w:rPr>
        <w:t xml:space="preserve"> Renevia</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injections and through the four-week follow-up period have shown that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was well-tolerated by all subjects with no serious adverse events or subject withdrawals. Subsequent clinical studies are planned to document the efficacy of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as a delivery matrix for adipose cells to restore normal skin contours in patients where the subcutaneous adipose tissue has been lost to lipoatrophy, beginning with HIV related facial lipoatrophy. Lipoatrophy is a localized loss of fat beneath the skin. Lipoatrophy is often a consequence of the normal aging process where the loss of fat in the cheeks or the back of the hands contributes to an aged appearance, but lipoatrophy can also be associated with trauma, surgery, and diseases, and is frequently suffered by HIV patients being treated with anti-viral drugs.</w:t>
      </w:r>
    </w:p>
    <w:p>
      <w:pPr>
        <w:spacing w:after="0" w:line="198" w:lineRule="exact"/>
        <w:rPr>
          <w:sz w:val="20"/>
          <w:szCs w:val="20"/>
          <w:color w:val="auto"/>
        </w:rPr>
      </w:pPr>
    </w:p>
    <w:p>
      <w:pPr>
        <w:ind w:right="40" w:firstLine="567"/>
        <w:spacing w:after="0" w:line="207" w:lineRule="auto"/>
        <w:rPr>
          <w:sz w:val="20"/>
          <w:szCs w:val="20"/>
          <w:color w:val="auto"/>
        </w:rPr>
      </w:pPr>
      <w:r>
        <w:rPr>
          <w:rFonts w:ascii="Arial" w:cs="Arial" w:eastAsia="Arial" w:hAnsi="Arial"/>
          <w:sz w:val="15"/>
          <w:szCs w:val="15"/>
          <w:color w:val="auto"/>
        </w:rPr>
        <w:t xml:space="preserve">We have commenced development of two new products based on our </w:t>
      </w:r>
      <w:r>
        <w:rPr>
          <w:rFonts w:ascii="Arial" w:cs="Arial" w:eastAsia="Arial" w:hAnsi="Arial"/>
          <w:sz w:val="15"/>
          <w:szCs w:val="15"/>
          <w:i w:val="1"/>
          <w:iCs w:val="1"/>
          <w:color w:val="auto"/>
        </w:rPr>
        <w:t>HyStem</w:t>
      </w:r>
      <w:r>
        <w:rPr>
          <w:rFonts w:ascii="Arial" w:cs="Arial" w:eastAsia="Arial" w:hAnsi="Arial"/>
          <w:sz w:val="25"/>
          <w:szCs w:val="25"/>
          <w:color w:val="auto"/>
          <w:vertAlign w:val="superscript"/>
        </w:rPr>
        <w:t>®</w:t>
      </w:r>
      <w:r>
        <w:rPr>
          <w:rFonts w:ascii="Arial" w:cs="Arial" w:eastAsia="Arial" w:hAnsi="Arial"/>
          <w:sz w:val="15"/>
          <w:szCs w:val="15"/>
          <w:color w:val="auto"/>
        </w:rPr>
        <w:t xml:space="preserve"> technology platform. The new products are unique formulations utilizing some of the same cGMP components that we are using in our clinical trials of </w:t>
      </w:r>
      <w:r>
        <w:rPr>
          <w:rFonts w:ascii="Arial" w:cs="Arial" w:eastAsia="Arial" w:hAnsi="Arial"/>
          <w:sz w:val="15"/>
          <w:szCs w:val="15"/>
          <w:i w:val="1"/>
          <w:iCs w:val="1"/>
          <w:color w:val="auto"/>
        </w:rPr>
        <w:t>Renevia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The first of these new products is </w:t>
      </w:r>
      <w:r>
        <w:rPr>
          <w:rFonts w:ascii="Arial" w:cs="Arial" w:eastAsia="Arial" w:hAnsi="Arial"/>
          <w:sz w:val="15"/>
          <w:szCs w:val="15"/>
          <w:i w:val="1"/>
          <w:iCs w:val="1"/>
          <w:color w:val="auto"/>
        </w:rPr>
        <w:t>ReGlyde</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 cross-linked thiol-modified hyaluronan hydrogel for the management and protection of tendon injuries following surgical repair of the digital flexor or extensor tendons of the hand. The product is intended to be applied to the repaired tendon area via a syringe or similar device immediately prior to closing of the surgical area in order to prevent the tendon from attaching to the surrounding tissue. Separation of the tendon from surrounding tissue has been shown to significantly reduce post-surgical adhesions that can lead to complications such as restricted finger mobility and flexibility. The second new product, </w:t>
      </w:r>
      <w:r>
        <w:rPr>
          <w:rFonts w:ascii="Arial" w:cs="Arial" w:eastAsia="Arial" w:hAnsi="Arial"/>
          <w:sz w:val="15"/>
          <w:szCs w:val="15"/>
          <w:i w:val="1"/>
          <w:iCs w:val="1"/>
          <w:color w:val="auto"/>
        </w:rPr>
        <w:t>Premvia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is a </w:t>
      </w:r>
      <w:r>
        <w:rPr>
          <w:rFonts w:ascii="Arial" w:cs="Arial" w:eastAsia="Arial" w:hAnsi="Arial"/>
          <w:sz w:val="15"/>
          <w:szCs w:val="15"/>
          <w:i w:val="1"/>
          <w:iCs w:val="1"/>
          <w:color w:val="auto"/>
        </w:rPr>
        <w:t>HyStem</w:t>
      </w:r>
      <w:r>
        <w:rPr>
          <w:rFonts w:ascii="Arial" w:cs="Arial" w:eastAsia="Arial" w:hAnsi="Arial"/>
          <w:sz w:val="25"/>
          <w:szCs w:val="25"/>
          <w:color w:val="auto"/>
          <w:vertAlign w:val="superscript"/>
        </w:rPr>
        <w:t>®</w:t>
      </w:r>
      <w:r>
        <w:rPr>
          <w:rFonts w:ascii="Arial" w:cs="Arial" w:eastAsia="Arial" w:hAnsi="Arial"/>
          <w:sz w:val="15"/>
          <w:szCs w:val="15"/>
          <w:color w:val="auto"/>
        </w:rPr>
        <w:t xml:space="preserve"> hydrogel formulation of cross-linked thiol-modified hyaluronan and thiol-modified gelatin for the management of wounds by providing a hydrating tissue matrix that permits cell, tissue, and vasculature in-growth.</w:t>
      </w:r>
    </w:p>
    <w:p>
      <w:pPr>
        <w:spacing w:after="0" w:line="174" w:lineRule="exact"/>
        <w:rPr>
          <w:sz w:val="20"/>
          <w:szCs w:val="20"/>
          <w:color w:val="auto"/>
        </w:rPr>
      </w:pPr>
    </w:p>
    <w:p>
      <w:pPr>
        <w:ind w:right="120" w:firstLine="567"/>
        <w:spacing w:after="0" w:line="186" w:lineRule="auto"/>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HyStem</w:t>
      </w:r>
      <w:r>
        <w:rPr>
          <w:rFonts w:ascii="Arial" w:cs="Arial" w:eastAsia="Arial" w:hAnsi="Arial"/>
          <w:sz w:val="24"/>
          <w:szCs w:val="24"/>
          <w:color w:val="auto"/>
          <w:vertAlign w:val="superscript"/>
        </w:rPr>
        <w:t>®</w:t>
      </w:r>
      <w:r>
        <w:rPr>
          <w:rFonts w:ascii="Arial" w:cs="Arial" w:eastAsia="Arial" w:hAnsi="Arial"/>
          <w:sz w:val="15"/>
          <w:szCs w:val="15"/>
          <w:color w:val="auto"/>
        </w:rPr>
        <w:t xml:space="preserve"> hydrogels may have other applications when combined with the diverse and scalable cell types our scientists have isolated from hES cells. </w:t>
      </w:r>
      <w:r>
        <w:rPr>
          <w:rFonts w:ascii="Arial" w:cs="Arial" w:eastAsia="Arial" w:hAnsi="Arial"/>
          <w:sz w:val="15"/>
          <w:szCs w:val="15"/>
          <w:i w:val="1"/>
          <w:iCs w:val="1"/>
          <w:color w:val="auto"/>
        </w:rPr>
        <w:t>HyStem</w:t>
      </w:r>
      <w:r>
        <w:rPr>
          <w:rFonts w:ascii="Arial" w:cs="Arial" w:eastAsia="Arial" w:hAnsi="Arial"/>
          <w:sz w:val="24"/>
          <w:szCs w:val="24"/>
          <w:color w:val="auto"/>
          <w:vertAlign w:val="superscript"/>
        </w:rPr>
        <w:t>®</w:t>
      </w:r>
      <w:r>
        <w:rPr>
          <w:rFonts w:ascii="Arial" w:cs="Arial" w:eastAsia="Arial" w:hAnsi="Arial"/>
          <w:sz w:val="15"/>
          <w:szCs w:val="15"/>
          <w:color w:val="auto"/>
        </w:rPr>
        <w:t xml:space="preserve"> products are also currently being used by researchers at a number of leading medical schools in pre-clinical studies of stem cell therapies, including research that we are funding at UCLA for the treatment of ischemic stroke. Other researchers are conducting work with </w:t>
      </w:r>
      <w:r>
        <w:rPr>
          <w:rFonts w:ascii="Arial" w:cs="Arial" w:eastAsia="Arial" w:hAnsi="Arial"/>
          <w:sz w:val="15"/>
          <w:szCs w:val="15"/>
          <w:i w:val="1"/>
          <w:iCs w:val="1"/>
          <w:color w:val="auto"/>
        </w:rPr>
        <w:t>HyStem</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 research to facilitate wound healing, to treat brain cancer, vocal fold scarring, and for myocardial infarct repair. Recent publications have highlighted the combined use of </w:t>
      </w:r>
      <w:r>
        <w:rPr>
          <w:rFonts w:ascii="Arial" w:cs="Arial" w:eastAsia="Arial" w:hAnsi="Arial"/>
          <w:sz w:val="15"/>
          <w:szCs w:val="15"/>
          <w:i w:val="1"/>
          <w:iCs w:val="1"/>
          <w:color w:val="auto"/>
        </w:rPr>
        <w:t>HyStem</w:t>
      </w:r>
      <w:r>
        <w:rPr>
          <w:rFonts w:ascii="Arial" w:cs="Arial" w:eastAsia="Arial" w:hAnsi="Arial"/>
          <w:sz w:val="24"/>
          <w:szCs w:val="24"/>
          <w:color w:val="auto"/>
          <w:vertAlign w:val="superscript"/>
        </w:rPr>
        <w:t>®</w:t>
      </w:r>
      <w:r>
        <w:rPr>
          <w:rFonts w:ascii="Arial" w:cs="Arial" w:eastAsia="Arial" w:hAnsi="Arial"/>
          <w:sz w:val="15"/>
          <w:szCs w:val="15"/>
          <w:color w:val="auto"/>
        </w:rPr>
        <w:t xml:space="preserve"> hydrogels with </w:t>
      </w:r>
      <w:r>
        <w:rPr>
          <w:rFonts w:ascii="Arial" w:cs="Arial" w:eastAsia="Arial" w:hAnsi="Arial"/>
          <w:sz w:val="15"/>
          <w:szCs w:val="15"/>
          <w:i w:val="1"/>
          <w:iCs w:val="1"/>
          <w:color w:val="auto"/>
        </w:rPr>
        <w:t>PureStem</w:t>
      </w:r>
      <w:r>
        <w:rPr>
          <w:rFonts w:ascii="Arial" w:cs="Arial" w:eastAsia="Arial" w:hAnsi="Arial"/>
          <w:sz w:val="23"/>
          <w:szCs w:val="23"/>
          <w:color w:val="auto"/>
          <w:vertAlign w:val="superscript"/>
        </w:rPr>
        <w:t>®</w:t>
      </w:r>
      <w:r>
        <w:rPr>
          <w:rFonts w:ascii="Arial" w:cs="Arial" w:eastAsia="Arial" w:hAnsi="Arial"/>
          <w:sz w:val="15"/>
          <w:szCs w:val="15"/>
          <w:color w:val="auto"/>
        </w:rPr>
        <w:t xml:space="preserve"> </w:t>
      </w:r>
      <w:r>
        <w:rPr>
          <w:rFonts w:ascii="Arial" w:cs="Arial" w:eastAsia="Arial" w:hAnsi="Arial"/>
          <w:sz w:val="14"/>
          <w:szCs w:val="14"/>
          <w:color w:val="auto"/>
        </w:rPr>
        <w:t>progenitors resulting in a combined product that</w:t>
      </w:r>
      <w:r>
        <w:rPr>
          <w:rFonts w:ascii="Arial" w:cs="Arial" w:eastAsia="Arial" w:hAnsi="Arial"/>
          <w:sz w:val="15"/>
          <w:szCs w:val="15"/>
          <w:color w:val="auto"/>
        </w:rPr>
        <w:t xml:space="preserve"> </w:t>
      </w:r>
      <w:r>
        <w:rPr>
          <w:rFonts w:ascii="Arial" w:cs="Arial" w:eastAsia="Arial" w:hAnsi="Arial"/>
          <w:sz w:val="14"/>
          <w:szCs w:val="14"/>
          <w:color w:val="auto"/>
        </w:rPr>
        <w:t xml:space="preserve">produces cartilage-producing cell masses known as chondrocytes. We call this experimental product </w:t>
      </w:r>
      <w:r>
        <w:rPr>
          <w:rFonts w:ascii="Arial" w:cs="Arial" w:eastAsia="Arial" w:hAnsi="Arial"/>
          <w:sz w:val="14"/>
          <w:szCs w:val="14"/>
          <w:i w:val="1"/>
          <w:iCs w:val="1"/>
          <w:color w:val="auto"/>
        </w:rPr>
        <w:t>HyStem</w:t>
      </w:r>
      <w:r>
        <w:rPr>
          <w:rFonts w:ascii="Arial" w:cs="Arial" w:eastAsia="Arial" w:hAnsi="Arial"/>
          <w:sz w:val="24"/>
          <w:szCs w:val="24"/>
          <w:color w:val="auto"/>
          <w:vertAlign w:val="superscript"/>
        </w:rPr>
        <w:t>®</w:t>
      </w:r>
      <w:r>
        <w:rPr>
          <w:rFonts w:ascii="Arial" w:cs="Arial" w:eastAsia="Arial" w:hAnsi="Arial"/>
          <w:sz w:val="14"/>
          <w:szCs w:val="14"/>
          <w:i w:val="1"/>
          <w:iCs w:val="1"/>
          <w:color w:val="auto"/>
        </w:rPr>
        <w:t>-</w:t>
      </w:r>
      <w:r>
        <w:rPr>
          <w:rFonts w:ascii="Arial" w:cs="Arial" w:eastAsia="Arial" w:hAnsi="Arial"/>
          <w:sz w:val="14"/>
          <w:szCs w:val="14"/>
          <w:color w:val="auto"/>
        </w:rPr>
        <w:t xml:space="preserve">4D. In collaboration with William Marsh Rice University, we are also using </w:t>
      </w:r>
      <w:r>
        <w:rPr>
          <w:rFonts w:ascii="Arial" w:cs="Arial" w:eastAsia="Arial" w:hAnsi="Arial"/>
          <w:sz w:val="14"/>
          <w:szCs w:val="14"/>
          <w:i w:val="1"/>
          <w:iCs w:val="1"/>
          <w:color w:val="auto"/>
        </w:rPr>
        <w:t>HyStem</w:t>
      </w:r>
      <w:r>
        <w:rPr>
          <w:rFonts w:ascii="Arial" w:cs="Arial" w:eastAsia="Arial" w:hAnsi="Arial"/>
          <w:sz w:val="24"/>
          <w:szCs w:val="24"/>
          <w:color w:val="auto"/>
          <w:vertAlign w:val="superscript"/>
        </w:rPr>
        <w:t>®</w:t>
      </w:r>
      <w:r>
        <w:rPr>
          <w:rFonts w:ascii="Arial" w:cs="Arial" w:eastAsia="Arial" w:hAnsi="Arial"/>
          <w:sz w:val="14"/>
          <w:szCs w:val="14"/>
          <w:color w:val="auto"/>
        </w:rPr>
        <w:t xml:space="preserve"> technology to develop 3D cell culture platforms for improved methods of screening new anti-cancer drug candidates.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 w:name="page6"/>
    <w:bookmarkEnd w:id="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60" w:firstLine="566"/>
        <w:spacing w:after="0" w:line="226" w:lineRule="auto"/>
        <w:rPr>
          <w:sz w:val="20"/>
          <w:szCs w:val="20"/>
          <w:color w:val="auto"/>
        </w:rPr>
      </w:pPr>
      <w:r>
        <w:rPr>
          <w:rFonts w:ascii="Arial" w:cs="Arial" w:eastAsia="Arial" w:hAnsi="Arial"/>
          <w:sz w:val="14"/>
          <w:szCs w:val="14"/>
          <w:color w:val="auto"/>
        </w:rPr>
        <w:t xml:space="preserve">Our subsidiary OncoCyte is developing novel products for the diagnosis and treatment of cancer in order to improve the quality and length of life of cancer patients. Based on large unmet need, market size, and data generated thus far from patient sample screening, OncoCyte is presently focusing its efforts on developing </w:t>
      </w:r>
      <w:r>
        <w:rPr>
          <w:rFonts w:ascii="Arial" w:cs="Arial" w:eastAsia="Arial" w:hAnsi="Arial"/>
          <w:sz w:val="14"/>
          <w:szCs w:val="14"/>
          <w:i w:val="1"/>
          <w:iCs w:val="1"/>
          <w:color w:val="auto"/>
        </w:rPr>
        <w:t>PanC-Dx</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diagnostic products for use in detecting breast, bladder, and lung cancers. Clinical studies designed to test the performance of </w:t>
      </w:r>
      <w:r>
        <w:rPr>
          <w:rFonts w:ascii="Arial" w:cs="Arial" w:eastAsia="Arial" w:hAnsi="Arial"/>
          <w:sz w:val="14"/>
          <w:szCs w:val="14"/>
          <w:i w:val="1"/>
          <w:iCs w:val="1"/>
          <w:color w:val="auto"/>
        </w:rPr>
        <w:t>PanC-Dx</w:t>
      </w:r>
      <w:r>
        <w:rPr>
          <w:rFonts w:ascii="Arial" w:cs="Arial" w:eastAsia="Arial" w:hAnsi="Arial"/>
          <w:sz w:val="23"/>
          <w:szCs w:val="23"/>
          <w:color w:val="auto"/>
          <w:vertAlign w:val="superscript"/>
        </w:rPr>
        <w:t>™</w:t>
      </w:r>
      <w:r>
        <w:rPr>
          <w:rFonts w:ascii="Arial" w:cs="Arial" w:eastAsia="Arial" w:hAnsi="Arial"/>
          <w:sz w:val="14"/>
          <w:szCs w:val="14"/>
          <w:color w:val="auto"/>
        </w:rPr>
        <w:t xml:space="preserve"> markers in these three cancers are currently underway, and completion of the studies is expected by the end of 2014. The performance of the marker panels in determining the presence or the progression of disease in various categories of patients in these clinical studies will determine the specific nature of the test to be developed and the approval pathway that OncoCyte will pursue.</w:t>
      </w:r>
    </w:p>
    <w:p>
      <w:pPr>
        <w:spacing w:after="0" w:line="197" w:lineRule="exact"/>
        <w:rPr>
          <w:sz w:val="20"/>
          <w:szCs w:val="20"/>
          <w:color w:val="auto"/>
        </w:rPr>
      </w:pPr>
    </w:p>
    <w:p>
      <w:pPr>
        <w:ind w:right="20" w:firstLine="567"/>
        <w:spacing w:after="0"/>
        <w:rPr>
          <w:sz w:val="20"/>
          <w:szCs w:val="20"/>
          <w:color w:val="auto"/>
        </w:rPr>
      </w:pPr>
      <w:r>
        <w:rPr>
          <w:rFonts w:ascii="Arial" w:cs="Arial" w:eastAsia="Arial" w:hAnsi="Arial"/>
          <w:sz w:val="14"/>
          <w:szCs w:val="14"/>
          <w:color w:val="auto"/>
        </w:rPr>
        <w:t xml:space="preserve">Our subsidiary, LifeMap Sciences, Inc. (“LifeMap Sciences”) markets, sells and distributes </w:t>
      </w:r>
      <w:r>
        <w:rPr>
          <w:rFonts w:ascii="Arial" w:cs="Arial" w:eastAsia="Arial" w:hAnsi="Arial"/>
          <w:sz w:val="14"/>
          <w:szCs w:val="14"/>
          <w:i w:val="1"/>
          <w:iCs w:val="1"/>
          <w:color w:val="auto"/>
        </w:rPr>
        <w:t>GeneCards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the leading human gene database, as part of an integrated database suite that includes </w:t>
      </w:r>
      <w:r>
        <w:rPr>
          <w:rFonts w:ascii="Arial" w:cs="Arial" w:eastAsia="Arial" w:hAnsi="Arial"/>
          <w:sz w:val="14"/>
          <w:szCs w:val="14"/>
          <w:i w:val="1"/>
          <w:iCs w:val="1"/>
          <w:color w:val="auto"/>
        </w:rPr>
        <w:t>LifeMap Discovery</w:t>
      </w:r>
      <w:r>
        <w:rPr>
          <w:rFonts w:ascii="Arial" w:cs="Arial" w:eastAsia="Arial" w:hAnsi="Arial"/>
          <w:sz w:val="23"/>
          <w:szCs w:val="23"/>
          <w:color w:val="auto"/>
          <w:vertAlign w:val="superscript"/>
        </w:rPr>
        <w:t>®</w:t>
      </w:r>
      <w:r>
        <w:rPr>
          <w:rFonts w:ascii="Arial" w:cs="Arial" w:eastAsia="Arial" w:hAnsi="Arial"/>
          <w:sz w:val="14"/>
          <w:szCs w:val="14"/>
          <w:color w:val="auto"/>
        </w:rPr>
        <w:t>, the database of embryonic development, stem cell research and regenerative medicine; and MalaCards, the human disease database.</w:t>
      </w:r>
    </w:p>
    <w:p>
      <w:pPr>
        <w:spacing w:after="0" w:line="70" w:lineRule="exact"/>
        <w:rPr>
          <w:sz w:val="20"/>
          <w:szCs w:val="20"/>
          <w:color w:val="auto"/>
        </w:rPr>
      </w:pPr>
    </w:p>
    <w:p>
      <w:pPr>
        <w:jc w:val="both"/>
        <w:ind w:right="80" w:firstLine="567"/>
        <w:spacing w:after="0" w:line="208" w:lineRule="auto"/>
        <w:rPr>
          <w:sz w:val="20"/>
          <w:szCs w:val="20"/>
          <w:color w:val="auto"/>
        </w:rPr>
      </w:pPr>
      <w:r>
        <w:rPr>
          <w:rFonts w:ascii="Arial" w:cs="Arial" w:eastAsia="Arial" w:hAnsi="Arial"/>
          <w:sz w:val="16"/>
          <w:szCs w:val="16"/>
          <w:color w:val="auto"/>
        </w:rPr>
        <w:t xml:space="preserve">Our majority owned subsidiary Cell Cure Neurosciences is developing cell therapies for retinal and neural degenerative diseases. Cell Cure Neurosciences’ lead product is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color w:val="auto"/>
        </w:rPr>
        <w:t>, a proprietary formulation of embryonic stem cell-derived retinal pigmented epithelial cells developed to address the high, unmet medical needs of people suffering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age-related macular degeneration.</w:t>
      </w:r>
    </w:p>
    <w:p>
      <w:pPr>
        <w:spacing w:after="0" w:line="202" w:lineRule="exact"/>
        <w:rPr>
          <w:sz w:val="20"/>
          <w:szCs w:val="20"/>
          <w:color w:val="auto"/>
        </w:rPr>
      </w:pPr>
    </w:p>
    <w:p>
      <w:pPr>
        <w:ind w:right="220" w:firstLine="567"/>
        <w:spacing w:after="0" w:line="257" w:lineRule="auto"/>
        <w:rPr>
          <w:sz w:val="20"/>
          <w:szCs w:val="20"/>
          <w:color w:val="auto"/>
        </w:rPr>
      </w:pPr>
      <w:r>
        <w:rPr>
          <w:rFonts w:ascii="Arial" w:cs="Arial" w:eastAsia="Arial" w:hAnsi="Arial"/>
          <w:sz w:val="16"/>
          <w:szCs w:val="16"/>
          <w:color w:val="auto"/>
        </w:rPr>
        <w:t>On October 1, 2013, our subsidiary Asterias acquired the stem cell assets of Geron Corporation (“Geron”), including patents and other intellectual property, biological materials, reagents and equipment for the development of new therapeutic products for regenerative medicine. The product candidates under development from various cell types that Asterias acquired from Geron are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7263765" cy="3526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352679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tcPr>
          <w:p>
            <w:pPr>
              <w:ind w:left="340"/>
              <w:spacing w:after="0"/>
              <w:rPr>
                <w:sz w:val="20"/>
                <w:szCs w:val="20"/>
                <w:color w:val="auto"/>
              </w:rPr>
            </w:pPr>
            <w:r>
              <w:rPr>
                <w:rFonts w:ascii="Arial" w:cs="Arial" w:eastAsia="Arial" w:hAnsi="Arial"/>
                <w:sz w:val="16"/>
                <w:szCs w:val="16"/>
                <w:b w:val="1"/>
                <w:bCs w:val="1"/>
                <w:color w:val="auto"/>
              </w:rPr>
              <w:t>Product Candidate</w:t>
            </w:r>
          </w:p>
        </w:tc>
        <w:tc>
          <w:tcPr>
            <w:tcW w:w="2080" w:type="dxa"/>
            <w:vAlign w:val="bottom"/>
          </w:tcPr>
          <w:p>
            <w:pPr>
              <w:spacing w:after="0"/>
              <w:rPr>
                <w:sz w:val="16"/>
                <w:szCs w:val="16"/>
                <w:color w:val="auto"/>
              </w:rPr>
            </w:pPr>
          </w:p>
        </w:tc>
        <w:tc>
          <w:tcPr>
            <w:tcW w:w="2160" w:type="dxa"/>
            <w:vAlign w:val="bottom"/>
          </w:tcPr>
          <w:p>
            <w:pPr>
              <w:ind w:left="560"/>
              <w:spacing w:after="0"/>
              <w:rPr>
                <w:sz w:val="20"/>
                <w:szCs w:val="20"/>
                <w:color w:val="auto"/>
              </w:rPr>
            </w:pPr>
            <w:r>
              <w:rPr>
                <w:rFonts w:ascii="Arial" w:cs="Arial" w:eastAsia="Arial" w:hAnsi="Arial"/>
                <w:sz w:val="16"/>
                <w:szCs w:val="16"/>
                <w:b w:val="1"/>
                <w:bCs w:val="1"/>
                <w:color w:val="auto"/>
              </w:rPr>
              <w:t>Estimated Number</w:t>
            </w:r>
          </w:p>
        </w:tc>
        <w:tc>
          <w:tcPr>
            <w:tcW w:w="5260" w:type="dxa"/>
            <w:vAlign w:val="bottom"/>
          </w:tcPr>
          <w:p>
            <w:pPr>
              <w:spacing w:after="0"/>
              <w:rPr>
                <w:sz w:val="16"/>
                <w:szCs w:val="16"/>
                <w:color w:val="auto"/>
              </w:rPr>
            </w:pPr>
          </w:p>
        </w:tc>
      </w:tr>
      <w:tr>
        <w:trPr>
          <w:trHeight w:val="217"/>
        </w:trPr>
        <w:tc>
          <w:tcPr>
            <w:tcW w:w="194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Description</w:t>
            </w:r>
          </w:p>
        </w:tc>
        <w:tc>
          <w:tcPr>
            <w:tcW w:w="208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Target Market</w:t>
            </w:r>
          </w:p>
        </w:tc>
        <w:tc>
          <w:tcPr>
            <w:tcW w:w="2160" w:type="dxa"/>
            <w:vAlign w:val="bottom"/>
            <w:tcBorders>
              <w:bottom w:val="single" w:sz="8" w:color="auto"/>
            </w:tcBorders>
          </w:tcPr>
          <w:p>
            <w:pPr>
              <w:ind w:left="420"/>
              <w:spacing w:after="0" w:line="213" w:lineRule="exact"/>
              <w:rPr>
                <w:sz w:val="20"/>
                <w:szCs w:val="20"/>
                <w:color w:val="auto"/>
              </w:rPr>
            </w:pPr>
            <w:r>
              <w:rPr>
                <w:rFonts w:ascii="Arial" w:cs="Arial" w:eastAsia="Arial" w:hAnsi="Arial"/>
                <w:sz w:val="15"/>
                <w:szCs w:val="15"/>
                <w:b w:val="1"/>
                <w:bCs w:val="1"/>
                <w:color w:val="auto"/>
              </w:rPr>
              <w:t xml:space="preserve">of Potential Patients </w:t>
            </w:r>
            <w:r>
              <w:rPr>
                <w:rFonts w:ascii="Arial" w:cs="Arial" w:eastAsia="Arial" w:hAnsi="Arial"/>
                <w:sz w:val="24"/>
                <w:szCs w:val="24"/>
                <w:b w:val="1"/>
                <w:bCs w:val="1"/>
                <w:color w:val="auto"/>
                <w:vertAlign w:val="superscript"/>
              </w:rPr>
              <w:t>(1)</w:t>
            </w:r>
          </w:p>
        </w:tc>
        <w:tc>
          <w:tcPr>
            <w:tcW w:w="5260" w:type="dxa"/>
            <w:vAlign w:val="bottom"/>
            <w:tcBorders>
              <w:bottom w:val="single" w:sz="8" w:color="auto"/>
            </w:tcBorders>
          </w:tcPr>
          <w:p>
            <w:pPr>
              <w:ind w:left="2480"/>
              <w:spacing w:after="0"/>
              <w:rPr>
                <w:sz w:val="20"/>
                <w:szCs w:val="20"/>
                <w:color w:val="auto"/>
              </w:rPr>
            </w:pPr>
            <w:r>
              <w:rPr>
                <w:rFonts w:ascii="Arial" w:cs="Arial" w:eastAsia="Arial" w:hAnsi="Arial"/>
                <w:sz w:val="16"/>
                <w:szCs w:val="16"/>
                <w:b w:val="1"/>
                <w:bCs w:val="1"/>
                <w:color w:val="auto"/>
              </w:rPr>
              <w:t>Status</w:t>
            </w:r>
          </w:p>
        </w:tc>
      </w:tr>
      <w:tr>
        <w:trPr>
          <w:trHeight w:val="177"/>
        </w:trPr>
        <w:tc>
          <w:tcPr>
            <w:tcW w:w="194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OPC1 – Glial Cells</w:t>
            </w:r>
          </w:p>
        </w:tc>
        <w:tc>
          <w:tcPr>
            <w:tcW w:w="20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Spinal Cord Injury</w:t>
            </w:r>
          </w:p>
        </w:tc>
        <w:tc>
          <w:tcPr>
            <w:tcW w:w="2160" w:type="dxa"/>
            <w:vAlign w:val="bottom"/>
            <w:shd w:val="clear" w:color="auto" w:fill="CCEEFF"/>
          </w:tcPr>
          <w:p>
            <w:pPr>
              <w:ind w:left="220"/>
              <w:spacing w:after="0" w:line="177" w:lineRule="exact"/>
              <w:rPr>
                <w:sz w:val="20"/>
                <w:szCs w:val="20"/>
                <w:color w:val="auto"/>
              </w:rPr>
            </w:pPr>
            <w:r>
              <w:rPr>
                <w:rFonts w:ascii="Arial" w:cs="Arial" w:eastAsia="Arial" w:hAnsi="Arial"/>
                <w:sz w:val="16"/>
                <w:szCs w:val="16"/>
                <w:color w:val="auto"/>
                <w:w w:val="91"/>
              </w:rPr>
              <w:t>12,000 new cases per year in</w:t>
            </w:r>
          </w:p>
        </w:tc>
        <w:tc>
          <w:tcPr>
            <w:tcW w:w="5260" w:type="dxa"/>
            <w:vAlign w:val="bottom"/>
            <w:shd w:val="clear" w:color="auto" w:fill="CCEEFF"/>
          </w:tcPr>
          <w:p>
            <w:pPr>
              <w:ind w:left="240"/>
              <w:spacing w:after="0" w:line="177" w:lineRule="exact"/>
              <w:rPr>
                <w:sz w:val="20"/>
                <w:szCs w:val="20"/>
                <w:color w:val="auto"/>
              </w:rPr>
            </w:pPr>
            <w:r>
              <w:rPr>
                <w:rFonts w:ascii="Arial" w:cs="Arial" w:eastAsia="Arial" w:hAnsi="Arial"/>
                <w:sz w:val="16"/>
                <w:szCs w:val="16"/>
                <w:color w:val="auto"/>
                <w:w w:val="93"/>
              </w:rPr>
              <w:t>Phase I Trial initiated in U.S. 5 Patients treated – no serious adverse events</w:t>
            </w:r>
          </w:p>
        </w:tc>
      </w:tr>
      <w:tr>
        <w:trPr>
          <w:trHeight w:val="200"/>
        </w:trPr>
        <w:tc>
          <w:tcPr>
            <w:tcW w:w="1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related to the OPC1 drug product to date.</w:t>
            </w:r>
          </w:p>
        </w:tc>
      </w:tr>
      <w:tr>
        <w:trPr>
          <w:trHeight w:val="367"/>
        </w:trPr>
        <w:tc>
          <w:tcPr>
            <w:tcW w:w="19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Multiple Sclerosis (“MS”)</w:t>
            </w:r>
          </w:p>
        </w:tc>
        <w:tc>
          <w:tcPr>
            <w:tcW w:w="21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8"/>
              </w:rPr>
              <w:t>180,000 new cases per year in</w:t>
            </w:r>
          </w:p>
        </w:tc>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Proof of principle achieved in animal models.</w:t>
            </w:r>
          </w:p>
        </w:tc>
      </w:tr>
      <w:tr>
        <w:trPr>
          <w:trHeight w:val="200"/>
        </w:trPr>
        <w:tc>
          <w:tcPr>
            <w:tcW w:w="1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5260" w:type="dxa"/>
            <w:vAlign w:val="bottom"/>
            <w:shd w:val="clear" w:color="auto" w:fill="CCEEFF"/>
          </w:tcPr>
          <w:p>
            <w:pPr>
              <w:spacing w:after="0"/>
              <w:rPr>
                <w:sz w:val="17"/>
                <w:szCs w:val="17"/>
                <w:color w:val="auto"/>
              </w:rPr>
            </w:pPr>
          </w:p>
        </w:tc>
      </w:tr>
      <w:tr>
        <w:trPr>
          <w:trHeight w:val="379"/>
        </w:trPr>
        <w:tc>
          <w:tcPr>
            <w:tcW w:w="19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Canavan's Disease</w:t>
            </w:r>
            <w:r>
              <w:rPr>
                <w:rFonts w:ascii="Arial" w:cs="Arial" w:eastAsia="Arial" w:hAnsi="Arial"/>
                <w:sz w:val="26"/>
                <w:szCs w:val="26"/>
                <w:color w:val="auto"/>
                <w:vertAlign w:val="superscript"/>
              </w:rPr>
              <w:t>(2)</w:t>
            </w:r>
          </w:p>
        </w:tc>
        <w:tc>
          <w:tcPr>
            <w:tcW w:w="2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Rare</w:t>
            </w:r>
          </w:p>
        </w:tc>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Proof of principle achieved in animal models.</w:t>
            </w:r>
          </w:p>
        </w:tc>
      </w:tr>
      <w:tr>
        <w:trPr>
          <w:trHeight w:val="366"/>
        </w:trPr>
        <w:tc>
          <w:tcPr>
            <w:tcW w:w="19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Stroke</w:t>
            </w:r>
          </w:p>
        </w:tc>
        <w:tc>
          <w:tcPr>
            <w:tcW w:w="21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8"/>
              </w:rPr>
              <w:t>800,000 new cases per year in</w:t>
            </w:r>
          </w:p>
        </w:tc>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Pre-clinical research.</w:t>
            </w:r>
          </w:p>
        </w:tc>
      </w:tr>
      <w:tr>
        <w:trPr>
          <w:trHeight w:val="202"/>
        </w:trPr>
        <w:tc>
          <w:tcPr>
            <w:tcW w:w="1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5260" w:type="dxa"/>
            <w:vAlign w:val="bottom"/>
            <w:shd w:val="clear" w:color="auto" w:fill="CCEEFF"/>
          </w:tcPr>
          <w:p>
            <w:pPr>
              <w:spacing w:after="0"/>
              <w:rPr>
                <w:sz w:val="17"/>
                <w:szCs w:val="17"/>
                <w:color w:val="auto"/>
              </w:rPr>
            </w:pPr>
          </w:p>
        </w:tc>
      </w:tr>
      <w:tr>
        <w:trPr>
          <w:trHeight w:val="177"/>
        </w:trPr>
        <w:tc>
          <w:tcPr>
            <w:tcW w:w="1940" w:type="dxa"/>
            <w:vAlign w:val="bottom"/>
          </w:tcPr>
          <w:p>
            <w:pPr>
              <w:ind w:left="20"/>
              <w:spacing w:after="0" w:line="177" w:lineRule="exact"/>
              <w:rPr>
                <w:sz w:val="20"/>
                <w:szCs w:val="20"/>
                <w:color w:val="auto"/>
              </w:rPr>
            </w:pPr>
            <w:r>
              <w:rPr>
                <w:rFonts w:ascii="Arial" w:cs="Arial" w:eastAsia="Arial" w:hAnsi="Arial"/>
                <w:sz w:val="16"/>
                <w:szCs w:val="16"/>
                <w:color w:val="auto"/>
              </w:rPr>
              <w:t>VAC1 – Autologous</w:t>
            </w:r>
          </w:p>
        </w:tc>
        <w:tc>
          <w:tcPr>
            <w:tcW w:w="2080" w:type="dxa"/>
            <w:vAlign w:val="bottom"/>
          </w:tcPr>
          <w:p>
            <w:pPr>
              <w:spacing w:after="0" w:line="177" w:lineRule="exact"/>
              <w:rPr>
                <w:sz w:val="20"/>
                <w:szCs w:val="20"/>
                <w:color w:val="auto"/>
              </w:rPr>
            </w:pPr>
            <w:r>
              <w:rPr>
                <w:rFonts w:ascii="Arial" w:cs="Arial" w:eastAsia="Arial" w:hAnsi="Arial"/>
                <w:sz w:val="16"/>
                <w:szCs w:val="16"/>
                <w:color w:val="auto"/>
              </w:rPr>
              <w:t>Cancer</w:t>
            </w:r>
          </w:p>
        </w:tc>
        <w:tc>
          <w:tcPr>
            <w:tcW w:w="2160" w:type="dxa"/>
            <w:vAlign w:val="bottom"/>
          </w:tcPr>
          <w:p>
            <w:pPr>
              <w:ind w:left="220"/>
              <w:spacing w:after="0" w:line="177" w:lineRule="exact"/>
              <w:rPr>
                <w:sz w:val="20"/>
                <w:szCs w:val="20"/>
                <w:color w:val="auto"/>
              </w:rPr>
            </w:pPr>
            <w:r>
              <w:rPr>
                <w:rFonts w:ascii="Arial" w:cs="Arial" w:eastAsia="Arial" w:hAnsi="Arial"/>
                <w:sz w:val="16"/>
                <w:szCs w:val="16"/>
                <w:color w:val="auto"/>
                <w:w w:val="93"/>
              </w:rPr>
              <w:t>Prostate: 240,000 new cases</w:t>
            </w:r>
          </w:p>
        </w:tc>
        <w:tc>
          <w:tcPr>
            <w:tcW w:w="5260" w:type="dxa"/>
            <w:vAlign w:val="bottom"/>
          </w:tcPr>
          <w:p>
            <w:pPr>
              <w:ind w:left="240"/>
              <w:spacing w:after="0" w:line="177" w:lineRule="exact"/>
              <w:rPr>
                <w:sz w:val="20"/>
                <w:szCs w:val="20"/>
                <w:color w:val="auto"/>
              </w:rPr>
            </w:pPr>
            <w:r>
              <w:rPr>
                <w:rFonts w:ascii="Arial" w:cs="Arial" w:eastAsia="Arial" w:hAnsi="Arial"/>
                <w:sz w:val="16"/>
                <w:szCs w:val="16"/>
                <w:color w:val="auto"/>
              </w:rPr>
              <w:t>Phase I study in metastatic prostate cancer completed (</w:t>
            </w:r>
            <w:r>
              <w:rPr>
                <w:rFonts w:ascii="Arial" w:cs="Arial" w:eastAsia="Arial" w:hAnsi="Arial"/>
                <w:sz w:val="16"/>
                <w:szCs w:val="16"/>
                <w:i w:val="1"/>
                <w:iCs w:val="1"/>
                <w:color w:val="auto"/>
              </w:rPr>
              <w:t>Journal of</w:t>
            </w:r>
          </w:p>
        </w:tc>
      </w:tr>
      <w:tr>
        <w:trPr>
          <w:trHeight w:val="189"/>
        </w:trPr>
        <w:tc>
          <w:tcPr>
            <w:tcW w:w="1940" w:type="dxa"/>
            <w:vAlign w:val="bottom"/>
          </w:tcPr>
          <w:p>
            <w:pPr>
              <w:ind w:left="20"/>
              <w:spacing w:after="0"/>
              <w:rPr>
                <w:sz w:val="20"/>
                <w:szCs w:val="20"/>
                <w:color w:val="auto"/>
              </w:rPr>
            </w:pPr>
            <w:r>
              <w:rPr>
                <w:rFonts w:ascii="Arial" w:cs="Arial" w:eastAsia="Arial" w:hAnsi="Arial"/>
                <w:sz w:val="16"/>
                <w:szCs w:val="16"/>
                <w:color w:val="auto"/>
              </w:rPr>
              <w:t>Monocyte – Derived</w:t>
            </w:r>
          </w:p>
        </w:tc>
        <w:tc>
          <w:tcPr>
            <w:tcW w:w="2080" w:type="dxa"/>
            <w:vAlign w:val="bottom"/>
          </w:tcPr>
          <w:p>
            <w:pPr>
              <w:spacing w:after="0"/>
              <w:rPr>
                <w:sz w:val="16"/>
                <w:szCs w:val="16"/>
                <w:color w:val="auto"/>
              </w:rPr>
            </w:pPr>
          </w:p>
        </w:tc>
        <w:tc>
          <w:tcPr>
            <w:tcW w:w="2160" w:type="dxa"/>
            <w:vAlign w:val="bottom"/>
          </w:tcPr>
          <w:p>
            <w:pPr>
              <w:ind w:left="220"/>
              <w:spacing w:after="0"/>
              <w:rPr>
                <w:sz w:val="20"/>
                <w:szCs w:val="20"/>
                <w:color w:val="auto"/>
              </w:rPr>
            </w:pPr>
            <w:r>
              <w:rPr>
                <w:rFonts w:ascii="Arial" w:cs="Arial" w:eastAsia="Arial" w:hAnsi="Arial"/>
                <w:sz w:val="16"/>
                <w:szCs w:val="16"/>
                <w:color w:val="auto"/>
              </w:rPr>
              <w:t>per year in U.S.</w:t>
            </w:r>
          </w:p>
        </w:tc>
        <w:tc>
          <w:tcPr>
            <w:tcW w:w="5260" w:type="dxa"/>
            <w:vAlign w:val="bottom"/>
          </w:tcPr>
          <w:p>
            <w:pPr>
              <w:ind w:left="240"/>
              <w:spacing w:after="0"/>
              <w:rPr>
                <w:sz w:val="20"/>
                <w:szCs w:val="20"/>
                <w:color w:val="auto"/>
              </w:rPr>
            </w:pPr>
            <w:r>
              <w:rPr>
                <w:rFonts w:ascii="Arial" w:cs="Arial" w:eastAsia="Arial" w:hAnsi="Arial"/>
                <w:sz w:val="16"/>
                <w:szCs w:val="16"/>
                <w:i w:val="1"/>
                <w:iCs w:val="1"/>
                <w:color w:val="auto"/>
              </w:rPr>
              <w:t>Immunology</w:t>
            </w:r>
            <w:r>
              <w:rPr>
                <w:rFonts w:ascii="Arial" w:cs="Arial" w:eastAsia="Arial" w:hAnsi="Arial"/>
                <w:sz w:val="16"/>
                <w:szCs w:val="16"/>
                <w:color w:val="auto"/>
              </w:rPr>
              <w:t>, 2005, 174: 3798-3807).</w:t>
            </w:r>
          </w:p>
        </w:tc>
      </w:tr>
      <w:tr>
        <w:trPr>
          <w:trHeight w:val="189"/>
        </w:trPr>
        <w:tc>
          <w:tcPr>
            <w:tcW w:w="1940" w:type="dxa"/>
            <w:vAlign w:val="bottom"/>
          </w:tcPr>
          <w:p>
            <w:pPr>
              <w:ind w:left="20"/>
              <w:spacing w:after="0"/>
              <w:rPr>
                <w:sz w:val="20"/>
                <w:szCs w:val="20"/>
                <w:color w:val="auto"/>
              </w:rPr>
            </w:pPr>
            <w:r>
              <w:rPr>
                <w:rFonts w:ascii="Arial" w:cs="Arial" w:eastAsia="Arial" w:hAnsi="Arial"/>
                <w:sz w:val="16"/>
                <w:szCs w:val="16"/>
                <w:color w:val="auto"/>
                <w:w w:val="94"/>
              </w:rPr>
              <w:t>Dendritic Cells (infused cells</w:t>
            </w:r>
          </w:p>
        </w:tc>
        <w:tc>
          <w:tcPr>
            <w:tcW w:w="20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260" w:type="dxa"/>
            <w:vAlign w:val="bottom"/>
          </w:tcPr>
          <w:p>
            <w:pPr>
              <w:spacing w:after="0"/>
              <w:rPr>
                <w:sz w:val="16"/>
                <w:szCs w:val="16"/>
                <w:color w:val="auto"/>
              </w:rPr>
            </w:pPr>
          </w:p>
        </w:tc>
      </w:tr>
      <w:tr>
        <w:trPr>
          <w:trHeight w:val="189"/>
        </w:trPr>
        <w:tc>
          <w:tcPr>
            <w:tcW w:w="1940" w:type="dxa"/>
            <w:vAlign w:val="bottom"/>
          </w:tcPr>
          <w:p>
            <w:pPr>
              <w:ind w:left="20"/>
              <w:spacing w:after="0"/>
              <w:rPr>
                <w:sz w:val="20"/>
                <w:szCs w:val="20"/>
                <w:color w:val="auto"/>
              </w:rPr>
            </w:pPr>
            <w:r>
              <w:rPr>
                <w:rFonts w:ascii="Arial" w:cs="Arial" w:eastAsia="Arial" w:hAnsi="Arial"/>
                <w:sz w:val="16"/>
                <w:szCs w:val="16"/>
                <w:color w:val="auto"/>
              </w:rPr>
              <w:t>derived from the treated</w:t>
            </w:r>
          </w:p>
        </w:tc>
        <w:tc>
          <w:tcPr>
            <w:tcW w:w="20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260" w:type="dxa"/>
            <w:vAlign w:val="bottom"/>
          </w:tcPr>
          <w:p>
            <w:pPr>
              <w:spacing w:after="0"/>
              <w:rPr>
                <w:sz w:val="16"/>
                <w:szCs w:val="16"/>
                <w:color w:val="auto"/>
              </w:rPr>
            </w:pPr>
          </w:p>
        </w:tc>
      </w:tr>
      <w:tr>
        <w:trPr>
          <w:trHeight w:val="200"/>
        </w:trPr>
        <w:tc>
          <w:tcPr>
            <w:tcW w:w="1940" w:type="dxa"/>
            <w:vAlign w:val="bottom"/>
          </w:tcPr>
          <w:p>
            <w:pPr>
              <w:ind w:left="20"/>
              <w:spacing w:after="0"/>
              <w:rPr>
                <w:sz w:val="20"/>
                <w:szCs w:val="20"/>
                <w:color w:val="auto"/>
              </w:rPr>
            </w:pPr>
            <w:r>
              <w:rPr>
                <w:rFonts w:ascii="Arial" w:cs="Arial" w:eastAsia="Arial" w:hAnsi="Arial"/>
                <w:sz w:val="16"/>
                <w:szCs w:val="16"/>
                <w:color w:val="auto"/>
              </w:rPr>
              <w:t>patient)</w:t>
            </w:r>
          </w:p>
        </w:tc>
        <w:tc>
          <w:tcPr>
            <w:tcW w:w="20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260" w:type="dxa"/>
            <w:vAlign w:val="bottom"/>
          </w:tcPr>
          <w:p>
            <w:pPr>
              <w:spacing w:after="0"/>
              <w:rPr>
                <w:sz w:val="17"/>
                <w:szCs w:val="17"/>
                <w:color w:val="auto"/>
              </w:rPr>
            </w:pPr>
          </w:p>
        </w:tc>
      </w:tr>
    </w:tbl>
    <w:p>
      <w:pPr>
        <w:spacing w:after="0" w:line="178" w:lineRule="exact"/>
        <w:rPr>
          <w:sz w:val="20"/>
          <w:szCs w:val="20"/>
          <w:color w:val="auto"/>
        </w:rPr>
      </w:pPr>
    </w:p>
    <w:p>
      <w:pPr>
        <w:sectPr>
          <w:pgSz w:w="11900" w:h="16838" w:orient="portrait"/>
          <w:cols w:equalWidth="0" w:num="1">
            <w:col w:w="11440"/>
          </w:cols>
          <w:pgMar w:left="240" w:top="124" w:right="219" w:bottom="1440" w:gutter="0" w:footer="0" w:header="0"/>
        </w:sectPr>
      </w:pPr>
    </w:p>
    <w:p>
      <w:pPr>
        <w:ind w:left="4240"/>
        <w:spacing w:after="0"/>
        <w:rPr>
          <w:sz w:val="20"/>
          <w:szCs w:val="20"/>
          <w:color w:val="auto"/>
        </w:rPr>
      </w:pPr>
      <w:r>
        <w:rPr>
          <w:rFonts w:ascii="Arial" w:cs="Arial" w:eastAsia="Arial" w:hAnsi="Arial"/>
          <w:sz w:val="14"/>
          <w:szCs w:val="14"/>
          <w:color w:val="auto"/>
        </w:rPr>
        <w:t>Acute myelogenous leukemia:</w:t>
      </w:r>
    </w:p>
    <w:p>
      <w:pPr>
        <w:spacing w:after="0" w:line="39" w:lineRule="exact"/>
        <w:rPr>
          <w:sz w:val="20"/>
          <w:szCs w:val="20"/>
          <w:color w:val="auto"/>
        </w:rPr>
      </w:pPr>
    </w:p>
    <w:p>
      <w:pPr>
        <w:ind w:left="4240"/>
        <w:spacing w:after="0"/>
        <w:rPr>
          <w:sz w:val="20"/>
          <w:szCs w:val="20"/>
          <w:color w:val="auto"/>
        </w:rPr>
      </w:pPr>
      <w:r>
        <w:rPr>
          <w:rFonts w:ascii="Arial" w:cs="Arial" w:eastAsia="Arial" w:hAnsi="Arial"/>
          <w:sz w:val="14"/>
          <w:szCs w:val="14"/>
          <w:color w:val="auto"/>
        </w:rPr>
        <w:t>more than 12,000 new cases</w:t>
      </w:r>
    </w:p>
    <w:p>
      <w:pPr>
        <w:spacing w:after="0" w:line="28"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per year in U.S.</w:t>
      </w:r>
    </w:p>
    <w:p>
      <w:pPr>
        <w:spacing w:after="0" w:line="20" w:lineRule="exact"/>
        <w:rPr>
          <w:sz w:val="20"/>
          <w:szCs w:val="20"/>
          <w:color w:val="auto"/>
        </w:rPr>
      </w:pPr>
      <w:r>
        <w:rPr>
          <w:sz w:val="20"/>
          <w:szCs w:val="20"/>
          <w:color w:val="auto"/>
        </w:rPr>
        <w:br w:type="column"/>
      </w:r>
    </w:p>
    <w:p>
      <w:pPr>
        <w:ind w:right="360"/>
        <w:spacing w:after="0" w:line="267" w:lineRule="auto"/>
        <w:rPr>
          <w:sz w:val="20"/>
          <w:szCs w:val="20"/>
          <w:color w:val="auto"/>
        </w:rPr>
      </w:pPr>
      <w:r>
        <w:rPr>
          <w:rFonts w:ascii="Arial" w:cs="Arial" w:eastAsia="Arial" w:hAnsi="Arial"/>
          <w:sz w:val="16"/>
          <w:szCs w:val="16"/>
          <w:color w:val="auto"/>
        </w:rPr>
        <w:t>Phase I/II study in acute myelogenous leukemia completed. Manuscript in preparation.</w:t>
      </w:r>
    </w:p>
    <w:p>
      <w:pPr>
        <w:spacing w:after="0" w:line="165" w:lineRule="exact"/>
        <w:rPr>
          <w:sz w:val="20"/>
          <w:szCs w:val="20"/>
          <w:color w:val="auto"/>
        </w:rPr>
      </w:pPr>
    </w:p>
    <w:p>
      <w:pPr>
        <w:sectPr>
          <w:pgSz w:w="11900" w:h="16838" w:orient="portrait"/>
          <w:cols w:equalWidth="0" w:num="2">
            <w:col w:w="6160" w:space="260"/>
            <w:col w:w="5020"/>
          </w:cols>
          <w:pgMar w:left="240" w:top="124" w:right="21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19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VAC2 – Dendritic Cells</w:t>
            </w:r>
          </w:p>
        </w:tc>
        <w:tc>
          <w:tcPr>
            <w:tcW w:w="20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Lung Cancer</w:t>
            </w:r>
          </w:p>
        </w:tc>
        <w:tc>
          <w:tcPr>
            <w:tcW w:w="216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w w:val="88"/>
              </w:rPr>
              <w:t>226,000 new cases per year in</w:t>
            </w:r>
          </w:p>
        </w:tc>
        <w:tc>
          <w:tcPr>
            <w:tcW w:w="5260" w:type="dxa"/>
            <w:vAlign w:val="bottom"/>
            <w:shd w:val="clear" w:color="auto" w:fill="CCEEFF"/>
          </w:tcPr>
          <w:p>
            <w:pPr>
              <w:ind w:left="240"/>
              <w:spacing w:after="0" w:line="175" w:lineRule="exact"/>
              <w:rPr>
                <w:sz w:val="20"/>
                <w:szCs w:val="20"/>
                <w:color w:val="auto"/>
              </w:rPr>
            </w:pPr>
            <w:r>
              <w:rPr>
                <w:rFonts w:ascii="Arial" w:cs="Arial" w:eastAsia="Arial" w:hAnsi="Arial"/>
                <w:sz w:val="16"/>
                <w:szCs w:val="16"/>
                <w:color w:val="auto"/>
                <w:w w:val="93"/>
              </w:rPr>
              <w:t>Cells derived and characterization studies performed (parameters analyzed</w:t>
            </w:r>
          </w:p>
        </w:tc>
      </w:tr>
      <w:tr>
        <w:trPr>
          <w:trHeight w:val="210"/>
        </w:trPr>
        <w:tc>
          <w:tcPr>
            <w:tcW w:w="19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5260" w:type="dxa"/>
            <w:vAlign w:val="bottom"/>
            <w:shd w:val="clear" w:color="auto" w:fill="CCEEFF"/>
          </w:tcPr>
          <w:p>
            <w:pPr>
              <w:ind w:left="240"/>
              <w:spacing w:after="0" w:line="210" w:lineRule="exact"/>
              <w:rPr>
                <w:sz w:val="20"/>
                <w:szCs w:val="20"/>
                <w:color w:val="auto"/>
              </w:rPr>
            </w:pPr>
            <w:r>
              <w:rPr>
                <w:rFonts w:ascii="Arial" w:cs="Arial" w:eastAsia="Arial" w:hAnsi="Arial"/>
                <w:sz w:val="15"/>
                <w:szCs w:val="15"/>
                <w:color w:val="auto"/>
              </w:rPr>
              <w:t xml:space="preserve">showed normal cell functions </w:t>
            </w:r>
            <w:r>
              <w:rPr>
                <w:rFonts w:ascii="Arial" w:cs="Arial" w:eastAsia="Arial" w:hAnsi="Arial"/>
                <w:sz w:val="15"/>
                <w:szCs w:val="15"/>
                <w:i w:val="1"/>
                <w:iCs w:val="1"/>
                <w:color w:val="auto"/>
              </w:rPr>
              <w:t>in vitro</w:t>
            </w:r>
            <w:r>
              <w:rPr>
                <w:rFonts w:ascii="Arial" w:cs="Arial" w:eastAsia="Arial" w:hAnsi="Arial"/>
                <w:sz w:val="24"/>
                <w:szCs w:val="24"/>
                <w:color w:val="auto"/>
                <w:vertAlign w:val="superscript"/>
              </w:rPr>
              <w:t>(3)</w:t>
            </w:r>
            <w:r>
              <w:rPr>
                <w:rFonts w:ascii="Arial" w:cs="Arial" w:eastAsia="Arial" w:hAnsi="Arial"/>
                <w:sz w:val="15"/>
                <w:szCs w:val="15"/>
                <w:i w:val="1"/>
                <w:iCs w:val="1"/>
                <w:color w:val="auto"/>
              </w:rPr>
              <w:t>)</w:t>
            </w:r>
            <w:r>
              <w:rPr>
                <w:rFonts w:ascii="Arial" w:cs="Arial" w:eastAsia="Arial" w:hAnsi="Arial"/>
                <w:sz w:val="15"/>
                <w:szCs w:val="15"/>
                <w:color w:val="auto"/>
              </w:rPr>
              <w:t>.</w:t>
            </w:r>
          </w:p>
        </w:tc>
      </w:tr>
      <w:tr>
        <w:trPr>
          <w:trHeight w:val="366"/>
        </w:trPr>
        <w:tc>
          <w:tcPr>
            <w:tcW w:w="19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Multiple Myeloma</w:t>
            </w:r>
          </w:p>
        </w:tc>
        <w:tc>
          <w:tcPr>
            <w:tcW w:w="21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1"/>
              </w:rPr>
              <w:t>22,000 new cases per year in</w:t>
            </w:r>
          </w:p>
        </w:tc>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Scalable manufacturing methods under development</w:t>
            </w:r>
          </w:p>
        </w:tc>
      </w:tr>
      <w:tr>
        <w:trPr>
          <w:trHeight w:val="200"/>
        </w:trPr>
        <w:tc>
          <w:tcPr>
            <w:tcW w:w="1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5260" w:type="dxa"/>
            <w:vAlign w:val="bottom"/>
            <w:shd w:val="clear" w:color="auto" w:fill="CCEEFF"/>
          </w:tcPr>
          <w:p>
            <w:pPr>
              <w:spacing w:after="0"/>
              <w:rPr>
                <w:sz w:val="17"/>
                <w:szCs w:val="17"/>
                <w:color w:val="auto"/>
              </w:rPr>
            </w:pPr>
          </w:p>
        </w:tc>
      </w:tr>
      <w:tr>
        <w:trPr>
          <w:trHeight w:val="367"/>
        </w:trPr>
        <w:tc>
          <w:tcPr>
            <w:tcW w:w="19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Prostate Cancer</w:t>
            </w:r>
          </w:p>
        </w:tc>
        <w:tc>
          <w:tcPr>
            <w:tcW w:w="21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8"/>
              </w:rPr>
              <w:t>240,000 new cases per year in</w:t>
            </w:r>
          </w:p>
        </w:tc>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Proof of concept established in multiple human </w:t>
            </w:r>
            <w:r>
              <w:rPr>
                <w:rFonts w:ascii="Arial" w:cs="Arial" w:eastAsia="Arial" w:hAnsi="Arial"/>
                <w:sz w:val="16"/>
                <w:szCs w:val="16"/>
                <w:i w:val="1"/>
                <w:iCs w:val="1"/>
                <w:color w:val="auto"/>
              </w:rPr>
              <w:t>in vitro</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systems.</w:t>
            </w:r>
          </w:p>
        </w:tc>
      </w:tr>
      <w:tr>
        <w:trPr>
          <w:trHeight w:val="205"/>
        </w:trPr>
        <w:tc>
          <w:tcPr>
            <w:tcW w:w="19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shd w:val="clear" w:color="auto" w:fill="CCEEFF"/>
          </w:tcPr>
          <w:p>
            <w:pPr>
              <w:spacing w:after="0"/>
              <w:rPr>
                <w:sz w:val="17"/>
                <w:szCs w:val="17"/>
                <w:color w:val="auto"/>
              </w:rPr>
            </w:pPr>
          </w:p>
        </w:tc>
        <w:tc>
          <w:tcPr>
            <w:tcW w:w="21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5260" w:type="dxa"/>
            <w:vAlign w:val="bottom"/>
            <w:tcBorders>
              <w:bottom w:val="single" w:sz="8" w:color="auto"/>
            </w:tcBorders>
            <w:shd w:val="clear" w:color="auto" w:fill="CCEEFF"/>
          </w:tcPr>
          <w:p>
            <w:pPr>
              <w:spacing w:after="0"/>
              <w:rPr>
                <w:sz w:val="17"/>
                <w:szCs w:val="17"/>
                <w:color w:val="auto"/>
              </w:rPr>
            </w:pPr>
          </w:p>
        </w:tc>
      </w:tr>
      <w:tr>
        <w:trPr>
          <w:trHeight w:val="310"/>
        </w:trPr>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60" w:type="dxa"/>
            <w:vAlign w:val="bottom"/>
          </w:tcPr>
          <w:p>
            <w:pPr>
              <w:ind w:left="1660"/>
              <w:spacing w:after="0"/>
              <w:rPr>
                <w:sz w:val="20"/>
                <w:szCs w:val="20"/>
                <w:color w:val="auto"/>
              </w:rPr>
            </w:pPr>
            <w:r>
              <w:rPr>
                <w:rFonts w:ascii="Arial" w:cs="Arial" w:eastAsia="Arial" w:hAnsi="Arial"/>
                <w:sz w:val="13"/>
                <w:szCs w:val="13"/>
                <w:color w:val="auto"/>
              </w:rPr>
              <w:t>6</w:t>
            </w:r>
          </w:p>
        </w:tc>
        <w:tc>
          <w:tcPr>
            <w:tcW w:w="5260" w:type="dxa"/>
            <w:vAlign w:val="bottom"/>
          </w:tcPr>
          <w:p>
            <w:pPr>
              <w:spacing w:after="0"/>
              <w:rPr>
                <w:sz w:val="24"/>
                <w:szCs w:val="24"/>
                <w:color w:val="auto"/>
              </w:rPr>
            </w:pPr>
          </w:p>
        </w:tc>
      </w:tr>
      <w:tr>
        <w:trPr>
          <w:trHeight w:val="37"/>
        </w:trPr>
        <w:tc>
          <w:tcPr>
            <w:tcW w:w="19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526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4" w:right="219" w:bottom="1440" w:gutter="0" w:footer="0" w:header="0"/>
          <w:type w:val="continuous"/>
        </w:sectPr>
      </w:pPr>
    </w:p>
    <w:bookmarkStart w:id="6" w:name="page7"/>
    <w:bookmarkEnd w:id="6"/>
    <w:p>
      <w:pPr>
        <w:ind w:left="5"/>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7263765" cy="30467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3046730"/>
                    </a:xfrm>
                    <a:prstGeom prst="rect">
                      <a:avLst/>
                    </a:prstGeom>
                    <a:noFill/>
                  </pic:spPr>
                </pic:pic>
              </a:graphicData>
            </a:graphic>
          </wp:anchor>
        </w:drawing>
      </w:r>
    </w:p>
    <w:p>
      <w:pPr>
        <w:spacing w:after="0" w:line="350"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Product Candidate</w:t>
            </w:r>
          </w:p>
        </w:tc>
        <w:tc>
          <w:tcPr>
            <w:tcW w:w="2060" w:type="dxa"/>
            <w:vAlign w:val="bottom"/>
          </w:tcPr>
          <w:p>
            <w:pPr>
              <w:spacing w:after="0"/>
              <w:rPr>
                <w:sz w:val="16"/>
                <w:szCs w:val="16"/>
                <w:color w:val="auto"/>
              </w:rPr>
            </w:pPr>
          </w:p>
        </w:tc>
        <w:tc>
          <w:tcPr>
            <w:tcW w:w="2270" w:type="dxa"/>
            <w:vAlign w:val="bottom"/>
          </w:tcPr>
          <w:p>
            <w:pPr>
              <w:ind w:left="540"/>
              <w:spacing w:after="0"/>
              <w:rPr>
                <w:sz w:val="20"/>
                <w:szCs w:val="20"/>
                <w:color w:val="auto"/>
              </w:rPr>
            </w:pPr>
            <w:r>
              <w:rPr>
                <w:rFonts w:ascii="Arial" w:cs="Arial" w:eastAsia="Arial" w:hAnsi="Arial"/>
                <w:sz w:val="16"/>
                <w:szCs w:val="16"/>
                <w:b w:val="1"/>
                <w:bCs w:val="1"/>
                <w:color w:val="auto"/>
              </w:rPr>
              <w:t>Estimated Number</w:t>
            </w:r>
          </w:p>
        </w:tc>
        <w:tc>
          <w:tcPr>
            <w:tcW w:w="5190" w:type="dxa"/>
            <w:vAlign w:val="bottom"/>
          </w:tcPr>
          <w:p>
            <w:pPr>
              <w:spacing w:after="0"/>
              <w:rPr>
                <w:sz w:val="16"/>
                <w:szCs w:val="16"/>
                <w:color w:val="auto"/>
              </w:rPr>
            </w:pPr>
          </w:p>
        </w:tc>
      </w:tr>
      <w:tr>
        <w:trPr>
          <w:trHeight w:val="209"/>
        </w:trPr>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Description</w:t>
            </w:r>
          </w:p>
        </w:tc>
        <w:tc>
          <w:tcPr>
            <w:tcW w:w="206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Target Market</w:t>
            </w:r>
          </w:p>
        </w:tc>
        <w:tc>
          <w:tcPr>
            <w:tcW w:w="227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of Potential Patients</w:t>
            </w:r>
          </w:p>
        </w:tc>
        <w:tc>
          <w:tcPr>
            <w:tcW w:w="5190" w:type="dxa"/>
            <w:vAlign w:val="bottom"/>
            <w:tcBorders>
              <w:bottom w:val="single" w:sz="8" w:color="auto"/>
            </w:tcBorders>
          </w:tcPr>
          <w:p>
            <w:pPr>
              <w:ind w:left="2410"/>
              <w:spacing w:after="0"/>
              <w:rPr>
                <w:sz w:val="20"/>
                <w:szCs w:val="20"/>
                <w:color w:val="auto"/>
              </w:rPr>
            </w:pPr>
            <w:r>
              <w:rPr>
                <w:rFonts w:ascii="Arial" w:cs="Arial" w:eastAsia="Arial" w:hAnsi="Arial"/>
                <w:sz w:val="16"/>
                <w:szCs w:val="16"/>
                <w:b w:val="1"/>
                <w:bCs w:val="1"/>
                <w:color w:val="auto"/>
              </w:rPr>
              <w:t>Status</w:t>
            </w:r>
          </w:p>
        </w:tc>
      </w:tr>
      <w:tr>
        <w:trPr>
          <w:trHeight w:val="177"/>
        </w:trPr>
        <w:tc>
          <w:tcPr>
            <w:tcW w:w="1920" w:type="dxa"/>
            <w:vAlign w:val="bottom"/>
          </w:tcPr>
          <w:p>
            <w:pPr>
              <w:ind w:left="20"/>
              <w:spacing w:after="0" w:line="177" w:lineRule="exact"/>
              <w:rPr>
                <w:sz w:val="20"/>
                <w:szCs w:val="20"/>
                <w:color w:val="auto"/>
              </w:rPr>
            </w:pPr>
            <w:r>
              <w:rPr>
                <w:rFonts w:ascii="Arial" w:cs="Arial" w:eastAsia="Arial" w:hAnsi="Arial"/>
                <w:sz w:val="16"/>
                <w:szCs w:val="16"/>
                <w:color w:val="auto"/>
              </w:rPr>
              <w:t>CHND1 – Chondrocytes</w:t>
            </w:r>
          </w:p>
        </w:tc>
        <w:tc>
          <w:tcPr>
            <w:tcW w:w="2060" w:type="dxa"/>
            <w:vAlign w:val="bottom"/>
          </w:tcPr>
          <w:p>
            <w:pPr>
              <w:spacing w:after="0" w:line="177" w:lineRule="exact"/>
              <w:rPr>
                <w:sz w:val="20"/>
                <w:szCs w:val="20"/>
                <w:color w:val="auto"/>
              </w:rPr>
            </w:pPr>
            <w:r>
              <w:rPr>
                <w:rFonts w:ascii="Arial" w:cs="Arial" w:eastAsia="Arial" w:hAnsi="Arial"/>
                <w:sz w:val="16"/>
                <w:szCs w:val="16"/>
                <w:color w:val="auto"/>
              </w:rPr>
              <w:t>Osteoarthritis</w:t>
            </w:r>
          </w:p>
        </w:tc>
        <w:tc>
          <w:tcPr>
            <w:tcW w:w="2270" w:type="dxa"/>
            <w:vAlign w:val="bottom"/>
          </w:tcPr>
          <w:p>
            <w:pPr>
              <w:ind w:left="220"/>
              <w:spacing w:after="0" w:line="177" w:lineRule="exact"/>
              <w:rPr>
                <w:sz w:val="20"/>
                <w:szCs w:val="20"/>
                <w:color w:val="auto"/>
              </w:rPr>
            </w:pPr>
            <w:r>
              <w:rPr>
                <w:rFonts w:ascii="Arial" w:cs="Arial" w:eastAsia="Arial" w:hAnsi="Arial"/>
                <w:sz w:val="16"/>
                <w:szCs w:val="16"/>
                <w:color w:val="auto"/>
              </w:rPr>
              <w:t>25 million total patients in</w:t>
            </w:r>
          </w:p>
        </w:tc>
        <w:tc>
          <w:tcPr>
            <w:tcW w:w="5190" w:type="dxa"/>
            <w:vAlign w:val="bottom"/>
          </w:tcPr>
          <w:p>
            <w:pPr>
              <w:ind w:left="110"/>
              <w:spacing w:after="0" w:line="177" w:lineRule="exact"/>
              <w:rPr>
                <w:sz w:val="20"/>
                <w:szCs w:val="20"/>
                <w:color w:val="auto"/>
              </w:rPr>
            </w:pPr>
            <w:r>
              <w:rPr>
                <w:rFonts w:ascii="Arial" w:cs="Arial" w:eastAsia="Arial" w:hAnsi="Arial"/>
                <w:sz w:val="16"/>
                <w:szCs w:val="16"/>
                <w:color w:val="auto"/>
              </w:rPr>
              <w:t>Cells derived and partly characterized.</w:t>
            </w:r>
          </w:p>
        </w:tc>
      </w:tr>
      <w:tr>
        <w:trPr>
          <w:trHeight w:val="200"/>
        </w:trPr>
        <w:tc>
          <w:tcPr>
            <w:tcW w:w="19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70" w:type="dxa"/>
            <w:vAlign w:val="bottom"/>
          </w:tcPr>
          <w:p>
            <w:pPr>
              <w:ind w:left="220"/>
              <w:spacing w:after="0"/>
              <w:rPr>
                <w:sz w:val="20"/>
                <w:szCs w:val="20"/>
                <w:color w:val="auto"/>
              </w:rPr>
            </w:pPr>
            <w:r>
              <w:rPr>
                <w:rFonts w:ascii="Arial" w:cs="Arial" w:eastAsia="Arial" w:hAnsi="Arial"/>
                <w:sz w:val="16"/>
                <w:szCs w:val="16"/>
                <w:color w:val="auto"/>
              </w:rPr>
              <w:t>U.S.</w:t>
            </w:r>
          </w:p>
        </w:tc>
        <w:tc>
          <w:tcPr>
            <w:tcW w:w="5190" w:type="dxa"/>
            <w:vAlign w:val="bottom"/>
          </w:tcPr>
          <w:p>
            <w:pPr>
              <w:spacing w:after="0"/>
              <w:rPr>
                <w:sz w:val="17"/>
                <w:szCs w:val="17"/>
                <w:color w:val="auto"/>
              </w:rPr>
            </w:pPr>
          </w:p>
        </w:tc>
      </w:tr>
      <w:tr>
        <w:trPr>
          <w:trHeight w:val="367"/>
        </w:trPr>
        <w:tc>
          <w:tcPr>
            <w:tcW w:w="1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70" w:type="dxa"/>
            <w:vAlign w:val="bottom"/>
          </w:tcPr>
          <w:p>
            <w:pPr>
              <w:spacing w:after="0"/>
              <w:rPr>
                <w:sz w:val="24"/>
                <w:szCs w:val="24"/>
                <w:color w:val="auto"/>
              </w:rPr>
            </w:pPr>
          </w:p>
        </w:tc>
        <w:tc>
          <w:tcPr>
            <w:tcW w:w="5190" w:type="dxa"/>
            <w:vAlign w:val="bottom"/>
          </w:tcPr>
          <w:p>
            <w:pPr>
              <w:ind w:left="110"/>
              <w:spacing w:after="0"/>
              <w:rPr>
                <w:sz w:val="20"/>
                <w:szCs w:val="20"/>
                <w:color w:val="auto"/>
              </w:rPr>
            </w:pPr>
            <w:r>
              <w:rPr>
                <w:rFonts w:ascii="Arial" w:cs="Arial" w:eastAsia="Arial" w:hAnsi="Arial"/>
                <w:sz w:val="16"/>
                <w:szCs w:val="16"/>
                <w:color w:val="auto"/>
              </w:rPr>
              <w:t>Early non-clinical studies have been performed in animal models of</w:t>
            </w:r>
          </w:p>
        </w:tc>
      </w:tr>
      <w:tr>
        <w:trPr>
          <w:trHeight w:val="200"/>
        </w:trPr>
        <w:tc>
          <w:tcPr>
            <w:tcW w:w="19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70" w:type="dxa"/>
            <w:vAlign w:val="bottom"/>
          </w:tcPr>
          <w:p>
            <w:pPr>
              <w:spacing w:after="0"/>
              <w:rPr>
                <w:sz w:val="17"/>
                <w:szCs w:val="17"/>
                <w:color w:val="auto"/>
              </w:rPr>
            </w:pPr>
          </w:p>
        </w:tc>
        <w:tc>
          <w:tcPr>
            <w:tcW w:w="5190" w:type="dxa"/>
            <w:vAlign w:val="bottom"/>
          </w:tcPr>
          <w:p>
            <w:pPr>
              <w:ind w:left="110"/>
              <w:spacing w:after="0"/>
              <w:rPr>
                <w:sz w:val="20"/>
                <w:szCs w:val="20"/>
                <w:color w:val="auto"/>
              </w:rPr>
            </w:pPr>
            <w:r>
              <w:rPr>
                <w:rFonts w:ascii="Arial" w:cs="Arial" w:eastAsia="Arial" w:hAnsi="Arial"/>
                <w:sz w:val="16"/>
                <w:szCs w:val="16"/>
                <w:color w:val="auto"/>
              </w:rPr>
              <w:t>osteoarthritis.</w:t>
            </w:r>
          </w:p>
        </w:tc>
      </w:tr>
      <w:tr>
        <w:trPr>
          <w:trHeight w:val="367"/>
        </w:trPr>
        <w:tc>
          <w:tcPr>
            <w:tcW w:w="192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Degenerative Disk Disease</w:t>
            </w:r>
          </w:p>
        </w:tc>
        <w:tc>
          <w:tcPr>
            <w:tcW w:w="2270" w:type="dxa"/>
            <w:vAlign w:val="bottom"/>
          </w:tcPr>
          <w:p>
            <w:pPr>
              <w:ind w:left="220"/>
              <w:spacing w:after="0"/>
              <w:rPr>
                <w:sz w:val="20"/>
                <w:szCs w:val="20"/>
                <w:color w:val="auto"/>
              </w:rPr>
            </w:pPr>
            <w:r>
              <w:rPr>
                <w:rFonts w:ascii="Arial" w:cs="Arial" w:eastAsia="Arial" w:hAnsi="Arial"/>
                <w:sz w:val="16"/>
                <w:szCs w:val="16"/>
                <w:color w:val="auto"/>
              </w:rPr>
              <w:t>400,000 new spinal fusion</w:t>
            </w:r>
          </w:p>
        </w:tc>
        <w:tc>
          <w:tcPr>
            <w:tcW w:w="5190" w:type="dxa"/>
            <w:vAlign w:val="bottom"/>
          </w:tcPr>
          <w:p>
            <w:pPr>
              <w:ind w:left="110"/>
              <w:spacing w:after="0"/>
              <w:rPr>
                <w:sz w:val="20"/>
                <w:szCs w:val="20"/>
                <w:color w:val="auto"/>
              </w:rPr>
            </w:pPr>
            <w:r>
              <w:rPr>
                <w:rFonts w:ascii="Arial" w:cs="Arial" w:eastAsia="Arial" w:hAnsi="Arial"/>
                <w:sz w:val="16"/>
                <w:szCs w:val="16"/>
                <w:color w:val="auto"/>
              </w:rPr>
              <w:t>Pre-clinical research.</w:t>
            </w:r>
          </w:p>
        </w:tc>
      </w:tr>
      <w:tr>
        <w:trPr>
          <w:trHeight w:val="201"/>
        </w:trPr>
        <w:tc>
          <w:tcPr>
            <w:tcW w:w="19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70" w:type="dxa"/>
            <w:vAlign w:val="bottom"/>
          </w:tcPr>
          <w:p>
            <w:pPr>
              <w:ind w:left="220"/>
              <w:spacing w:after="0"/>
              <w:rPr>
                <w:sz w:val="20"/>
                <w:szCs w:val="20"/>
                <w:color w:val="auto"/>
              </w:rPr>
            </w:pPr>
            <w:r>
              <w:rPr>
                <w:rFonts w:ascii="Arial" w:cs="Arial" w:eastAsia="Arial" w:hAnsi="Arial"/>
                <w:sz w:val="16"/>
                <w:szCs w:val="16"/>
                <w:color w:val="auto"/>
              </w:rPr>
              <w:t>cases per year in U.S.</w:t>
            </w:r>
          </w:p>
        </w:tc>
        <w:tc>
          <w:tcPr>
            <w:tcW w:w="5190" w:type="dxa"/>
            <w:vAlign w:val="bottom"/>
          </w:tcPr>
          <w:p>
            <w:pPr>
              <w:spacing w:after="0"/>
              <w:rPr>
                <w:sz w:val="17"/>
                <w:szCs w:val="17"/>
                <w:color w:val="auto"/>
              </w:rPr>
            </w:pPr>
          </w:p>
        </w:tc>
      </w:tr>
      <w:tr>
        <w:trPr>
          <w:trHeight w:val="169"/>
        </w:trPr>
        <w:tc>
          <w:tcPr>
            <w:tcW w:w="19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CM1 – Cardiomyocytes</w:t>
            </w:r>
          </w:p>
        </w:tc>
        <w:tc>
          <w:tcPr>
            <w:tcW w:w="20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Heart Failure</w:t>
            </w:r>
          </w:p>
        </w:tc>
        <w:tc>
          <w:tcPr>
            <w:tcW w:w="227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8"/>
              </w:rPr>
              <w:t>6 million total patients in U.S.</w:t>
            </w:r>
          </w:p>
        </w:tc>
        <w:tc>
          <w:tcPr>
            <w:tcW w:w="5190" w:type="dxa"/>
            <w:vAlign w:val="bottom"/>
            <w:shd w:val="clear" w:color="auto" w:fill="CCEEFF"/>
          </w:tcPr>
          <w:p>
            <w:pPr>
              <w:ind w:left="110"/>
              <w:spacing w:after="0" w:line="169" w:lineRule="exact"/>
              <w:rPr>
                <w:sz w:val="20"/>
                <w:szCs w:val="20"/>
                <w:color w:val="auto"/>
              </w:rPr>
            </w:pPr>
            <w:r>
              <w:rPr>
                <w:rFonts w:ascii="Arial" w:cs="Arial" w:eastAsia="Arial" w:hAnsi="Arial"/>
                <w:sz w:val="16"/>
                <w:szCs w:val="16"/>
                <w:color w:val="auto"/>
                <w:w w:val="94"/>
              </w:rPr>
              <w:t>Cells derived and characterization studies performed (parameters analyzed</w:t>
            </w:r>
          </w:p>
        </w:tc>
      </w:tr>
      <w:tr>
        <w:trPr>
          <w:trHeight w:val="210"/>
        </w:trPr>
        <w:tc>
          <w:tcPr>
            <w:tcW w:w="19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270" w:type="dxa"/>
            <w:vAlign w:val="bottom"/>
            <w:shd w:val="clear" w:color="auto" w:fill="CCEEFF"/>
          </w:tcPr>
          <w:p>
            <w:pPr>
              <w:spacing w:after="0"/>
              <w:rPr>
                <w:sz w:val="18"/>
                <w:szCs w:val="18"/>
                <w:color w:val="auto"/>
              </w:rPr>
            </w:pPr>
          </w:p>
        </w:tc>
        <w:tc>
          <w:tcPr>
            <w:tcW w:w="5190" w:type="dxa"/>
            <w:vAlign w:val="bottom"/>
            <w:shd w:val="clear" w:color="auto" w:fill="CCEEFF"/>
          </w:tcPr>
          <w:p>
            <w:pPr>
              <w:ind w:left="110"/>
              <w:spacing w:after="0" w:line="210" w:lineRule="exact"/>
              <w:rPr>
                <w:sz w:val="20"/>
                <w:szCs w:val="20"/>
                <w:color w:val="auto"/>
              </w:rPr>
            </w:pPr>
            <w:r>
              <w:rPr>
                <w:rFonts w:ascii="Arial" w:cs="Arial" w:eastAsia="Arial" w:hAnsi="Arial"/>
                <w:sz w:val="15"/>
                <w:szCs w:val="15"/>
                <w:color w:val="auto"/>
              </w:rPr>
              <w:t xml:space="preserve">showed normal cell functions </w:t>
            </w:r>
            <w:r>
              <w:rPr>
                <w:rFonts w:ascii="Arial" w:cs="Arial" w:eastAsia="Arial" w:hAnsi="Arial"/>
                <w:sz w:val="15"/>
                <w:szCs w:val="15"/>
                <w:i w:val="1"/>
                <w:iCs w:val="1"/>
                <w:color w:val="auto"/>
              </w:rPr>
              <w:t>in vitro</w:t>
            </w:r>
            <w:r>
              <w:rPr>
                <w:rFonts w:ascii="Arial" w:cs="Arial" w:eastAsia="Arial" w:hAnsi="Arial"/>
                <w:sz w:val="24"/>
                <w:szCs w:val="24"/>
                <w:color w:val="auto"/>
                <w:vertAlign w:val="superscript"/>
              </w:rPr>
              <w:t>(3)</w:t>
            </w:r>
            <w:r>
              <w:rPr>
                <w:rFonts w:ascii="Arial" w:cs="Arial" w:eastAsia="Arial" w:hAnsi="Arial"/>
                <w:sz w:val="15"/>
                <w:szCs w:val="15"/>
                <w:color w:val="auto"/>
              </w:rPr>
              <w:t>).</w:t>
            </w:r>
          </w:p>
        </w:tc>
      </w:tr>
      <w:tr>
        <w:trPr>
          <w:trHeight w:val="366"/>
        </w:trPr>
        <w:tc>
          <w:tcPr>
            <w:tcW w:w="19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Myocardial Infarction</w:t>
            </w:r>
          </w:p>
        </w:tc>
        <w:tc>
          <w:tcPr>
            <w:tcW w:w="227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900,000 new cases per year in</w:t>
            </w:r>
          </w:p>
        </w:tc>
        <w:tc>
          <w:tcPr>
            <w:tcW w:w="5190" w:type="dxa"/>
            <w:vAlign w:val="bottom"/>
            <w:shd w:val="clear" w:color="auto" w:fill="CCEEFF"/>
          </w:tcPr>
          <w:p>
            <w:pPr>
              <w:ind w:left="110"/>
              <w:spacing w:after="0"/>
              <w:rPr>
                <w:sz w:val="20"/>
                <w:szCs w:val="20"/>
                <w:color w:val="auto"/>
              </w:rPr>
            </w:pPr>
            <w:r>
              <w:rPr>
                <w:rFonts w:ascii="Arial" w:cs="Arial" w:eastAsia="Arial" w:hAnsi="Arial"/>
                <w:sz w:val="16"/>
                <w:szCs w:val="16"/>
                <w:color w:val="auto"/>
              </w:rPr>
              <w:t>Proof of concept in three animal models of disease.</w:t>
            </w:r>
          </w:p>
        </w:tc>
      </w:tr>
      <w:tr>
        <w:trPr>
          <w:trHeight w:val="200"/>
        </w:trPr>
        <w:tc>
          <w:tcPr>
            <w:tcW w:w="19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27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5190" w:type="dxa"/>
            <w:vAlign w:val="bottom"/>
            <w:shd w:val="clear" w:color="auto" w:fill="CCEEFF"/>
          </w:tcPr>
          <w:p>
            <w:pPr>
              <w:spacing w:after="0"/>
              <w:rPr>
                <w:sz w:val="17"/>
                <w:szCs w:val="17"/>
                <w:color w:val="auto"/>
              </w:rPr>
            </w:pPr>
          </w:p>
        </w:tc>
      </w:tr>
      <w:tr>
        <w:trPr>
          <w:trHeight w:val="378"/>
        </w:trPr>
        <w:tc>
          <w:tcPr>
            <w:tcW w:w="19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2270" w:type="dxa"/>
            <w:vAlign w:val="bottom"/>
            <w:shd w:val="clear" w:color="auto" w:fill="CCEEFF"/>
          </w:tcPr>
          <w:p>
            <w:pPr>
              <w:spacing w:after="0"/>
              <w:rPr>
                <w:sz w:val="24"/>
                <w:szCs w:val="24"/>
                <w:color w:val="auto"/>
              </w:rPr>
            </w:pPr>
          </w:p>
        </w:tc>
        <w:tc>
          <w:tcPr>
            <w:tcW w:w="5190" w:type="dxa"/>
            <w:vAlign w:val="bottom"/>
            <w:shd w:val="clear" w:color="auto" w:fill="CCEEFF"/>
          </w:tcPr>
          <w:p>
            <w:pPr>
              <w:ind w:left="110"/>
              <w:spacing w:after="0"/>
              <w:rPr>
                <w:sz w:val="20"/>
                <w:szCs w:val="20"/>
                <w:color w:val="auto"/>
              </w:rPr>
            </w:pPr>
            <w:r>
              <w:rPr>
                <w:rFonts w:ascii="Arial" w:cs="Arial" w:eastAsia="Arial" w:hAnsi="Arial"/>
                <w:sz w:val="16"/>
                <w:szCs w:val="16"/>
                <w:color w:val="auto"/>
              </w:rPr>
              <w:t>Scalable manufacturing established.</w:t>
            </w:r>
          </w:p>
        </w:tc>
      </w:tr>
      <w:tr>
        <w:trPr>
          <w:trHeight w:val="379"/>
        </w:trPr>
        <w:tc>
          <w:tcPr>
            <w:tcW w:w="19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2270" w:type="dxa"/>
            <w:vAlign w:val="bottom"/>
            <w:shd w:val="clear" w:color="auto" w:fill="CCEEFF"/>
          </w:tcPr>
          <w:p>
            <w:pPr>
              <w:spacing w:after="0"/>
              <w:rPr>
                <w:sz w:val="24"/>
                <w:szCs w:val="24"/>
                <w:color w:val="auto"/>
              </w:rPr>
            </w:pPr>
          </w:p>
        </w:tc>
        <w:tc>
          <w:tcPr>
            <w:tcW w:w="5190" w:type="dxa"/>
            <w:vAlign w:val="bottom"/>
            <w:shd w:val="clear" w:color="auto" w:fill="CCEEFF"/>
          </w:tcPr>
          <w:p>
            <w:pPr>
              <w:ind w:left="110"/>
              <w:spacing w:after="0"/>
              <w:rPr>
                <w:sz w:val="20"/>
                <w:szCs w:val="20"/>
                <w:color w:val="auto"/>
              </w:rPr>
            </w:pPr>
            <w:r>
              <w:rPr>
                <w:rFonts w:ascii="Arial" w:cs="Arial" w:eastAsia="Arial" w:hAnsi="Arial"/>
                <w:sz w:val="16"/>
                <w:szCs w:val="16"/>
                <w:color w:val="auto"/>
              </w:rPr>
              <w:t>First in man clinical trial designed.</w:t>
            </w:r>
          </w:p>
        </w:tc>
      </w:tr>
      <w:tr>
        <w:trPr>
          <w:trHeight w:val="168"/>
        </w:trPr>
        <w:tc>
          <w:tcPr>
            <w:tcW w:w="1920" w:type="dxa"/>
            <w:vAlign w:val="bottom"/>
          </w:tcPr>
          <w:p>
            <w:pPr>
              <w:ind w:left="20"/>
              <w:spacing w:after="0" w:line="168" w:lineRule="exact"/>
              <w:rPr>
                <w:sz w:val="20"/>
                <w:szCs w:val="20"/>
                <w:color w:val="auto"/>
              </w:rPr>
            </w:pPr>
            <w:r>
              <w:rPr>
                <w:rFonts w:ascii="Arial" w:cs="Arial" w:eastAsia="Arial" w:hAnsi="Arial"/>
                <w:sz w:val="16"/>
                <w:szCs w:val="16"/>
                <w:color w:val="auto"/>
              </w:rPr>
              <w:t>IC1 – Islet Cells</w:t>
            </w:r>
          </w:p>
        </w:tc>
        <w:tc>
          <w:tcPr>
            <w:tcW w:w="2060" w:type="dxa"/>
            <w:vAlign w:val="bottom"/>
          </w:tcPr>
          <w:p>
            <w:pPr>
              <w:spacing w:after="0" w:line="168" w:lineRule="exact"/>
              <w:rPr>
                <w:sz w:val="20"/>
                <w:szCs w:val="20"/>
                <w:color w:val="auto"/>
              </w:rPr>
            </w:pPr>
            <w:r>
              <w:rPr>
                <w:rFonts w:ascii="Arial" w:cs="Arial" w:eastAsia="Arial" w:hAnsi="Arial"/>
                <w:sz w:val="16"/>
                <w:szCs w:val="16"/>
                <w:color w:val="auto"/>
              </w:rPr>
              <w:t>Type 1 and some Type 2</w:t>
            </w:r>
          </w:p>
        </w:tc>
        <w:tc>
          <w:tcPr>
            <w:tcW w:w="2270" w:type="dxa"/>
            <w:vAlign w:val="bottom"/>
          </w:tcPr>
          <w:p>
            <w:pPr>
              <w:ind w:left="220"/>
              <w:spacing w:after="0" w:line="168" w:lineRule="exact"/>
              <w:rPr>
                <w:sz w:val="20"/>
                <w:szCs w:val="20"/>
                <w:color w:val="auto"/>
              </w:rPr>
            </w:pPr>
            <w:r>
              <w:rPr>
                <w:rFonts w:ascii="Arial" w:cs="Arial" w:eastAsia="Arial" w:hAnsi="Arial"/>
                <w:sz w:val="16"/>
                <w:szCs w:val="16"/>
                <w:color w:val="auto"/>
              </w:rPr>
              <w:t>5 million total insulin</w:t>
            </w:r>
          </w:p>
        </w:tc>
        <w:tc>
          <w:tcPr>
            <w:tcW w:w="5190" w:type="dxa"/>
            <w:vAlign w:val="bottom"/>
          </w:tcPr>
          <w:p>
            <w:pPr>
              <w:ind w:left="110"/>
              <w:spacing w:after="0" w:line="168" w:lineRule="exact"/>
              <w:rPr>
                <w:sz w:val="20"/>
                <w:szCs w:val="20"/>
                <w:color w:val="auto"/>
              </w:rPr>
            </w:pPr>
            <w:r>
              <w:rPr>
                <w:rFonts w:ascii="Arial" w:cs="Arial" w:eastAsia="Arial" w:hAnsi="Arial"/>
                <w:sz w:val="16"/>
                <w:szCs w:val="16"/>
                <w:color w:val="auto"/>
                <w:w w:val="98"/>
              </w:rPr>
              <w:t>Cells derived and partly characterized (most, not all normal cell functions</w:t>
            </w:r>
          </w:p>
        </w:tc>
      </w:tr>
      <w:tr>
        <w:trPr>
          <w:trHeight w:val="340"/>
        </w:trPr>
        <w:tc>
          <w:tcPr>
            <w:tcW w:w="192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Diabetes</w:t>
            </w:r>
          </w:p>
        </w:tc>
        <w:tc>
          <w:tcPr>
            <w:tcW w:w="2270" w:type="dxa"/>
            <w:vAlign w:val="bottom"/>
          </w:tcPr>
          <w:p>
            <w:pPr>
              <w:ind w:left="220"/>
              <w:spacing w:after="0"/>
              <w:rPr>
                <w:sz w:val="20"/>
                <w:szCs w:val="20"/>
                <w:color w:val="auto"/>
              </w:rPr>
            </w:pPr>
            <w:r>
              <w:rPr>
                <w:rFonts w:ascii="Arial" w:cs="Arial" w:eastAsia="Arial" w:hAnsi="Arial"/>
                <w:sz w:val="16"/>
                <w:szCs w:val="16"/>
                <w:color w:val="auto"/>
              </w:rPr>
              <w:t>dependent patients in U.S.</w:t>
            </w:r>
          </w:p>
        </w:tc>
        <w:tc>
          <w:tcPr>
            <w:tcW w:w="5190" w:type="dxa"/>
            <w:vAlign w:val="bottom"/>
          </w:tcPr>
          <w:p>
            <w:pPr>
              <w:ind w:left="110"/>
              <w:spacing w:after="0"/>
              <w:rPr>
                <w:sz w:val="20"/>
                <w:szCs w:val="20"/>
                <w:color w:val="auto"/>
              </w:rPr>
            </w:pPr>
            <w:r>
              <w:rPr>
                <w:rFonts w:ascii="Arial" w:cs="Arial" w:eastAsia="Arial" w:hAnsi="Arial"/>
                <w:sz w:val="16"/>
                <w:szCs w:val="16"/>
                <w:color w:val="auto"/>
              </w:rPr>
              <w:t xml:space="preserve">verified </w:t>
            </w:r>
            <w:r>
              <w:rPr>
                <w:rFonts w:ascii="Arial" w:cs="Arial" w:eastAsia="Arial" w:hAnsi="Arial"/>
                <w:sz w:val="16"/>
                <w:szCs w:val="16"/>
                <w:i w:val="1"/>
                <w:iCs w:val="1"/>
                <w:color w:val="auto"/>
              </w:rPr>
              <w:t>in vitro</w:t>
            </w:r>
            <w:r>
              <w:rPr>
                <w:rFonts w:ascii="Arial" w:cs="Arial" w:eastAsia="Arial" w:hAnsi="Arial"/>
                <w:sz w:val="26"/>
                <w:szCs w:val="26"/>
                <w:color w:val="auto"/>
                <w:vertAlign w:val="superscript"/>
              </w:rPr>
              <w:t>(3)</w:t>
            </w:r>
            <w:r>
              <w:rPr>
                <w:rFonts w:ascii="Arial" w:cs="Arial" w:eastAsia="Arial" w:hAnsi="Arial"/>
                <w:sz w:val="16"/>
                <w:szCs w:val="16"/>
                <w:color w:val="auto"/>
              </w:rPr>
              <w:t>).</w:t>
            </w:r>
          </w:p>
        </w:tc>
      </w:tr>
    </w:tbl>
    <w:p>
      <w:pPr>
        <w:spacing w:after="0" w:line="46" w:lineRule="exact"/>
        <w:rPr>
          <w:sz w:val="20"/>
          <w:szCs w:val="20"/>
          <w:color w:val="auto"/>
        </w:rPr>
      </w:pPr>
    </w:p>
    <w:p>
      <w:pPr>
        <w:ind w:left="6365"/>
        <w:spacing w:after="0"/>
        <w:rPr>
          <w:sz w:val="20"/>
          <w:szCs w:val="20"/>
          <w:color w:val="auto"/>
        </w:rPr>
      </w:pPr>
      <w:r>
        <w:rPr>
          <w:rFonts w:ascii="Arial" w:cs="Arial" w:eastAsia="Arial" w:hAnsi="Arial"/>
          <w:sz w:val="16"/>
          <w:szCs w:val="16"/>
          <w:color w:val="auto"/>
        </w:rPr>
        <w:t>Proof of concept in rodent diabetes model.</w:t>
      </w:r>
    </w:p>
    <w:p>
      <w:pPr>
        <w:spacing w:after="0" w:line="194" w:lineRule="exact"/>
        <w:rPr>
          <w:sz w:val="20"/>
          <w:szCs w:val="20"/>
          <w:color w:val="auto"/>
        </w:rPr>
      </w:pPr>
    </w:p>
    <w:p>
      <w:pPr>
        <w:ind w:left="6365"/>
        <w:spacing w:after="0"/>
        <w:rPr>
          <w:sz w:val="20"/>
          <w:szCs w:val="20"/>
          <w:color w:val="auto"/>
        </w:rPr>
      </w:pPr>
      <w:r>
        <w:rPr>
          <w:rFonts w:ascii="Arial" w:cs="Arial" w:eastAsia="Arial" w:hAnsi="Arial"/>
          <w:sz w:val="16"/>
          <w:szCs w:val="16"/>
          <w:color w:val="auto"/>
        </w:rPr>
        <w:t>Scalable manufacturing methods under development.</w:t>
      </w:r>
    </w:p>
    <w:p>
      <w:pPr>
        <w:spacing w:after="0" w:line="241" w:lineRule="exact"/>
        <w:rPr>
          <w:sz w:val="20"/>
          <w:szCs w:val="20"/>
          <w:color w:val="auto"/>
        </w:rPr>
      </w:pPr>
    </w:p>
    <w:p>
      <w:pPr>
        <w:ind w:left="285" w:hanging="285"/>
        <w:spacing w:after="0"/>
        <w:tabs>
          <w:tab w:leader="none" w:pos="285"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estimates of the numbers of potential patients shown in the table are based on data for the United States only and do not include potential patients in other countries.</w:t>
      </w:r>
    </w:p>
    <w:p>
      <w:pPr>
        <w:spacing w:after="0" w:line="39" w:lineRule="exact"/>
        <w:rPr>
          <w:rFonts w:ascii="Arial" w:cs="Arial" w:eastAsia="Arial" w:hAnsi="Arial"/>
          <w:sz w:val="14"/>
          <w:szCs w:val="14"/>
          <w:color w:val="auto"/>
        </w:rPr>
      </w:pPr>
    </w:p>
    <w:p>
      <w:pPr>
        <w:ind w:left="285" w:right="260" w:hanging="285"/>
        <w:spacing w:after="0" w:line="246" w:lineRule="auto"/>
        <w:tabs>
          <w:tab w:leader="none" w:pos="285" w:val="left"/>
        </w:tabs>
        <w:numPr>
          <w:ilvl w:val="0"/>
          <w:numId w:val="1"/>
        </w:numPr>
        <w:rPr>
          <w:rFonts w:ascii="Arial" w:cs="Arial" w:eastAsia="Arial" w:hAnsi="Arial"/>
          <w:sz w:val="16"/>
          <w:szCs w:val="16"/>
          <w:color w:val="auto"/>
        </w:rPr>
      </w:pPr>
      <w:r>
        <w:rPr>
          <w:rFonts w:ascii="Arial" w:cs="Arial" w:eastAsia="Arial" w:hAnsi="Arial"/>
          <w:sz w:val="16"/>
          <w:szCs w:val="16"/>
          <w:color w:val="auto"/>
        </w:rPr>
        <w:t>Canavan’s Disease is a congenital neurological degenerative disease in which the growth of the myelin sheath surrounding nerves is inhibited resulting in mental retardation, loss of motor function, abnormal muscle tone, poor head control and enlarged head. Death usually occurs before age 4.</w:t>
      </w:r>
    </w:p>
    <w:p>
      <w:pPr>
        <w:ind w:left="285" w:hanging="285"/>
        <w:spacing w:after="0"/>
        <w:tabs>
          <w:tab w:leader="none" w:pos="285"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 xml:space="preserve">In vitro </w:t>
      </w:r>
      <w:r>
        <w:rPr>
          <w:rFonts w:ascii="Arial" w:cs="Arial" w:eastAsia="Arial" w:hAnsi="Arial"/>
          <w:sz w:val="16"/>
          <w:szCs w:val="16"/>
          <w:color w:val="auto"/>
        </w:rPr>
        <w:t>means in tissue culture dishes.</w:t>
      </w:r>
    </w:p>
    <w:p>
      <w:pPr>
        <w:spacing w:after="0" w:line="207" w:lineRule="exact"/>
        <w:rPr>
          <w:sz w:val="20"/>
          <w:szCs w:val="20"/>
          <w:color w:val="auto"/>
        </w:rPr>
      </w:pPr>
    </w:p>
    <w:p>
      <w:pPr>
        <w:ind w:left="5" w:right="380" w:firstLine="567"/>
        <w:spacing w:after="0" w:line="340" w:lineRule="auto"/>
        <w:rPr>
          <w:sz w:val="20"/>
          <w:szCs w:val="20"/>
          <w:color w:val="auto"/>
        </w:rPr>
      </w:pPr>
      <w:r>
        <w:rPr>
          <w:rFonts w:ascii="Arial" w:cs="Arial" w:eastAsia="Arial" w:hAnsi="Arial"/>
          <w:sz w:val="14"/>
          <w:szCs w:val="14"/>
          <w:color w:val="auto"/>
        </w:rPr>
        <w:t>Asterias may also use the acquired assets, along with technology that it may develop itself or that it may acquire from third parties, to pursue the development of other products. Asterias’ product development efforts may be conducted by Asterias alone or in collaboration with others if suitable co-development arrangements can be made.</w:t>
      </w:r>
    </w:p>
    <w:p>
      <w:pPr>
        <w:spacing w:after="0" w:line="13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Plasma Volume Expander Products</w:t>
      </w:r>
    </w:p>
    <w:p>
      <w:pPr>
        <w:spacing w:after="0" w:line="214" w:lineRule="exact"/>
        <w:rPr>
          <w:sz w:val="20"/>
          <w:szCs w:val="20"/>
          <w:color w:val="auto"/>
        </w:rPr>
      </w:pPr>
    </w:p>
    <w:p>
      <w:pPr>
        <w:ind w:left="5" w:right="100" w:firstLine="567"/>
        <w:spacing w:after="0" w:line="227" w:lineRule="auto"/>
        <w:rPr>
          <w:sz w:val="20"/>
          <w:szCs w:val="20"/>
          <w:color w:val="auto"/>
        </w:rPr>
      </w:pPr>
      <w:r>
        <w:rPr>
          <w:rFonts w:ascii="Arial" w:cs="Arial" w:eastAsia="Arial" w:hAnsi="Arial"/>
          <w:sz w:val="14"/>
          <w:szCs w:val="14"/>
          <w:color w:val="auto"/>
        </w:rPr>
        <w:t xml:space="preserve">We have developed and licensed manufacturing and marketing rights to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 physiologically balanced blood plasma volume expander used for the treatment of hypovolemia in surgery, emergency trauma treatment, and other applications. Hypovolemia is a condition caused by low blood volume, often from blood loss during surgery or from injury.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maintains circulatory system fluid volume and blood pressure and helps sustain vital organs during surgery or when a patient has sustained substantial blood loss due to an injury.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the only blood plasma volume expander that contains lactate, multiple electrolytes, glucose, and a medically approved form of starch called hetastarch.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sterile, so its use avoids the risk of infection. Health insurance reimbursements and HMO coverage now include the cost of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used in surgical procedures.</w:t>
      </w:r>
    </w:p>
    <w:p>
      <w:pPr>
        <w:spacing w:after="0" w:line="194" w:lineRule="exact"/>
        <w:rPr>
          <w:sz w:val="20"/>
          <w:szCs w:val="20"/>
          <w:color w:val="auto"/>
        </w:rPr>
      </w:pPr>
    </w:p>
    <w:p>
      <w:pPr>
        <w:jc w:val="center"/>
        <w:ind w:right="435"/>
        <w:spacing w:after="0"/>
        <w:rPr>
          <w:sz w:val="20"/>
          <w:szCs w:val="20"/>
          <w:color w:val="auto"/>
        </w:rPr>
      </w:pP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is manufactured and distributed in the United States by Hospira, Inc., and in South Korea by CJ Cheil Jedang Corp. (“CJ”), under license from us.</w:t>
      </w:r>
    </w:p>
    <w:p>
      <w:pPr>
        <w:spacing w:after="0" w:line="72"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7" w:name="page8"/>
    <w:bookmarkEnd w:id="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Accomplishments in 2013</w:t>
      </w:r>
    </w:p>
    <w:p>
      <w:pPr>
        <w:spacing w:after="0" w:line="222" w:lineRule="exact"/>
        <w:rPr>
          <w:sz w:val="20"/>
          <w:szCs w:val="20"/>
          <w:color w:val="auto"/>
        </w:rPr>
      </w:pPr>
    </w:p>
    <w:p>
      <w:pPr>
        <w:ind w:left="560" w:right="20" w:hanging="282"/>
        <w:spacing w:after="0" w:line="300" w:lineRule="auto"/>
        <w:tabs>
          <w:tab w:leader="none" w:pos="560" w:val="left"/>
        </w:tabs>
        <w:numPr>
          <w:ilvl w:val="0"/>
          <w:numId w:val="2"/>
        </w:numPr>
        <w:rPr>
          <w:rFonts w:ascii="Arial" w:cs="Arial" w:eastAsia="Arial" w:hAnsi="Arial"/>
          <w:sz w:val="15"/>
          <w:szCs w:val="15"/>
          <w:color w:val="auto"/>
        </w:rPr>
      </w:pPr>
      <w:r>
        <w:rPr>
          <w:rFonts w:ascii="Arial" w:cs="Arial" w:eastAsia="Arial" w:hAnsi="Arial"/>
          <w:sz w:val="14"/>
          <w:szCs w:val="14"/>
          <w:color w:val="auto"/>
        </w:rPr>
        <w:t>Our subsidiary, Asterias completed its acquisition of Geron’s stem cell assets, including patents and other intellectual property, biological materials, reagents and equipment for the development of new therapeutic products for regenerative medicine. The contributed assets include four cell lines, each with animal proof of concept, from which multiple therapeutic product candidates may be selected by Asterias for development in the fields of neurology, oncology, orthopedics, and cardiology.</w:t>
      </w:r>
    </w:p>
    <w:p>
      <w:pPr>
        <w:spacing w:after="0" w:line="153" w:lineRule="exact"/>
        <w:rPr>
          <w:rFonts w:ascii="Arial" w:cs="Arial" w:eastAsia="Arial" w:hAnsi="Arial"/>
          <w:sz w:val="15"/>
          <w:szCs w:val="15"/>
          <w:color w:val="auto"/>
        </w:rPr>
      </w:pPr>
    </w:p>
    <w:p>
      <w:pPr>
        <w:ind w:left="560" w:right="80" w:hanging="282"/>
        <w:spacing w:after="0" w:line="188" w:lineRule="auto"/>
        <w:tabs>
          <w:tab w:leader="none" w:pos="560" w:val="left"/>
        </w:tabs>
        <w:numPr>
          <w:ilvl w:val="0"/>
          <w:numId w:val="2"/>
        </w:numPr>
        <w:rPr>
          <w:rFonts w:ascii="Arial" w:cs="Arial" w:eastAsia="Arial" w:hAnsi="Arial"/>
          <w:sz w:val="17"/>
          <w:szCs w:val="17"/>
          <w:color w:val="auto"/>
        </w:rPr>
      </w:pPr>
      <w:r>
        <w:rPr>
          <w:rFonts w:ascii="Arial" w:cs="Arial" w:eastAsia="Arial" w:hAnsi="Arial"/>
          <w:sz w:val="15"/>
          <w:szCs w:val="15"/>
          <w:color w:val="auto"/>
        </w:rPr>
        <w:t xml:space="preserve">We conducted a clinical safety study of </w:t>
      </w:r>
      <w:r>
        <w:rPr>
          <w:rFonts w:ascii="Arial" w:cs="Arial" w:eastAsia="Arial" w:hAnsi="Arial"/>
          <w:sz w:val="15"/>
          <w:szCs w:val="15"/>
          <w:i w:val="1"/>
          <w:iCs w:val="1"/>
          <w:color w:val="auto"/>
        </w:rPr>
        <w:t>Renevia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at The Stem Center in Palma de Mallorca, Spain, a patient therapy center, laboratory, and research facility located within the hospital Clinica USP Palmaplanas in Palma. Examinations of the subjects after they received </w:t>
      </w:r>
      <w:r>
        <w:rPr>
          <w:rFonts w:ascii="Arial" w:cs="Arial" w:eastAsia="Arial" w:hAnsi="Arial"/>
          <w:sz w:val="15"/>
          <w:szCs w:val="15"/>
          <w:i w:val="1"/>
          <w:iCs w:val="1"/>
          <w:color w:val="auto"/>
        </w:rPr>
        <w:t>Renevia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injections have shown that </w:t>
      </w:r>
      <w:r>
        <w:rPr>
          <w:rFonts w:ascii="Arial" w:cs="Arial" w:eastAsia="Arial" w:hAnsi="Arial"/>
          <w:sz w:val="15"/>
          <w:szCs w:val="15"/>
          <w:i w:val="1"/>
          <w:iCs w:val="1"/>
          <w:color w:val="auto"/>
        </w:rPr>
        <w:t>Renevia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was well tolerated by all subjects with no serious adverse events or subject withdrawals.</w:t>
      </w:r>
    </w:p>
    <w:p>
      <w:pPr>
        <w:spacing w:after="0" w:line="202" w:lineRule="exact"/>
        <w:rPr>
          <w:rFonts w:ascii="Arial" w:cs="Arial" w:eastAsia="Arial" w:hAnsi="Arial"/>
          <w:sz w:val="17"/>
          <w:szCs w:val="17"/>
          <w:color w:val="auto"/>
        </w:rPr>
      </w:pPr>
    </w:p>
    <w:p>
      <w:pPr>
        <w:ind w:left="560" w:right="260" w:hanging="282"/>
        <w:spacing w:after="0" w:line="270" w:lineRule="auto"/>
        <w:tabs>
          <w:tab w:leader="none" w:pos="560" w:val="left"/>
        </w:tabs>
        <w:numPr>
          <w:ilvl w:val="0"/>
          <w:numId w:val="2"/>
        </w:numPr>
        <w:rPr>
          <w:rFonts w:ascii="Arial" w:cs="Arial" w:eastAsia="Arial" w:hAnsi="Arial"/>
          <w:sz w:val="16"/>
          <w:szCs w:val="16"/>
          <w:color w:val="auto"/>
        </w:rPr>
      </w:pPr>
      <w:r>
        <w:rPr>
          <w:rFonts w:ascii="Arial" w:cs="Arial" w:eastAsia="Arial" w:hAnsi="Arial"/>
          <w:sz w:val="15"/>
          <w:szCs w:val="15"/>
          <w:color w:val="auto"/>
        </w:rPr>
        <w:t>Our subsidiary OncoCyte Corporation entered into a Sponsored Research Agreement and a Material Transfer Agreement with The Wistar Institute to collaboratively develop lung cancer diagnostic products. OncoCyte scientists will analyze blood samples obtained from patients in a Wistar clinical study to determine levels of tumor-associated proteins found in the blood samples. The data obtained from the samples received from Wistar's ongoing multi-center study may allow OncoCyte to more rapidly develop a diagnostic test for lung cancer to be marketed in the U.S. and other countries.</w:t>
      </w:r>
    </w:p>
    <w:p>
      <w:pPr>
        <w:spacing w:after="0" w:line="179" w:lineRule="exact"/>
        <w:rPr>
          <w:rFonts w:ascii="Arial" w:cs="Arial" w:eastAsia="Arial" w:hAnsi="Arial"/>
          <w:sz w:val="16"/>
          <w:szCs w:val="16"/>
          <w:color w:val="auto"/>
        </w:rPr>
      </w:pPr>
    </w:p>
    <w:p>
      <w:pPr>
        <w:ind w:left="560" w:right="40" w:hanging="282"/>
        <w:spacing w:after="0" w:line="249" w:lineRule="auto"/>
        <w:tabs>
          <w:tab w:leader="none" w:pos="560" w:val="left"/>
        </w:tabs>
        <w:numPr>
          <w:ilvl w:val="0"/>
          <w:numId w:val="2"/>
        </w:numPr>
        <w:rPr>
          <w:rFonts w:ascii="Arial" w:cs="Arial" w:eastAsia="Arial" w:hAnsi="Arial"/>
          <w:sz w:val="17"/>
          <w:szCs w:val="17"/>
          <w:color w:val="auto"/>
        </w:rPr>
      </w:pPr>
      <w:r>
        <w:rPr>
          <w:rFonts w:ascii="Arial" w:cs="Arial" w:eastAsia="Arial" w:hAnsi="Arial"/>
          <w:sz w:val="16"/>
          <w:szCs w:val="16"/>
          <w:color w:val="auto"/>
        </w:rPr>
        <w:t>Our subsidiary, Asterias entered into a Non-Exclusive License Agreement with the Wisconsin Alumni Research Foundation (“WARF”) under which Asterias was granted a worldwide non-exclusive license to use certain WARF patents and WARF-owned embryonic stem cell lines in the development and commercialization of therapeutic, diagnostic and research products.</w:t>
      </w:r>
    </w:p>
    <w:p>
      <w:pPr>
        <w:spacing w:after="0" w:line="187" w:lineRule="exact"/>
        <w:rPr>
          <w:rFonts w:ascii="Arial" w:cs="Arial" w:eastAsia="Arial" w:hAnsi="Arial"/>
          <w:sz w:val="17"/>
          <w:szCs w:val="17"/>
          <w:color w:val="auto"/>
        </w:rPr>
      </w:pPr>
    </w:p>
    <w:p>
      <w:pPr>
        <w:ind w:left="560" w:hanging="282"/>
        <w:spacing w:after="0" w:line="183" w:lineRule="auto"/>
        <w:tabs>
          <w:tab w:leader="none" w:pos="560" w:val="left"/>
        </w:tabs>
        <w:numPr>
          <w:ilvl w:val="0"/>
          <w:numId w:val="2"/>
        </w:numPr>
        <w:rPr>
          <w:rFonts w:ascii="Arial" w:cs="Arial" w:eastAsia="Arial" w:hAnsi="Arial"/>
          <w:sz w:val="17"/>
          <w:szCs w:val="17"/>
          <w:color w:val="auto"/>
        </w:rPr>
      </w:pPr>
      <w:r>
        <w:rPr>
          <w:rFonts w:ascii="Arial" w:cs="Arial" w:eastAsia="Arial" w:hAnsi="Arial"/>
          <w:sz w:val="16"/>
          <w:szCs w:val="16"/>
          <w:color w:val="auto"/>
        </w:rPr>
        <w:t xml:space="preserve">We commenced the development of two new products based on our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technology platform. The new products are unique formulations utilizing some of the same cGMP components used in </w:t>
      </w:r>
      <w:r>
        <w:rPr>
          <w:rFonts w:ascii="Arial" w:cs="Arial" w:eastAsia="Arial" w:hAnsi="Arial"/>
          <w:sz w:val="16"/>
          <w:szCs w:val="16"/>
          <w:i w:val="1"/>
          <w:iCs w:val="1"/>
          <w:color w:val="auto"/>
        </w:rPr>
        <w:t>Renevia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The first of these new products is </w:t>
      </w:r>
      <w:r>
        <w:rPr>
          <w:rFonts w:ascii="Arial" w:cs="Arial" w:eastAsia="Arial" w:hAnsi="Arial"/>
          <w:sz w:val="16"/>
          <w:szCs w:val="16"/>
          <w:i w:val="1"/>
          <w:iCs w:val="1"/>
          <w:color w:val="auto"/>
        </w:rPr>
        <w:t>ReGlyde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 cross-linked thiol-modified hyaluronan hydrogel for the management and protection of tendon injuries following surgical repair of the digital flexor or extensor tendons of the hand. The second new product, </w:t>
      </w:r>
      <w:r>
        <w:rPr>
          <w:rFonts w:ascii="Arial" w:cs="Arial" w:eastAsia="Arial" w:hAnsi="Arial"/>
          <w:sz w:val="16"/>
          <w:szCs w:val="16"/>
          <w:i w:val="1"/>
          <w:iCs w:val="1"/>
          <w:color w:val="auto"/>
        </w:rPr>
        <w:t>Premvia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a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hydrogel formulation of cross-linked thiol-modified hyaluronan and thiol-modified gelatin for the management of wounds by providing a hydrating tissue matrix that permits cell, tissue, and vasculature in-growth.</w:t>
      </w:r>
    </w:p>
    <w:p>
      <w:pPr>
        <w:spacing w:after="0" w:line="201" w:lineRule="exact"/>
        <w:rPr>
          <w:rFonts w:ascii="Arial" w:cs="Arial" w:eastAsia="Arial" w:hAnsi="Arial"/>
          <w:sz w:val="17"/>
          <w:szCs w:val="17"/>
          <w:color w:val="auto"/>
        </w:rPr>
      </w:pPr>
    </w:p>
    <w:p>
      <w:pPr>
        <w:ind w:left="560" w:right="140" w:hanging="282"/>
        <w:spacing w:after="0" w:line="270" w:lineRule="auto"/>
        <w:tabs>
          <w:tab w:leader="none" w:pos="560" w:val="left"/>
        </w:tabs>
        <w:numPr>
          <w:ilvl w:val="0"/>
          <w:numId w:val="2"/>
        </w:numPr>
        <w:rPr>
          <w:rFonts w:ascii="Arial" w:cs="Arial" w:eastAsia="Arial" w:hAnsi="Arial"/>
          <w:sz w:val="16"/>
          <w:szCs w:val="16"/>
          <w:color w:val="auto"/>
        </w:rPr>
      </w:pPr>
      <w:r>
        <w:rPr>
          <w:rFonts w:ascii="Arial" w:cs="Arial" w:eastAsia="Arial" w:hAnsi="Arial"/>
          <w:sz w:val="15"/>
          <w:szCs w:val="15"/>
          <w:color w:val="auto"/>
        </w:rPr>
        <w:t>We consolidated our research products business into a new ESI BIO division and a new ESI BIO branding program. The ESI BIO brand and US-based operating division will now be our primary developer, manufacturer and distributor of our growing portfolio of stem cell based research products. This new division includes our Singapore subsidiary ES Cell International Pte Ltd. , that will serve as an Asian manufacturer and research product distribution point. This consolidation will allow for a more focused approach on the branding, development, manufacture and marketing of our research products portfolio.</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w:t>
      </w:r>
    </w:p>
    <w:p>
      <w:pPr>
        <w:spacing w:after="0" w:line="214" w:lineRule="exact"/>
        <w:rPr>
          <w:sz w:val="20"/>
          <w:szCs w:val="20"/>
          <w:color w:val="auto"/>
        </w:rPr>
      </w:pPr>
    </w:p>
    <w:p>
      <w:pPr>
        <w:ind w:firstLine="567"/>
        <w:spacing w:after="0" w:line="195" w:lineRule="auto"/>
        <w:rPr>
          <w:sz w:val="20"/>
          <w:szCs w:val="20"/>
          <w:color w:val="auto"/>
        </w:rPr>
      </w:pPr>
      <w:r>
        <w:rPr>
          <w:rFonts w:ascii="Arial" w:cs="Arial" w:eastAsia="Arial" w:hAnsi="Arial"/>
          <w:sz w:val="14"/>
          <w:szCs w:val="14"/>
          <w:i w:val="1"/>
          <w:iCs w:val="1"/>
          <w:color w:val="auto"/>
        </w:rPr>
        <w:t>HyStem</w:t>
      </w:r>
      <w:r>
        <w:rPr>
          <w:rFonts w:ascii="Arial" w:cs="Arial" w:eastAsia="Arial" w:hAnsi="Arial"/>
          <w:sz w:val="23"/>
          <w:szCs w:val="23"/>
          <w:color w:val="auto"/>
          <w:vertAlign w:val="superscript"/>
        </w:rPr>
        <w:t>®</w:t>
      </w:r>
      <w:r>
        <w:rPr>
          <w:rFonts w:ascii="Arial" w:cs="Arial" w:eastAsia="Arial" w:hAnsi="Arial"/>
          <w:sz w:val="14"/>
          <w:szCs w:val="14"/>
          <w:color w:val="auto"/>
        </w:rPr>
        <w:t>,</w:t>
      </w:r>
      <w:r>
        <w:rPr>
          <w:rFonts w:ascii="Arial" w:cs="Arial" w:eastAsia="Arial" w:hAnsi="Arial"/>
          <w:sz w:val="14"/>
          <w:szCs w:val="14"/>
          <w:i w:val="1"/>
          <w:iCs w:val="1"/>
          <w:color w:val="auto"/>
        </w:rPr>
        <w:t xml:space="preserve"> Hextend</w:t>
      </w:r>
      <w:r>
        <w:rPr>
          <w:rFonts w:ascii="Arial" w:cs="Arial" w:eastAsia="Arial" w:hAnsi="Arial"/>
          <w:sz w:val="23"/>
          <w:szCs w:val="23"/>
          <w:color w:val="auto"/>
          <w:vertAlign w:val="superscript"/>
        </w:rPr>
        <w:t>®</w:t>
      </w:r>
      <w:r>
        <w:rPr>
          <w:rFonts w:ascii="Arial" w:cs="Arial" w:eastAsia="Arial" w:hAnsi="Arial"/>
          <w:sz w:val="14"/>
          <w:szCs w:val="14"/>
          <w:color w:val="auto"/>
        </w:rPr>
        <w:t>,</w:t>
      </w:r>
      <w:r>
        <w:rPr>
          <w:rFonts w:ascii="Arial" w:cs="Arial" w:eastAsia="Arial" w:hAnsi="Arial"/>
          <w:sz w:val="14"/>
          <w:szCs w:val="14"/>
          <w:i w:val="1"/>
          <w:iCs w:val="1"/>
          <w:color w:val="auto"/>
        </w:rPr>
        <w:t xml:space="preserve"> ESpy</w:t>
      </w:r>
      <w:r>
        <w:rPr>
          <w:rFonts w:ascii="Arial" w:cs="Arial" w:eastAsia="Arial" w:hAnsi="Arial"/>
          <w:sz w:val="23"/>
          <w:szCs w:val="23"/>
          <w:i w:val="1"/>
          <w:iCs w:val="1"/>
          <w:color w:val="auto"/>
          <w:vertAlign w:val="superscript"/>
        </w:rPr>
        <w:t>®</w:t>
      </w:r>
      <w:r>
        <w:rPr>
          <w:rFonts w:ascii="Arial" w:cs="Arial" w:eastAsia="Arial" w:hAnsi="Arial"/>
          <w:sz w:val="14"/>
          <w:szCs w:val="14"/>
          <w:color w:val="auto"/>
        </w:rPr>
        <w:t>,</w:t>
      </w:r>
      <w:r>
        <w:rPr>
          <w:rFonts w:ascii="Arial" w:cs="Arial" w:eastAsia="Arial" w:hAnsi="Arial"/>
          <w:sz w:val="14"/>
          <w:szCs w:val="14"/>
          <w:i w:val="1"/>
          <w:iCs w:val="1"/>
          <w:color w:val="auto"/>
        </w:rPr>
        <w:t xml:space="preserve"> PureStem</w:t>
      </w:r>
      <w:r>
        <w:rPr>
          <w:rFonts w:ascii="Arial" w:cs="Arial" w:eastAsia="Arial" w:hAnsi="Arial"/>
          <w:sz w:val="23"/>
          <w:szCs w:val="23"/>
          <w:color w:val="auto"/>
          <w:vertAlign w:val="superscript"/>
        </w:rPr>
        <w:t>®</w:t>
      </w:r>
      <w:r>
        <w:rPr>
          <w:rFonts w:ascii="Arial" w:cs="Arial" w:eastAsia="Arial" w:hAnsi="Arial"/>
          <w:sz w:val="14"/>
          <w:szCs w:val="14"/>
          <w:color w:val="auto"/>
        </w:rPr>
        <w:t>, and</w:t>
      </w:r>
      <w:r>
        <w:rPr>
          <w:rFonts w:ascii="Arial" w:cs="Arial" w:eastAsia="Arial" w:hAnsi="Arial"/>
          <w:sz w:val="14"/>
          <w:szCs w:val="14"/>
          <w:i w:val="1"/>
          <w:iCs w:val="1"/>
          <w:color w:val="auto"/>
        </w:rPr>
        <w:t xml:space="preserve"> PentaLyte</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are registered trademarks of BioTime, Inc., and</w:t>
      </w:r>
      <w:r>
        <w:rPr>
          <w:rFonts w:ascii="Arial" w:cs="Arial" w:eastAsia="Arial" w:hAnsi="Arial"/>
          <w:sz w:val="14"/>
          <w:szCs w:val="14"/>
          <w:i w:val="1"/>
          <w:iCs w:val="1"/>
          <w:color w:val="auto"/>
        </w:rPr>
        <w:t xml:space="preserve"> Renevia</w:t>
      </w:r>
      <w:r>
        <w:rPr>
          <w:rFonts w:ascii="Arial" w:cs="Arial" w:eastAsia="Arial" w:hAnsi="Arial"/>
          <w:sz w:val="23"/>
          <w:szCs w:val="23"/>
          <w:color w:val="auto"/>
          <w:vertAlign w:val="superscript"/>
        </w:rPr>
        <w:t>™</w:t>
      </w:r>
      <w:r>
        <w:rPr>
          <w:rFonts w:ascii="Arial" w:cs="Arial" w:eastAsia="Arial" w:hAnsi="Arial"/>
          <w:sz w:val="14"/>
          <w:szCs w:val="14"/>
          <w:color w:val="auto"/>
        </w:rPr>
        <w:t>,</w:t>
      </w:r>
      <w:r>
        <w:rPr>
          <w:rFonts w:ascii="Arial" w:cs="Arial" w:eastAsia="Arial" w:hAnsi="Arial"/>
          <w:sz w:val="14"/>
          <w:szCs w:val="14"/>
          <w:i w:val="1"/>
          <w:iCs w:val="1"/>
          <w:color w:val="auto"/>
        </w:rPr>
        <w:t xml:space="preserve"> Premvia</w:t>
      </w:r>
      <w:r>
        <w:rPr>
          <w:rFonts w:ascii="Arial" w:cs="Arial" w:eastAsia="Arial" w:hAnsi="Arial"/>
          <w:sz w:val="23"/>
          <w:szCs w:val="23"/>
          <w:color w:val="auto"/>
          <w:vertAlign w:val="superscript"/>
        </w:rPr>
        <w:t>™</w:t>
      </w:r>
      <w:r>
        <w:rPr>
          <w:rFonts w:ascii="Arial" w:cs="Arial" w:eastAsia="Arial" w:hAnsi="Arial"/>
          <w:sz w:val="14"/>
          <w:szCs w:val="14"/>
          <w:color w:val="auto"/>
        </w:rPr>
        <w:t>,</w:t>
      </w:r>
      <w:r>
        <w:rPr>
          <w:rFonts w:ascii="Arial" w:cs="Arial" w:eastAsia="Arial" w:hAnsi="Arial"/>
          <w:sz w:val="14"/>
          <w:szCs w:val="14"/>
          <w:i w:val="1"/>
          <w:iCs w:val="1"/>
          <w:color w:val="auto"/>
        </w:rPr>
        <w:t xml:space="preserve"> ReGlyde</w:t>
      </w:r>
      <w:r>
        <w:rPr>
          <w:rFonts w:ascii="Arial" w:cs="Arial" w:eastAsia="Arial" w:hAnsi="Arial"/>
          <w:sz w:val="23"/>
          <w:szCs w:val="23"/>
          <w:color w:val="auto"/>
          <w:vertAlign w:val="superscript"/>
        </w:rPr>
        <w:t>™</w:t>
      </w:r>
      <w:r>
        <w:rPr>
          <w:rFonts w:ascii="Arial" w:cs="Arial" w:eastAsia="Arial" w:hAnsi="Arial"/>
          <w:sz w:val="14"/>
          <w:szCs w:val="14"/>
          <w:color w:val="auto"/>
        </w:rPr>
        <w:t>, and</w:t>
      </w:r>
      <w:r>
        <w:rPr>
          <w:rFonts w:ascii="Arial" w:cs="Arial" w:eastAsia="Arial" w:hAnsi="Arial"/>
          <w:sz w:val="14"/>
          <w:szCs w:val="14"/>
          <w:i w:val="1"/>
          <w:iCs w:val="1"/>
          <w:color w:val="auto"/>
        </w:rPr>
        <w:t xml:space="preserve"> ESpan</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are trademarks of</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BioTime, Inc. </w:t>
      </w:r>
      <w:r>
        <w:rPr>
          <w:rFonts w:ascii="Arial" w:cs="Arial" w:eastAsia="Arial" w:hAnsi="Arial"/>
          <w:sz w:val="14"/>
          <w:szCs w:val="14"/>
          <w:i w:val="1"/>
          <w:iCs w:val="1"/>
          <w:color w:val="auto"/>
        </w:rPr>
        <w:t>ACTCellerate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 trademark licensed to us by Advanced Cell Technology, Inc. </w:t>
      </w:r>
      <w:r>
        <w:rPr>
          <w:rFonts w:ascii="Arial" w:cs="Arial" w:eastAsia="Arial" w:hAnsi="Arial"/>
          <w:sz w:val="14"/>
          <w:szCs w:val="14"/>
          <w:i w:val="1"/>
          <w:iCs w:val="1"/>
          <w:color w:val="auto"/>
        </w:rPr>
        <w:t>ReCyte</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 trademark of ReCyte Therapeutics. </w:t>
      </w:r>
      <w:r>
        <w:rPr>
          <w:rFonts w:ascii="Arial" w:cs="Arial" w:eastAsia="Arial" w:hAnsi="Arial"/>
          <w:sz w:val="14"/>
          <w:szCs w:val="14"/>
          <w:i w:val="1"/>
          <w:iCs w:val="1"/>
          <w:color w:val="auto"/>
        </w:rPr>
        <w:t>PanC-Dx</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 trademark of OncoCyte. </w:t>
      </w:r>
      <w:r>
        <w:rPr>
          <w:rFonts w:ascii="Arial" w:cs="Arial" w:eastAsia="Arial" w:hAnsi="Arial"/>
          <w:sz w:val="14"/>
          <w:szCs w:val="14"/>
          <w:i w:val="1"/>
          <w:iCs w:val="1"/>
          <w:color w:val="auto"/>
        </w:rPr>
        <w:t>LifeMap Discovery</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 registered trademark of LifeMap Sciences. </w:t>
      </w:r>
      <w:r>
        <w:rPr>
          <w:rFonts w:ascii="Arial" w:cs="Arial" w:eastAsia="Arial" w:hAnsi="Arial"/>
          <w:sz w:val="14"/>
          <w:szCs w:val="14"/>
          <w:i w:val="1"/>
          <w:iCs w:val="1"/>
          <w:color w:val="auto"/>
        </w:rPr>
        <w:t>OpRegen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 registered trademark of Cell Cure Neurosciences. </w:t>
      </w:r>
      <w:r>
        <w:rPr>
          <w:rFonts w:ascii="Arial" w:cs="Arial" w:eastAsia="Arial" w:hAnsi="Arial"/>
          <w:sz w:val="14"/>
          <w:szCs w:val="14"/>
          <w:i w:val="1"/>
          <w:iCs w:val="1"/>
          <w:color w:val="auto"/>
        </w:rPr>
        <w:t>GeneCards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is a registered trademark of Yeda Research and Development Co. Ltd.</w:t>
      </w:r>
    </w:p>
    <w:p>
      <w:pPr>
        <w:spacing w:after="0" w:line="202" w:lineRule="exact"/>
        <w:rPr>
          <w:sz w:val="20"/>
          <w:szCs w:val="20"/>
          <w:color w:val="auto"/>
        </w:rPr>
      </w:pPr>
    </w:p>
    <w:p>
      <w:pPr>
        <w:ind w:right="560" w:firstLine="567"/>
        <w:spacing w:after="0" w:line="267" w:lineRule="auto"/>
        <w:rPr>
          <w:sz w:val="20"/>
          <w:szCs w:val="20"/>
          <w:color w:val="auto"/>
        </w:rPr>
      </w:pPr>
      <w:r>
        <w:rPr>
          <w:rFonts w:ascii="Arial" w:cs="Arial" w:eastAsia="Arial" w:hAnsi="Arial"/>
          <w:sz w:val="16"/>
          <w:szCs w:val="16"/>
          <w:color w:val="auto"/>
        </w:rPr>
        <w:t>We were incorporated in 1990 in the state of California. Our principal executive offices are located at 1301 Harbor Bay Parkway, Alameda, California 94502. Our telephone number is (510) 521-3390.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 w:name="page9"/>
    <w:bookmarkEnd w:id="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Strategy</w:t>
      </w:r>
    </w:p>
    <w:p>
      <w:pPr>
        <w:spacing w:after="0" w:line="222" w:lineRule="exact"/>
        <w:rPr>
          <w:sz w:val="20"/>
          <w:szCs w:val="20"/>
          <w:color w:val="auto"/>
        </w:rPr>
      </w:pPr>
    </w:p>
    <w:p>
      <w:pPr>
        <w:ind w:right="180" w:firstLine="567"/>
        <w:spacing w:after="0" w:line="276" w:lineRule="auto"/>
        <w:rPr>
          <w:sz w:val="20"/>
          <w:szCs w:val="20"/>
          <w:color w:val="auto"/>
        </w:rPr>
      </w:pPr>
      <w:r>
        <w:rPr>
          <w:rFonts w:ascii="Arial" w:cs="Arial" w:eastAsia="Arial" w:hAnsi="Arial"/>
          <w:sz w:val="15"/>
          <w:szCs w:val="15"/>
          <w:color w:val="auto"/>
        </w:rPr>
        <w:t>One of our goals is to develop cell-based regenerative therapies for age-related degenerative disease. The degenerative diseases of aging meet several criteria that make them an attractive business opportunity. First, the elderly comprise a large and growing segment of the U.S. and world population. Second, chronic degenerative diseases account for nearly 75% of health care costs. Third, because many age-related diseases appear to be caused by the inherent limited capacity of aged human cells to regenerate damaged tissues in the body, our cell replacement technologies may eliminate the high costs associated with care for these diseases.</w:t>
      </w:r>
    </w:p>
    <w:p>
      <w:pPr>
        <w:spacing w:after="0" w:line="176" w:lineRule="exact"/>
        <w:rPr>
          <w:sz w:val="20"/>
          <w:szCs w:val="20"/>
          <w:color w:val="auto"/>
        </w:rPr>
      </w:pPr>
    </w:p>
    <w:p>
      <w:pPr>
        <w:ind w:right="20" w:firstLine="567"/>
        <w:spacing w:after="0" w:line="251" w:lineRule="auto"/>
        <w:rPr>
          <w:sz w:val="20"/>
          <w:szCs w:val="20"/>
          <w:color w:val="auto"/>
        </w:rPr>
      </w:pPr>
      <w:r>
        <w:rPr>
          <w:rFonts w:ascii="Arial" w:cs="Arial" w:eastAsia="Arial" w:hAnsi="Arial"/>
          <w:sz w:val="16"/>
          <w:szCs w:val="16"/>
          <w:color w:val="auto"/>
        </w:rPr>
        <w:t>Our effort in regenerative medicine also includes research on more than 200 purified, scalable, and novel human embryonic progenitor cell types produced from hES and iPS cells. This research has included extensive gene expression studies of the unique properties of the cells, as well as conditions that cause the cells to differentiate into many of the cell types in the body. We have filed patent applications on the compositions of these cells, the media in which they can be expanded, and a variety of uses of the cells, including drug discovery and cell replacement therapies. This novel manufacturing technology may provide us with a competitive advantage in producing highly purified, identified, and scalable cell types for potential use in therapy.</w:t>
      </w:r>
    </w:p>
    <w:p>
      <w:pPr>
        <w:spacing w:after="0" w:line="196" w:lineRule="exact"/>
        <w:rPr>
          <w:sz w:val="20"/>
          <w:szCs w:val="20"/>
          <w:color w:val="auto"/>
        </w:rPr>
      </w:pPr>
    </w:p>
    <w:p>
      <w:pPr>
        <w:jc w:val="both"/>
        <w:ind w:right="120" w:firstLine="567"/>
        <w:spacing w:after="0" w:line="253" w:lineRule="auto"/>
        <w:rPr>
          <w:sz w:val="20"/>
          <w:szCs w:val="20"/>
          <w:color w:val="auto"/>
        </w:rPr>
      </w:pPr>
      <w:r>
        <w:rPr>
          <w:rFonts w:ascii="Arial" w:cs="Arial" w:eastAsia="Arial" w:hAnsi="Arial"/>
          <w:sz w:val="16"/>
          <w:szCs w:val="16"/>
          <w:color w:val="auto"/>
        </w:rPr>
        <w:t>We have organized several subsidiaries to undertake our cell replacement therapeutic programs, diagnostic product programs, and our research product programs. We will partly or wholly fund these subsidiaries, recruit their management teams, assist them in acquiring technology, and provide general guidance for building the subsidiary companies. We may license patents and technology to the subsidiaries that we do not wholly own under agreements that will entitle us to receive royalty payments from the commercialization of products or technology developed by the subsidiaries.</w:t>
      </w:r>
    </w:p>
    <w:p>
      <w:pPr>
        <w:spacing w:after="0" w:line="193" w:lineRule="exact"/>
        <w:rPr>
          <w:sz w:val="20"/>
          <w:szCs w:val="20"/>
          <w:color w:val="auto"/>
        </w:rPr>
      </w:pPr>
    </w:p>
    <w:p>
      <w:pPr>
        <w:ind w:right="80" w:firstLine="567"/>
        <w:spacing w:after="0" w:line="276" w:lineRule="auto"/>
        <w:rPr>
          <w:sz w:val="20"/>
          <w:szCs w:val="20"/>
          <w:color w:val="auto"/>
        </w:rPr>
      </w:pPr>
      <w:r>
        <w:rPr>
          <w:rFonts w:ascii="Arial" w:cs="Arial" w:eastAsia="Arial" w:hAnsi="Arial"/>
          <w:sz w:val="15"/>
          <w:szCs w:val="15"/>
          <w:color w:val="auto"/>
        </w:rPr>
        <w:t>During September 2012, we formed Asterias to acquire assets in the stem cell field for use in developing and commercializing products for regenerative medicine. During January 2013, Asterias entered into an Asset Contribution Agreement to acquire assets that Geron had used in its stem cell research and development programs. We believe that the acquisition of Geron’s stem cell assets is a good strategic fit as it enhances and expands the intellectual property estate of the BioTime family of companies and should position us for future growth in the regenerative medicine field. Benefits from Asterias’ acquisition of Geron's stem cell assets include:</w:t>
      </w:r>
    </w:p>
    <w:p>
      <w:pPr>
        <w:spacing w:after="0" w:line="152" w:lineRule="exact"/>
        <w:rPr>
          <w:sz w:val="20"/>
          <w:szCs w:val="20"/>
          <w:color w:val="auto"/>
        </w:rPr>
      </w:pPr>
    </w:p>
    <w:p>
      <w:pPr>
        <w:ind w:left="840" w:hanging="278"/>
        <w:spacing w:after="0"/>
        <w:tabs>
          <w:tab w:leader="none" w:pos="840" w:val="left"/>
        </w:tabs>
        <w:numPr>
          <w:ilvl w:val="0"/>
          <w:numId w:val="3"/>
        </w:numPr>
        <w:rPr>
          <w:rFonts w:ascii="Arial" w:cs="Arial" w:eastAsia="Arial" w:hAnsi="Arial"/>
          <w:sz w:val="16"/>
          <w:szCs w:val="16"/>
          <w:color w:val="auto"/>
        </w:rPr>
      </w:pPr>
      <w:r>
        <w:rPr>
          <w:rFonts w:ascii="Arial" w:cs="Arial" w:eastAsia="Arial" w:hAnsi="Arial"/>
          <w:sz w:val="15"/>
          <w:szCs w:val="15"/>
          <w:color w:val="auto"/>
        </w:rPr>
        <w:t>The acquisition of a significant intellectual property estate consisting of Geron’s human hES patent portfolio of over 400 patents and patent applications.</w:t>
      </w:r>
    </w:p>
    <w:p>
      <w:pPr>
        <w:spacing w:after="0" w:line="229" w:lineRule="exact"/>
        <w:rPr>
          <w:rFonts w:ascii="Arial" w:cs="Arial" w:eastAsia="Arial" w:hAnsi="Arial"/>
          <w:sz w:val="16"/>
          <w:szCs w:val="16"/>
          <w:color w:val="auto"/>
        </w:rPr>
      </w:pPr>
    </w:p>
    <w:p>
      <w:pPr>
        <w:ind w:left="840" w:hanging="278"/>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6"/>
          <w:szCs w:val="16"/>
          <w:color w:val="auto"/>
        </w:rPr>
        <w:t>The assets give Asterias multiple potential opportunities to advance products derived from hES cells;</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6"/>
          <w:szCs w:val="16"/>
          <w:color w:val="auto"/>
        </w:rPr>
        <w:t>The potential to leverage the combined technology expertise of BioTime and Asterias to provide enhanced research and development activities;</w:t>
      </w:r>
    </w:p>
    <w:p>
      <w:pPr>
        <w:spacing w:after="0" w:line="218" w:lineRule="exact"/>
        <w:rPr>
          <w:rFonts w:ascii="Arial" w:cs="Arial" w:eastAsia="Arial" w:hAnsi="Arial"/>
          <w:sz w:val="17"/>
          <w:szCs w:val="17"/>
          <w:color w:val="auto"/>
        </w:rPr>
      </w:pPr>
    </w:p>
    <w:p>
      <w:pPr>
        <w:ind w:left="840" w:right="580" w:hanging="278"/>
        <w:spacing w:after="0" w:line="323" w:lineRule="auto"/>
        <w:tabs>
          <w:tab w:leader="none" w:pos="840" w:val="left"/>
        </w:tabs>
        <w:numPr>
          <w:ilvl w:val="0"/>
          <w:numId w:val="3"/>
        </w:numPr>
        <w:rPr>
          <w:rFonts w:ascii="Arial" w:cs="Arial" w:eastAsia="Arial" w:hAnsi="Arial"/>
          <w:sz w:val="15"/>
          <w:szCs w:val="15"/>
          <w:color w:val="auto"/>
        </w:rPr>
      </w:pPr>
      <w:r>
        <w:rPr>
          <w:rFonts w:ascii="Arial" w:cs="Arial" w:eastAsia="Arial" w:hAnsi="Arial"/>
          <w:sz w:val="14"/>
          <w:szCs w:val="14"/>
          <w:color w:val="auto"/>
        </w:rPr>
        <w:t>The potential expansion of a clinical product pipeline through Asterias’ acquisition of OPC-1 cells previously in a Phase I clinical trial of hES cell-derived oligodendrocytes in patients with acute spinal cord injury, and a Phase II trial treating cancer with a dendritic cell therapeutic vaccine targeting telomerase; and</w:t>
      </w:r>
    </w:p>
    <w:p>
      <w:pPr>
        <w:spacing w:after="0" w:line="142" w:lineRule="exact"/>
        <w:rPr>
          <w:rFonts w:ascii="Arial" w:cs="Arial" w:eastAsia="Arial" w:hAnsi="Arial"/>
          <w:sz w:val="15"/>
          <w:szCs w:val="15"/>
          <w:color w:val="auto"/>
        </w:rPr>
      </w:pPr>
    </w:p>
    <w:p>
      <w:pPr>
        <w:ind w:left="840" w:right="40" w:hanging="278"/>
        <w:spacing w:after="0" w:line="253" w:lineRule="auto"/>
        <w:tabs>
          <w:tab w:leader="none" w:pos="840" w:val="left"/>
        </w:tabs>
        <w:numPr>
          <w:ilvl w:val="0"/>
          <w:numId w:val="3"/>
        </w:numPr>
        <w:rPr>
          <w:rFonts w:ascii="Arial" w:cs="Arial" w:eastAsia="Arial" w:hAnsi="Arial"/>
          <w:sz w:val="17"/>
          <w:szCs w:val="17"/>
          <w:color w:val="auto"/>
        </w:rPr>
      </w:pPr>
      <w:r>
        <w:rPr>
          <w:rFonts w:ascii="Arial" w:cs="Arial" w:eastAsia="Arial" w:hAnsi="Arial"/>
          <w:sz w:val="16"/>
          <w:szCs w:val="16"/>
          <w:color w:val="auto"/>
        </w:rPr>
        <w:t>Synergies associated with our and Geron’s stem cell assets, merging foundational technologies and allowing Asterias to build upon the pluripotent stem cell technology platform.</w:t>
      </w:r>
    </w:p>
    <w:p>
      <w:pPr>
        <w:spacing w:after="0" w:line="191"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By acquiring Geron’s stem cell assets, Asterias now has exclusive use of cell lines and other biological materials, patents, and technology developed by Geron over 12 years of work focused in the following complementary lines of research:</w:t>
      </w:r>
    </w:p>
    <w:p>
      <w:pPr>
        <w:spacing w:after="0" w:line="181" w:lineRule="exact"/>
        <w:rPr>
          <w:sz w:val="20"/>
          <w:szCs w:val="20"/>
          <w:color w:val="auto"/>
        </w:rPr>
      </w:pPr>
    </w:p>
    <w:p>
      <w:pPr>
        <w:ind w:left="840" w:hanging="278"/>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6"/>
          <w:szCs w:val="16"/>
          <w:color w:val="auto"/>
        </w:rPr>
        <w:t>The establishment of cell banks of undifferentiated hES cells produced under cGMP and suitable for human therapeutic use;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9" w:name="page10"/>
    <w:bookmarkEnd w:id="9"/>
    <w:p>
      <w:pPr>
        <w:ind w:left="5"/>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845" w:hanging="278"/>
        <w:spacing w:after="0" w:line="253" w:lineRule="auto"/>
        <w:tabs>
          <w:tab w:leader="none" w:pos="845" w:val="left"/>
        </w:tabs>
        <w:numPr>
          <w:ilvl w:val="0"/>
          <w:numId w:val="5"/>
        </w:numPr>
        <w:rPr>
          <w:rFonts w:ascii="Arial" w:cs="Arial" w:eastAsia="Arial" w:hAnsi="Arial"/>
          <w:sz w:val="17"/>
          <w:szCs w:val="17"/>
          <w:color w:val="auto"/>
        </w:rPr>
      </w:pPr>
      <w:r>
        <w:rPr>
          <w:rFonts w:ascii="Arial" w:cs="Arial" w:eastAsia="Arial" w:hAnsi="Arial"/>
          <w:sz w:val="16"/>
          <w:szCs w:val="16"/>
          <w:color w:val="auto"/>
        </w:rPr>
        <w:t>The development of scalable differentiation methods which convert, at low cost, undifferentiated hES cells into functional cells suitable for human therapeutic cells that can be stored and distributed in the frozen state for “off-the-shelf” use;</w:t>
      </w:r>
    </w:p>
    <w:p>
      <w:pPr>
        <w:spacing w:after="0" w:line="190" w:lineRule="exact"/>
        <w:rPr>
          <w:rFonts w:ascii="Arial" w:cs="Arial" w:eastAsia="Arial" w:hAnsi="Arial"/>
          <w:sz w:val="17"/>
          <w:szCs w:val="17"/>
          <w:color w:val="auto"/>
        </w:rPr>
      </w:pPr>
    </w:p>
    <w:p>
      <w:pPr>
        <w:ind w:left="845" w:right="160" w:hanging="278"/>
        <w:spacing w:after="0" w:line="253" w:lineRule="auto"/>
        <w:tabs>
          <w:tab w:leader="none" w:pos="845" w:val="left"/>
        </w:tabs>
        <w:numPr>
          <w:ilvl w:val="0"/>
          <w:numId w:val="5"/>
        </w:numPr>
        <w:rPr>
          <w:rFonts w:ascii="Arial" w:cs="Arial" w:eastAsia="Arial" w:hAnsi="Arial"/>
          <w:sz w:val="17"/>
          <w:szCs w:val="17"/>
          <w:color w:val="auto"/>
        </w:rPr>
      </w:pPr>
      <w:r>
        <w:rPr>
          <w:rFonts w:ascii="Arial" w:cs="Arial" w:eastAsia="Arial" w:hAnsi="Arial"/>
          <w:sz w:val="16"/>
          <w:szCs w:val="16"/>
          <w:color w:val="auto"/>
        </w:rPr>
        <w:t>The development of regulatory paradigms to satisfy both U.S. and European regulatory authority requirements to begin human clinical testing of products made from hES cells; and</w:t>
      </w:r>
    </w:p>
    <w:p>
      <w:pPr>
        <w:spacing w:after="0" w:line="190" w:lineRule="exact"/>
        <w:rPr>
          <w:rFonts w:ascii="Arial" w:cs="Arial" w:eastAsia="Arial" w:hAnsi="Arial"/>
          <w:sz w:val="17"/>
          <w:szCs w:val="17"/>
          <w:color w:val="auto"/>
        </w:rPr>
      </w:pPr>
    </w:p>
    <w:p>
      <w:pPr>
        <w:ind w:left="845" w:right="300" w:hanging="278"/>
        <w:spacing w:after="0" w:line="253" w:lineRule="auto"/>
        <w:tabs>
          <w:tab w:leader="none" w:pos="845" w:val="left"/>
        </w:tabs>
        <w:numPr>
          <w:ilvl w:val="0"/>
          <w:numId w:val="5"/>
        </w:numPr>
        <w:rPr>
          <w:rFonts w:ascii="Arial" w:cs="Arial" w:eastAsia="Arial" w:hAnsi="Arial"/>
          <w:sz w:val="17"/>
          <w:szCs w:val="17"/>
          <w:color w:val="auto"/>
        </w:rPr>
      </w:pPr>
      <w:r>
        <w:rPr>
          <w:rFonts w:ascii="Arial" w:cs="Arial" w:eastAsia="Arial" w:hAnsi="Arial"/>
          <w:sz w:val="16"/>
          <w:szCs w:val="16"/>
          <w:color w:val="auto"/>
        </w:rPr>
        <w:t>The continuous filing and prosecution of patents covering inventions to protect commercialization rights, as well as consummating in-licenses to enable freedom to operate in a variety of fields.</w:t>
      </w:r>
    </w:p>
    <w:p>
      <w:pPr>
        <w:spacing w:after="0" w:line="191" w:lineRule="exact"/>
        <w:rPr>
          <w:sz w:val="20"/>
          <w:szCs w:val="20"/>
          <w:color w:val="auto"/>
        </w:rPr>
      </w:pPr>
    </w:p>
    <w:p>
      <w:pPr>
        <w:ind w:left="5" w:right="260" w:firstLine="567"/>
        <w:spacing w:after="0" w:line="267" w:lineRule="auto"/>
        <w:rPr>
          <w:sz w:val="20"/>
          <w:szCs w:val="20"/>
          <w:color w:val="auto"/>
        </w:rPr>
      </w:pPr>
      <w:r>
        <w:rPr>
          <w:rFonts w:ascii="Arial" w:cs="Arial" w:eastAsia="Arial" w:hAnsi="Arial"/>
          <w:sz w:val="16"/>
          <w:szCs w:val="16"/>
          <w:color w:val="auto"/>
        </w:rPr>
        <w:t>The following table shows our subsidiaries, their respective principal fields of business, our percentage ownership, directly and through subsidiaries, as at December 31, 2013, and the country where their principal business is located:</w:t>
      </w:r>
    </w:p>
    <w:p>
      <w:pPr>
        <w:spacing w:after="0" w:line="174" w:lineRule="exact"/>
        <w:rPr>
          <w:sz w:val="20"/>
          <w:szCs w:val="20"/>
          <w:color w:val="auto"/>
        </w:rPr>
      </w:pPr>
    </w:p>
    <w:tbl>
      <w:tblPr>
        <w:tblLayout w:type="fixed"/>
        <w:tblInd w:w="15" w:type="dxa"/>
        <w:tblCellMar>
          <w:top w:w="0" w:type="dxa"/>
          <w:left w:w="0" w:type="dxa"/>
          <w:bottom w:w="0" w:type="dxa"/>
          <w:right w:w="0" w:type="dxa"/>
        </w:tblCellMar>
      </w:tblPr>
      <w:tr>
        <w:trPr>
          <w:trHeight w:val="224"/>
        </w:trPr>
        <w:tc>
          <w:tcPr>
            <w:tcW w:w="3460" w:type="dxa"/>
            <w:vAlign w:val="bottom"/>
            <w:tcBorders>
              <w:top w:val="single" w:sz="8" w:color="auto"/>
              <w:left w:val="single" w:sz="8" w:color="auto"/>
              <w:right w:val="single" w:sz="8" w:color="auto"/>
            </w:tcBorders>
            <w:vMerge w:val="restart"/>
          </w:tcPr>
          <w:p>
            <w:pPr>
              <w:ind w:left="1360"/>
              <w:spacing w:after="0"/>
              <w:rPr>
                <w:sz w:val="20"/>
                <w:szCs w:val="20"/>
                <w:color w:val="auto"/>
              </w:rPr>
            </w:pPr>
            <w:r>
              <w:rPr>
                <w:rFonts w:ascii="Arial" w:cs="Arial" w:eastAsia="Arial" w:hAnsi="Arial"/>
                <w:sz w:val="16"/>
                <w:szCs w:val="16"/>
                <w:b w:val="1"/>
                <w:bCs w:val="1"/>
                <w:color w:val="auto"/>
              </w:rPr>
              <w:t>Subsidiary</w:t>
            </w:r>
          </w:p>
        </w:tc>
        <w:tc>
          <w:tcPr>
            <w:tcW w:w="5720" w:type="dxa"/>
            <w:vAlign w:val="bottom"/>
            <w:tcBorders>
              <w:top w:val="single" w:sz="8" w:color="auto"/>
              <w:right w:val="single" w:sz="8" w:color="auto"/>
            </w:tcBorders>
            <w:vMerge w:val="restart"/>
          </w:tcPr>
          <w:p>
            <w:pPr>
              <w:ind w:left="2280"/>
              <w:spacing w:after="0"/>
              <w:rPr>
                <w:sz w:val="20"/>
                <w:szCs w:val="20"/>
                <w:color w:val="auto"/>
              </w:rPr>
            </w:pPr>
            <w:r>
              <w:rPr>
                <w:rFonts w:ascii="Arial" w:cs="Arial" w:eastAsia="Arial" w:hAnsi="Arial"/>
                <w:sz w:val="16"/>
                <w:szCs w:val="16"/>
                <w:b w:val="1"/>
                <w:bCs w:val="1"/>
                <w:color w:val="auto"/>
              </w:rPr>
              <w:t>Field of Business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BioTime</w:t>
            </w:r>
          </w:p>
        </w:tc>
        <w:tc>
          <w:tcPr>
            <w:tcW w:w="1100" w:type="dxa"/>
            <w:vAlign w:val="bottom"/>
            <w:tcBorders>
              <w:top w:val="single" w:sz="8" w:color="auto"/>
              <w:right w:val="single" w:sz="8" w:color="auto"/>
            </w:tcBorders>
            <w:vMerge w:val="restart"/>
          </w:tcPr>
          <w:p>
            <w:pPr>
              <w:jc w:val="center"/>
              <w:ind w:right="141"/>
              <w:spacing w:after="0"/>
              <w:rPr>
                <w:sz w:val="20"/>
                <w:szCs w:val="20"/>
                <w:color w:val="auto"/>
              </w:rPr>
            </w:pPr>
            <w:r>
              <w:rPr>
                <w:rFonts w:ascii="Arial" w:cs="Arial" w:eastAsia="Arial" w:hAnsi="Arial"/>
                <w:sz w:val="16"/>
                <w:szCs w:val="16"/>
                <w:b w:val="1"/>
                <w:bCs w:val="1"/>
                <w:color w:val="auto"/>
                <w:w w:val="91"/>
              </w:rPr>
              <w:t>Country</w:t>
            </w:r>
          </w:p>
        </w:tc>
        <w:tc>
          <w:tcPr>
            <w:tcW w:w="0" w:type="dxa"/>
            <w:vAlign w:val="bottom"/>
          </w:tcPr>
          <w:p>
            <w:pPr>
              <w:spacing w:after="0"/>
              <w:rPr>
                <w:sz w:val="1"/>
                <w:szCs w:val="1"/>
                <w:color w:val="auto"/>
              </w:rPr>
            </w:pPr>
          </w:p>
        </w:tc>
      </w:tr>
      <w:tr>
        <w:trPr>
          <w:trHeight w:val="200"/>
        </w:trPr>
        <w:tc>
          <w:tcPr>
            <w:tcW w:w="3460" w:type="dxa"/>
            <w:vAlign w:val="bottom"/>
            <w:tcBorders>
              <w:left w:val="single" w:sz="8" w:color="auto"/>
              <w:right w:val="single" w:sz="8" w:color="auto"/>
            </w:tcBorders>
            <w:vMerge w:val="continue"/>
          </w:tcPr>
          <w:p>
            <w:pPr>
              <w:spacing w:after="0"/>
              <w:rPr>
                <w:sz w:val="17"/>
                <w:szCs w:val="17"/>
                <w:color w:val="auto"/>
              </w:rPr>
            </w:pPr>
          </w:p>
        </w:tc>
        <w:tc>
          <w:tcPr>
            <w:tcW w:w="5720" w:type="dxa"/>
            <w:vAlign w:val="bottom"/>
            <w:tcBorders>
              <w:right w:val="single" w:sz="8" w:color="auto"/>
            </w:tcBorders>
            <w:vMerge w:val="continue"/>
          </w:tcPr>
          <w:p>
            <w:pPr>
              <w:spacing w:after="0"/>
              <w:rPr>
                <w:sz w:val="17"/>
                <w:szCs w:val="17"/>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Ownership</w:t>
            </w:r>
          </w:p>
        </w:tc>
        <w:tc>
          <w:tcPr>
            <w:tcW w:w="11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4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Asterias Biotherapeutics, Inc.</w:t>
            </w:r>
          </w:p>
        </w:tc>
        <w:tc>
          <w:tcPr>
            <w:tcW w:w="5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0"/>
              </w:rPr>
              <w:t>Research, development and commercialization of human therapeutic products from stem</w:t>
            </w:r>
          </w:p>
        </w:tc>
        <w:tc>
          <w:tcPr>
            <w:tcW w:w="1160" w:type="dxa"/>
            <w:vAlign w:val="bottom"/>
            <w:tcBorders>
              <w:right w:val="single" w:sz="8" w:color="auto"/>
            </w:tcBorders>
            <w:shd w:val="clear" w:color="auto" w:fill="CCEEFF"/>
          </w:tcPr>
          <w:p>
            <w:pPr>
              <w:jc w:val="center"/>
              <w:spacing w:after="0" w:line="200" w:lineRule="exact"/>
              <w:rPr>
                <w:sz w:val="20"/>
                <w:szCs w:val="20"/>
                <w:color w:val="auto"/>
              </w:rPr>
            </w:pPr>
            <w:r>
              <w:rPr>
                <w:rFonts w:ascii="Arial" w:cs="Arial" w:eastAsia="Arial" w:hAnsi="Arial"/>
                <w:sz w:val="14"/>
                <w:szCs w:val="14"/>
                <w:color w:val="auto"/>
                <w:w w:val="95"/>
              </w:rPr>
              <w:t>71.6%</w:t>
            </w:r>
            <w:r>
              <w:rPr>
                <w:rFonts w:ascii="Arial" w:cs="Arial" w:eastAsia="Arial" w:hAnsi="Arial"/>
                <w:sz w:val="23"/>
                <w:szCs w:val="23"/>
                <w:color w:val="auto"/>
                <w:w w:val="95"/>
                <w:vertAlign w:val="superscript"/>
              </w:rPr>
              <w:t>(1)</w:t>
            </w:r>
          </w:p>
        </w:tc>
        <w:tc>
          <w:tcPr>
            <w:tcW w:w="1100" w:type="dxa"/>
            <w:vAlign w:val="bottom"/>
            <w:tcBorders>
              <w:right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97"/>
              </w:rPr>
              <w:t>USA</w:t>
            </w:r>
          </w:p>
        </w:tc>
        <w:tc>
          <w:tcPr>
            <w:tcW w:w="0" w:type="dxa"/>
            <w:vAlign w:val="bottom"/>
          </w:tcPr>
          <w:p>
            <w:pPr>
              <w:spacing w:after="0"/>
              <w:rPr>
                <w:sz w:val="1"/>
                <w:szCs w:val="1"/>
                <w:color w:val="auto"/>
              </w:rPr>
            </w:pPr>
          </w:p>
        </w:tc>
      </w:tr>
      <w:tr>
        <w:trPr>
          <w:trHeight w:val="234"/>
        </w:trPr>
        <w:tc>
          <w:tcPr>
            <w:tcW w:w="346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5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cells potentially in the fields of neurology, oncology, orthopedics, and cardiology</w:t>
            </w:r>
          </w:p>
        </w:tc>
        <w:tc>
          <w:tcPr>
            <w:tcW w:w="1160" w:type="dxa"/>
            <w:vAlign w:val="bottom"/>
            <w:tcBorders>
              <w:bottom w:val="single" w:sz="8" w:color="CCEEFF"/>
              <w:right w:val="single" w:sz="8" w:color="auto"/>
            </w:tcBorders>
            <w:shd w:val="clear" w:color="auto" w:fill="CCEEFF"/>
          </w:tcPr>
          <w:p>
            <w:pPr>
              <w:spacing w:after="0"/>
              <w:rPr>
                <w:sz w:val="19"/>
                <w:szCs w:val="19"/>
                <w:color w:val="auto"/>
              </w:rPr>
            </w:pPr>
          </w:p>
        </w:tc>
        <w:tc>
          <w:tcPr>
            <w:tcW w:w="110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ES Cell International Pte Ltd</w:t>
            </w:r>
          </w:p>
        </w:tc>
        <w:tc>
          <w:tcPr>
            <w:tcW w:w="5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Stem cell products for research, including clinical grade cell lines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100%</w:t>
            </w:r>
          </w:p>
        </w:tc>
        <w:tc>
          <w:tcPr>
            <w:tcW w:w="110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200"/>
        </w:trPr>
        <w:tc>
          <w:tcPr>
            <w:tcW w:w="3460" w:type="dxa"/>
            <w:vAlign w:val="bottom"/>
            <w:tcBorders>
              <w:left w:val="single" w:sz="8" w:color="auto"/>
              <w:right w:val="single" w:sz="8" w:color="auto"/>
            </w:tcBorders>
          </w:tcPr>
          <w:p>
            <w:pPr>
              <w:spacing w:after="0"/>
              <w:rPr>
                <w:sz w:val="17"/>
                <w:szCs w:val="17"/>
                <w:color w:val="auto"/>
              </w:rPr>
            </w:pPr>
          </w:p>
        </w:tc>
        <w:tc>
          <w:tcPr>
            <w:tcW w:w="5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produced under cGMP</w:t>
            </w:r>
          </w:p>
        </w:tc>
        <w:tc>
          <w:tcPr>
            <w:tcW w:w="11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4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OncoCyte Corporation</w:t>
            </w:r>
          </w:p>
        </w:tc>
        <w:tc>
          <w:tcPr>
            <w:tcW w:w="5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Diagnosis and treatment of cancer</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75.3%</w:t>
            </w:r>
          </w:p>
        </w:tc>
        <w:tc>
          <w:tcPr>
            <w:tcW w:w="1100" w:type="dxa"/>
            <w:vAlign w:val="bottom"/>
            <w:tcBorders>
              <w:bottom w:val="single" w:sz="8" w:color="CCEEFF"/>
              <w:right w:val="single" w:sz="8" w:color="auto"/>
            </w:tcBorders>
            <w:shd w:val="clear" w:color="auto" w:fill="CCEEFF"/>
          </w:tcPr>
          <w:p>
            <w:pPr>
              <w:jc w:val="center"/>
              <w:ind w:right="101"/>
              <w:spacing w:after="0"/>
              <w:rPr>
                <w:sz w:val="20"/>
                <w:szCs w:val="20"/>
                <w:color w:val="auto"/>
              </w:rPr>
            </w:pPr>
            <w:r>
              <w:rPr>
                <w:rFonts w:ascii="Arial" w:cs="Arial" w:eastAsia="Arial" w:hAnsi="Arial"/>
                <w:sz w:val="16"/>
                <w:szCs w:val="16"/>
                <w:color w:val="auto"/>
                <w:w w:val="97"/>
              </w:rPr>
              <w:t>USA</w:t>
            </w:r>
          </w:p>
        </w:tc>
        <w:tc>
          <w:tcPr>
            <w:tcW w:w="0" w:type="dxa"/>
            <w:vAlign w:val="bottom"/>
          </w:tcPr>
          <w:p>
            <w:pPr>
              <w:spacing w:after="0"/>
              <w:rPr>
                <w:sz w:val="1"/>
                <w:szCs w:val="1"/>
                <w:color w:val="auto"/>
              </w:rPr>
            </w:pPr>
          </w:p>
        </w:tc>
      </w:tr>
      <w:tr>
        <w:trPr>
          <w:trHeight w:val="211"/>
        </w:trPr>
        <w:tc>
          <w:tcPr>
            <w:tcW w:w="3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OrthoCyte Corporation</w:t>
            </w:r>
          </w:p>
        </w:tc>
        <w:tc>
          <w:tcPr>
            <w:tcW w:w="5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Orthopedic diseases, including chronic back pain and osteoarthritis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100%</w:t>
            </w:r>
          </w:p>
        </w:tc>
        <w:tc>
          <w:tcPr>
            <w:tcW w:w="110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7"/>
              </w:rPr>
              <w:t>USA</w:t>
            </w:r>
          </w:p>
        </w:tc>
        <w:tc>
          <w:tcPr>
            <w:tcW w:w="0" w:type="dxa"/>
            <w:vAlign w:val="bottom"/>
          </w:tcPr>
          <w:p>
            <w:pPr>
              <w:spacing w:after="0"/>
              <w:rPr>
                <w:sz w:val="1"/>
                <w:szCs w:val="1"/>
                <w:color w:val="auto"/>
              </w:rPr>
            </w:pPr>
          </w:p>
        </w:tc>
      </w:tr>
      <w:tr>
        <w:trPr>
          <w:trHeight w:val="29"/>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46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Cell Cure Neurosciences Ltd.</w:t>
            </w:r>
          </w:p>
        </w:tc>
        <w:tc>
          <w:tcPr>
            <w:tcW w:w="5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Age-related macular degeneration</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62.5%</w:t>
            </w:r>
          </w:p>
        </w:tc>
        <w:tc>
          <w:tcPr>
            <w:tcW w:w="1100" w:type="dxa"/>
            <w:vAlign w:val="bottom"/>
            <w:tcBorders>
              <w:right w:val="single" w:sz="8" w:color="auto"/>
            </w:tcBorders>
            <w:shd w:val="clear" w:color="auto" w:fill="CCEEFF"/>
          </w:tcPr>
          <w:p>
            <w:pPr>
              <w:jc w:val="center"/>
              <w:ind w:right="121"/>
              <w:spacing w:after="0"/>
              <w:rPr>
                <w:sz w:val="20"/>
                <w:szCs w:val="20"/>
                <w:color w:val="auto"/>
              </w:rPr>
            </w:pPr>
            <w:r>
              <w:rPr>
                <w:rFonts w:ascii="Arial" w:cs="Arial" w:eastAsia="Arial" w:hAnsi="Arial"/>
                <w:sz w:val="16"/>
                <w:szCs w:val="16"/>
                <w:color w:val="auto"/>
                <w:w w:val="86"/>
              </w:rPr>
              <w:t>Israel</w:t>
            </w:r>
          </w:p>
        </w:tc>
        <w:tc>
          <w:tcPr>
            <w:tcW w:w="0" w:type="dxa"/>
            <w:vAlign w:val="bottom"/>
          </w:tcPr>
          <w:p>
            <w:pPr>
              <w:spacing w:after="0"/>
              <w:rPr>
                <w:sz w:val="1"/>
                <w:szCs w:val="1"/>
                <w:color w:val="auto"/>
              </w:rPr>
            </w:pPr>
          </w:p>
        </w:tc>
      </w:tr>
      <w:tr>
        <w:trPr>
          <w:trHeight w:val="378"/>
        </w:trPr>
        <w:tc>
          <w:tcPr>
            <w:tcW w:w="3460" w:type="dxa"/>
            <w:vAlign w:val="bottom"/>
            <w:tcBorders>
              <w:left w:val="single" w:sz="8" w:color="auto"/>
              <w:right w:val="single" w:sz="8" w:color="auto"/>
            </w:tcBorders>
            <w:shd w:val="clear" w:color="auto" w:fill="CCEEFF"/>
          </w:tcPr>
          <w:p>
            <w:pPr>
              <w:spacing w:after="0"/>
              <w:rPr>
                <w:sz w:val="24"/>
                <w:szCs w:val="24"/>
                <w:color w:val="auto"/>
              </w:rPr>
            </w:pPr>
          </w:p>
        </w:tc>
        <w:tc>
          <w:tcPr>
            <w:tcW w:w="57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Multiple sclerosis</w:t>
            </w:r>
          </w:p>
        </w:tc>
        <w:tc>
          <w:tcPr>
            <w:tcW w:w="1160" w:type="dxa"/>
            <w:vAlign w:val="bottom"/>
            <w:tcBorders>
              <w:right w:val="single" w:sz="8" w:color="auto"/>
            </w:tcBorders>
            <w:shd w:val="clear" w:color="auto" w:fill="CCEEFF"/>
          </w:tcPr>
          <w:p>
            <w:pPr>
              <w:spacing w:after="0"/>
              <w:rPr>
                <w:sz w:val="24"/>
                <w:szCs w:val="24"/>
                <w:color w:val="auto"/>
              </w:rPr>
            </w:pPr>
          </w:p>
        </w:tc>
        <w:tc>
          <w:tcPr>
            <w:tcW w:w="110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5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Parkinson’s disease</w:t>
            </w:r>
          </w:p>
        </w:tc>
        <w:tc>
          <w:tcPr>
            <w:tcW w:w="1160" w:type="dxa"/>
            <w:vAlign w:val="bottom"/>
            <w:tcBorders>
              <w:bottom w:val="single" w:sz="8" w:color="CCEEFF"/>
              <w:right w:val="single" w:sz="8" w:color="auto"/>
            </w:tcBorders>
            <w:shd w:val="clear" w:color="auto" w:fill="CCEEFF"/>
          </w:tcPr>
          <w:p>
            <w:pPr>
              <w:spacing w:after="0"/>
              <w:rPr>
                <w:sz w:val="24"/>
                <w:szCs w:val="24"/>
                <w:color w:val="auto"/>
              </w:rPr>
            </w:pP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ReCyte Therapeutics, Inc.</w:t>
            </w:r>
          </w:p>
        </w:tc>
        <w:tc>
          <w:tcPr>
            <w:tcW w:w="5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Vascular disorders, including cardiovascular-related diseases, ischemic conditions,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94.8%</w:t>
            </w:r>
          </w:p>
        </w:tc>
        <w:tc>
          <w:tcPr>
            <w:tcW w:w="110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7"/>
              </w:rPr>
              <w:t>USA</w:t>
            </w:r>
          </w:p>
        </w:tc>
        <w:tc>
          <w:tcPr>
            <w:tcW w:w="0" w:type="dxa"/>
            <w:vAlign w:val="bottom"/>
          </w:tcPr>
          <w:p>
            <w:pPr>
              <w:spacing w:after="0"/>
              <w:rPr>
                <w:sz w:val="1"/>
                <w:szCs w:val="1"/>
                <w:color w:val="auto"/>
              </w:rPr>
            </w:pPr>
          </w:p>
        </w:tc>
      </w:tr>
      <w:tr>
        <w:trPr>
          <w:trHeight w:val="200"/>
        </w:trPr>
        <w:tc>
          <w:tcPr>
            <w:tcW w:w="3460" w:type="dxa"/>
            <w:vAlign w:val="bottom"/>
            <w:tcBorders>
              <w:left w:val="single" w:sz="8" w:color="auto"/>
              <w:right w:val="single" w:sz="8" w:color="auto"/>
            </w:tcBorders>
          </w:tcPr>
          <w:p>
            <w:pPr>
              <w:spacing w:after="0"/>
              <w:rPr>
                <w:sz w:val="17"/>
                <w:szCs w:val="17"/>
                <w:color w:val="auto"/>
              </w:rPr>
            </w:pPr>
          </w:p>
        </w:tc>
        <w:tc>
          <w:tcPr>
            <w:tcW w:w="5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vascular injuries</w:t>
            </w:r>
          </w:p>
        </w:tc>
        <w:tc>
          <w:tcPr>
            <w:tcW w:w="11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3460" w:type="dxa"/>
            <w:vAlign w:val="bottom"/>
            <w:tcBorders>
              <w:left w:val="single" w:sz="8" w:color="auto"/>
              <w:right w:val="single" w:sz="8" w:color="auto"/>
            </w:tcBorders>
          </w:tcPr>
          <w:p>
            <w:pPr>
              <w:spacing w:after="0"/>
              <w:rPr>
                <w:sz w:val="24"/>
                <w:szCs w:val="24"/>
                <w:color w:val="auto"/>
              </w:rPr>
            </w:pPr>
          </w:p>
        </w:tc>
        <w:tc>
          <w:tcPr>
            <w:tcW w:w="5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Stem cell-derived endothelial and cardiovascular related progenitor cells for research,</w:t>
            </w:r>
          </w:p>
        </w:tc>
        <w:tc>
          <w:tcPr>
            <w:tcW w:w="116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460" w:type="dxa"/>
            <w:vAlign w:val="bottom"/>
            <w:tcBorders>
              <w:left w:val="single" w:sz="8" w:color="auto"/>
              <w:right w:val="single" w:sz="8" w:color="auto"/>
            </w:tcBorders>
          </w:tcPr>
          <w:p>
            <w:pPr>
              <w:spacing w:after="0"/>
              <w:rPr>
                <w:sz w:val="17"/>
                <w:szCs w:val="17"/>
                <w:color w:val="auto"/>
              </w:rPr>
            </w:pPr>
          </w:p>
        </w:tc>
        <w:tc>
          <w:tcPr>
            <w:tcW w:w="57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drug testing, and therapeutics</w:t>
            </w:r>
          </w:p>
        </w:tc>
        <w:tc>
          <w:tcPr>
            <w:tcW w:w="116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4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BioTime Asia, Limited</w:t>
            </w:r>
          </w:p>
        </w:tc>
        <w:tc>
          <w:tcPr>
            <w:tcW w:w="5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Stem cell products for research</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81%</w:t>
            </w:r>
          </w:p>
        </w:tc>
        <w:tc>
          <w:tcPr>
            <w:tcW w:w="1100" w:type="dxa"/>
            <w:vAlign w:val="bottom"/>
            <w:tcBorders>
              <w:bottom w:val="single" w:sz="8" w:color="CCEEFF"/>
              <w:right w:val="single" w:sz="8" w:color="auto"/>
            </w:tcBorders>
            <w:shd w:val="clear" w:color="auto" w:fill="CCEEFF"/>
          </w:tcPr>
          <w:p>
            <w:pPr>
              <w:jc w:val="center"/>
              <w:ind w:right="121"/>
              <w:spacing w:after="0"/>
              <w:rPr>
                <w:sz w:val="20"/>
                <w:szCs w:val="20"/>
                <w:color w:val="auto"/>
              </w:rPr>
            </w:pPr>
            <w:r>
              <w:rPr>
                <w:rFonts w:ascii="Arial" w:cs="Arial" w:eastAsia="Arial" w:hAnsi="Arial"/>
                <w:sz w:val="16"/>
                <w:szCs w:val="16"/>
                <w:color w:val="auto"/>
                <w:w w:val="92"/>
              </w:rPr>
              <w:t>Hong Kong</w:t>
            </w:r>
          </w:p>
        </w:tc>
        <w:tc>
          <w:tcPr>
            <w:tcW w:w="0" w:type="dxa"/>
            <w:vAlign w:val="bottom"/>
          </w:tcPr>
          <w:p>
            <w:pPr>
              <w:spacing w:after="0"/>
              <w:rPr>
                <w:sz w:val="1"/>
                <w:szCs w:val="1"/>
                <w:color w:val="auto"/>
              </w:rPr>
            </w:pPr>
          </w:p>
        </w:tc>
      </w:tr>
      <w:tr>
        <w:trPr>
          <w:trHeight w:val="211"/>
        </w:trPr>
        <w:tc>
          <w:tcPr>
            <w:tcW w:w="3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LifeMap Sciences, Inc.</w:t>
            </w:r>
          </w:p>
        </w:tc>
        <w:tc>
          <w:tcPr>
            <w:tcW w:w="5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Genetic, disease, and stem cell databases</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73.2%</w:t>
            </w:r>
          </w:p>
        </w:tc>
        <w:tc>
          <w:tcPr>
            <w:tcW w:w="1100" w:type="dxa"/>
            <w:vAlign w:val="bottom"/>
            <w:tcBorders>
              <w:top w:val="single" w:sz="8" w:color="auto"/>
              <w:right w:val="single" w:sz="8" w:color="auto"/>
            </w:tcBorders>
          </w:tcPr>
          <w:p>
            <w:pPr>
              <w:jc w:val="center"/>
              <w:ind w:right="101"/>
              <w:spacing w:after="0"/>
              <w:rPr>
                <w:sz w:val="20"/>
                <w:szCs w:val="20"/>
                <w:color w:val="auto"/>
              </w:rPr>
            </w:pPr>
            <w:r>
              <w:rPr>
                <w:rFonts w:ascii="Arial" w:cs="Arial" w:eastAsia="Arial" w:hAnsi="Arial"/>
                <w:sz w:val="16"/>
                <w:szCs w:val="16"/>
                <w:color w:val="auto"/>
                <w:w w:val="97"/>
              </w:rPr>
              <w:t>USA</w:t>
            </w:r>
          </w:p>
        </w:tc>
        <w:tc>
          <w:tcPr>
            <w:tcW w:w="0" w:type="dxa"/>
            <w:vAlign w:val="bottom"/>
          </w:tcPr>
          <w:p>
            <w:pPr>
              <w:spacing w:after="0"/>
              <w:rPr>
                <w:sz w:val="1"/>
                <w:szCs w:val="1"/>
                <w:color w:val="auto"/>
              </w:rPr>
            </w:pPr>
          </w:p>
        </w:tc>
      </w:tr>
      <w:tr>
        <w:trPr>
          <w:trHeight w:val="29"/>
        </w:trPr>
        <w:tc>
          <w:tcPr>
            <w:tcW w:w="3460" w:type="dxa"/>
            <w:vAlign w:val="bottom"/>
            <w:tcBorders>
              <w:left w:val="single" w:sz="8" w:color="auto"/>
              <w:bottom w:val="single" w:sz="8" w:color="auto"/>
              <w:right w:val="single" w:sz="8" w:color="auto"/>
            </w:tcBorders>
          </w:tcPr>
          <w:p>
            <w:pPr>
              <w:spacing w:after="0"/>
              <w:rPr>
                <w:sz w:val="2"/>
                <w:szCs w:val="2"/>
                <w:color w:val="auto"/>
              </w:rPr>
            </w:pPr>
          </w:p>
        </w:tc>
        <w:tc>
          <w:tcPr>
            <w:tcW w:w="57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4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LifeMap Sciences, Ltd.</w:t>
            </w:r>
          </w:p>
        </w:tc>
        <w:tc>
          <w:tcPr>
            <w:tcW w:w="57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Stem cell database</w:t>
            </w:r>
          </w:p>
        </w:tc>
        <w:tc>
          <w:tcPr>
            <w:tcW w:w="11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(2)</w:t>
            </w:r>
          </w:p>
        </w:tc>
        <w:tc>
          <w:tcPr>
            <w:tcW w:w="1100" w:type="dxa"/>
            <w:vAlign w:val="bottom"/>
            <w:tcBorders>
              <w:bottom w:val="single" w:sz="8" w:color="CCEEFF"/>
              <w:right w:val="single" w:sz="8" w:color="auto"/>
            </w:tcBorders>
            <w:shd w:val="clear" w:color="auto" w:fill="CCEEFF"/>
          </w:tcPr>
          <w:p>
            <w:pPr>
              <w:jc w:val="center"/>
              <w:ind w:right="121"/>
              <w:spacing w:after="0"/>
              <w:rPr>
                <w:sz w:val="20"/>
                <w:szCs w:val="20"/>
                <w:color w:val="auto"/>
              </w:rPr>
            </w:pPr>
            <w:r>
              <w:rPr>
                <w:rFonts w:ascii="Arial" w:cs="Arial" w:eastAsia="Arial" w:hAnsi="Arial"/>
                <w:sz w:val="16"/>
                <w:szCs w:val="16"/>
                <w:color w:val="auto"/>
                <w:w w:val="86"/>
              </w:rPr>
              <w:t>Israel</w:t>
            </w:r>
          </w:p>
        </w:tc>
        <w:tc>
          <w:tcPr>
            <w:tcW w:w="0" w:type="dxa"/>
            <w:vAlign w:val="bottom"/>
          </w:tcPr>
          <w:p>
            <w:pPr>
              <w:spacing w:after="0"/>
              <w:rPr>
                <w:sz w:val="1"/>
                <w:szCs w:val="1"/>
                <w:color w:val="auto"/>
              </w:rPr>
            </w:pPr>
          </w:p>
        </w:tc>
      </w:tr>
      <w:tr>
        <w:trPr>
          <w:trHeight w:val="24"/>
        </w:trPr>
        <w:tc>
          <w:tcPr>
            <w:tcW w:w="3460" w:type="dxa"/>
            <w:vAlign w:val="bottom"/>
            <w:tcBorders>
              <w:left w:val="single" w:sz="8" w:color="auto"/>
              <w:right w:val="single" w:sz="8" w:color="auto"/>
            </w:tcBorders>
            <w:shd w:val="clear" w:color="auto" w:fill="000000"/>
          </w:tcPr>
          <w:p>
            <w:pPr>
              <w:spacing w:after="0"/>
              <w:rPr>
                <w:sz w:val="2"/>
                <w:szCs w:val="2"/>
                <w:color w:val="auto"/>
              </w:rPr>
            </w:pPr>
          </w:p>
        </w:tc>
        <w:tc>
          <w:tcPr>
            <w:tcW w:w="5720" w:type="dxa"/>
            <w:vAlign w:val="bottom"/>
            <w:tcBorders>
              <w:right w:val="single" w:sz="8" w:color="auto"/>
            </w:tcBorders>
            <w:shd w:val="clear" w:color="auto" w:fill="000000"/>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85" w:right="360" w:hanging="285"/>
        <w:spacing w:after="0" w:line="340" w:lineRule="auto"/>
        <w:tabs>
          <w:tab w:leader="none" w:pos="285" w:val="left"/>
        </w:tabs>
        <w:numPr>
          <w:ilvl w:val="0"/>
          <w:numId w:val="6"/>
        </w:numPr>
        <w:rPr>
          <w:rFonts w:ascii="Arial" w:cs="Arial" w:eastAsia="Arial" w:hAnsi="Arial"/>
          <w:sz w:val="14"/>
          <w:szCs w:val="14"/>
          <w:color w:val="auto"/>
        </w:rPr>
      </w:pPr>
      <w:r>
        <w:rPr>
          <w:rFonts w:ascii="Arial" w:cs="Arial" w:eastAsia="Arial" w:hAnsi="Arial"/>
          <w:sz w:val="14"/>
          <w:szCs w:val="14"/>
          <w:color w:val="auto"/>
        </w:rPr>
        <w:t>BioTime’s percentage ownership was reduced from approximately 96.7% to approximately 71.6% on October 1, 2013 when Asterias issued common stock to BioTime and Geron Corporation pursuant to an Asset Contribution Agreement and sold common stock and warrants to a private investor for cash in a related transaction.</w:t>
      </w:r>
    </w:p>
    <w:p>
      <w:pPr>
        <w:spacing w:after="0" w:line="134" w:lineRule="exact"/>
        <w:rPr>
          <w:rFonts w:ascii="Arial" w:cs="Arial" w:eastAsia="Arial" w:hAnsi="Arial"/>
          <w:sz w:val="14"/>
          <w:szCs w:val="14"/>
          <w:color w:val="auto"/>
        </w:rPr>
      </w:pPr>
    </w:p>
    <w:p>
      <w:pPr>
        <w:ind w:left="285" w:hanging="285"/>
        <w:spacing w:after="0"/>
        <w:tabs>
          <w:tab w:leader="none" w:pos="285" w:val="left"/>
        </w:tabs>
        <w:numPr>
          <w:ilvl w:val="0"/>
          <w:numId w:val="6"/>
        </w:numPr>
        <w:rPr>
          <w:rFonts w:ascii="Arial" w:cs="Arial" w:eastAsia="Arial" w:hAnsi="Arial"/>
          <w:sz w:val="16"/>
          <w:szCs w:val="16"/>
          <w:color w:val="auto"/>
        </w:rPr>
      </w:pPr>
      <w:r>
        <w:rPr>
          <w:rFonts w:ascii="Arial" w:cs="Arial" w:eastAsia="Arial" w:hAnsi="Arial"/>
          <w:sz w:val="16"/>
          <w:szCs w:val="16"/>
          <w:color w:val="auto"/>
        </w:rPr>
        <w:t>LifeMap Sciences, Ltd. is a wholly-owned subsidiary of LifeMap Sciences, Inc.</w:t>
      </w:r>
    </w:p>
    <w:p>
      <w:pPr>
        <w:spacing w:after="0" w:line="218" w:lineRule="exact"/>
        <w:rPr>
          <w:sz w:val="20"/>
          <w:szCs w:val="20"/>
          <w:color w:val="auto"/>
        </w:rPr>
      </w:pPr>
    </w:p>
    <w:p>
      <w:pPr>
        <w:ind w:left="5" w:right="60" w:firstLine="567"/>
        <w:spacing w:after="0" w:line="296" w:lineRule="auto"/>
        <w:rPr>
          <w:sz w:val="20"/>
          <w:szCs w:val="20"/>
          <w:color w:val="auto"/>
        </w:rPr>
      </w:pPr>
      <w:r>
        <w:rPr>
          <w:rFonts w:ascii="Arial" w:cs="Arial" w:eastAsia="Arial" w:hAnsi="Arial"/>
          <w:sz w:val="14"/>
          <w:szCs w:val="14"/>
          <w:color w:val="auto"/>
        </w:rPr>
        <w:t>The joint ownership of subsidiaries with other investors allows us to fund the expensive development costs in a manner that spreads the costs and risk and reduces our need to obtain more equity financing of our own that could be dilutive to our shareholders. This structure also allows investors the flexibility to invest in BioTime, which is a broad portfolio of companies focused on regenerative medicine, or to invest in a particular subsidiary that is targeting a specific field of medicine or product market. In some cases, the co-investors in our subsidiaries may include other participants in the pharmaceutical or biotechnology industry and their affiliates. An example of this would be our investment in Cell Cure Neurosciences, which was made in concert with investments from Teva Pharmaceutical Industries, Ltd. (“Teva”) and HBL-Hadasit Bio-Holdings, Ltd.</w:t>
      </w:r>
    </w:p>
    <w:p>
      <w:pPr>
        <w:spacing w:after="0" w:line="327"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10" w:name="page11"/>
    <w:bookmarkEnd w:id="1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120" w:firstLine="567"/>
        <w:spacing w:after="0" w:line="301" w:lineRule="auto"/>
        <w:rPr>
          <w:sz w:val="20"/>
          <w:szCs w:val="20"/>
          <w:color w:val="auto"/>
        </w:rPr>
      </w:pPr>
      <w:r>
        <w:rPr>
          <w:rFonts w:ascii="Arial" w:cs="Arial" w:eastAsia="Arial" w:hAnsi="Arial"/>
          <w:sz w:val="14"/>
          <w:szCs w:val="14"/>
          <w:color w:val="auto"/>
        </w:rPr>
        <w:t>Another tenet of our business strategy is the development and sale of advanced human stem cell products and technologies that can be used by researchers at universities and other institutions, at companies in the bioscience and biopharmaceutical industries, and at other companies that provide research products to companies in those industries. By providing products and technologies that will be used by researchers and drug developers at larger institutions and corporations, we believe that we will be able to commercialize products more quickly and inexpensively, and realize greater revenues than would be possible with the development of therapeutic products alone.</w:t>
      </w:r>
    </w:p>
    <w:p>
      <w:pPr>
        <w:spacing w:after="0" w:line="161" w:lineRule="exact"/>
        <w:rPr>
          <w:sz w:val="20"/>
          <w:szCs w:val="20"/>
          <w:color w:val="auto"/>
        </w:rPr>
      </w:pPr>
    </w:p>
    <w:p>
      <w:pPr>
        <w:ind w:right="160" w:firstLine="567"/>
        <w:spacing w:after="0" w:line="267" w:lineRule="auto"/>
        <w:rPr>
          <w:sz w:val="20"/>
          <w:szCs w:val="20"/>
          <w:color w:val="auto"/>
        </w:rPr>
      </w:pPr>
      <w:r>
        <w:rPr>
          <w:rFonts w:ascii="Arial" w:cs="Arial" w:eastAsia="Arial" w:hAnsi="Arial"/>
          <w:sz w:val="16"/>
          <w:szCs w:val="16"/>
          <w:color w:val="auto"/>
        </w:rPr>
        <w:t>We have made the filing and prosecution of patent applications an integral part of our business strategy in order to protect our investment in our products and that we and our subsidiaries have developed or licensed from others.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Renevia</w:t>
      </w:r>
      <w:r>
        <w:rPr>
          <w:rFonts w:ascii="Arial" w:cs="Arial" w:eastAsia="Arial" w:hAnsi="Arial"/>
          <w:sz w:val="26"/>
          <w:szCs w:val="26"/>
          <w:b w:val="1"/>
          <w:bCs w:val="1"/>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and Other</w:t>
      </w:r>
      <w:r>
        <w:rPr>
          <w:rFonts w:ascii="Arial" w:cs="Arial" w:eastAsia="Arial" w:hAnsi="Arial"/>
          <w:sz w:val="16"/>
          <w:szCs w:val="16"/>
          <w:b w:val="1"/>
          <w:bCs w:val="1"/>
          <w:i w:val="1"/>
          <w:iCs w:val="1"/>
          <w:color w:val="auto"/>
        </w:rPr>
        <w:t xml:space="preserve"> HyStem</w:t>
      </w:r>
      <w:r>
        <w:rPr>
          <w:rFonts w:ascii="Arial" w:cs="Arial" w:eastAsia="Arial" w:hAnsi="Arial"/>
          <w:sz w:val="26"/>
          <w:szCs w:val="26"/>
          <w:b w:val="1"/>
          <w:bCs w:val="1"/>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Cell Delivery Medical Devices</w:t>
      </w:r>
    </w:p>
    <w:p>
      <w:pPr>
        <w:spacing w:after="0" w:line="107" w:lineRule="exact"/>
        <w:rPr>
          <w:sz w:val="20"/>
          <w:szCs w:val="20"/>
          <w:color w:val="auto"/>
        </w:rPr>
      </w:pPr>
    </w:p>
    <w:p>
      <w:pPr>
        <w:ind w:right="120" w:firstLine="567"/>
        <w:spacing w:after="0" w:line="183"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hydrogel product line is one of the components in our near-term revenue strategy.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a patented biomaterial that mimics the extracellular matrix (“ECM”), the network of molecules surrounding cells in organs and tissues that is essential to cellular function. Many tissue engineering and regenerative cell-based therapies will require the delivery of therapeutic cells in a matrix or scaffold for proper function.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a unique hydrogel that has been shown to support cellular attachment and proliferation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Current research at leading medical institutions has shown that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compatible with a wide variety of tissue types including brain, bone, skin, neural, cartilage, and heart tissues.</w:t>
      </w:r>
    </w:p>
    <w:p>
      <w:pPr>
        <w:spacing w:after="0" w:line="194" w:lineRule="exact"/>
        <w:rPr>
          <w:sz w:val="20"/>
          <w:szCs w:val="20"/>
          <w:color w:val="auto"/>
        </w:rPr>
      </w:pPr>
    </w:p>
    <w:p>
      <w:pPr>
        <w:ind w:right="140" w:firstLine="567"/>
        <w:spacing w:after="0" w:line="202" w:lineRule="auto"/>
        <w:rPr>
          <w:sz w:val="20"/>
          <w:szCs w:val="20"/>
          <w:color w:val="auto"/>
        </w:rPr>
      </w:pPr>
      <w:r>
        <w:rPr>
          <w:rFonts w:ascii="Arial" w:cs="Arial" w:eastAsia="Arial" w:hAnsi="Arial"/>
          <w:sz w:val="15"/>
          <w:szCs w:val="15"/>
          <w:color w:val="auto"/>
        </w:rPr>
        <w:t xml:space="preserve">The patented technology underlying our </w:t>
      </w:r>
      <w:r>
        <w:rPr>
          <w:rFonts w:ascii="Arial" w:cs="Arial" w:eastAsia="Arial" w:hAnsi="Arial"/>
          <w:sz w:val="15"/>
          <w:szCs w:val="15"/>
          <w:i w:val="1"/>
          <w:iCs w:val="1"/>
          <w:color w:val="auto"/>
        </w:rPr>
        <w:t>HyStem</w:t>
      </w:r>
      <w:r>
        <w:rPr>
          <w:rFonts w:ascii="Arial" w:cs="Arial" w:eastAsia="Arial" w:hAnsi="Arial"/>
          <w:sz w:val="25"/>
          <w:szCs w:val="25"/>
          <w:color w:val="auto"/>
          <w:vertAlign w:val="superscript"/>
        </w:rPr>
        <w:t>®</w:t>
      </w:r>
      <w:r>
        <w:rPr>
          <w:rFonts w:ascii="Arial" w:cs="Arial" w:eastAsia="Arial" w:hAnsi="Arial"/>
          <w:sz w:val="15"/>
          <w:szCs w:val="15"/>
          <w:color w:val="auto"/>
        </w:rPr>
        <w:t xml:space="preserve"> hydrogels such as </w:t>
      </w:r>
      <w:r>
        <w:rPr>
          <w:rFonts w:ascii="Arial" w:cs="Arial" w:eastAsia="Arial" w:hAnsi="Arial"/>
          <w:sz w:val="15"/>
          <w:szCs w:val="15"/>
          <w:i w:val="1"/>
          <w:iCs w:val="1"/>
          <w:color w:val="auto"/>
        </w:rPr>
        <w:t>ReGlyde</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w:t>
      </w:r>
      <w:r>
        <w:rPr>
          <w:rFonts w:ascii="Arial" w:cs="Arial" w:eastAsia="Arial" w:hAnsi="Arial"/>
          <w:sz w:val="15"/>
          <w:szCs w:val="15"/>
          <w:i w:val="1"/>
          <w:iCs w:val="1"/>
          <w:color w:val="auto"/>
        </w:rPr>
        <w:t>Premvia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was developed at the University of Utah and has been licensed to us for human therapeutic uses. The </w:t>
      </w:r>
      <w:r>
        <w:rPr>
          <w:rFonts w:ascii="Arial" w:cs="Arial" w:eastAsia="Arial" w:hAnsi="Arial"/>
          <w:sz w:val="15"/>
          <w:szCs w:val="15"/>
          <w:i w:val="1"/>
          <w:iCs w:val="1"/>
          <w:color w:val="auto"/>
        </w:rPr>
        <w:t>HyStem</w:t>
      </w:r>
      <w:r>
        <w:rPr>
          <w:rFonts w:ascii="Arial" w:cs="Arial" w:eastAsia="Arial" w:hAnsi="Arial"/>
          <w:sz w:val="25"/>
          <w:szCs w:val="25"/>
          <w:color w:val="auto"/>
          <w:vertAlign w:val="superscript"/>
        </w:rPr>
        <w:t>®</w:t>
      </w:r>
      <w:r>
        <w:rPr>
          <w:rFonts w:ascii="Arial" w:cs="Arial" w:eastAsia="Arial" w:hAnsi="Arial"/>
          <w:sz w:val="15"/>
          <w:szCs w:val="15"/>
          <w:color w:val="auto"/>
        </w:rPr>
        <w:t xml:space="preserve"> technology is based on a unique thiol cross-linking strategy to prepare hyaluronan-based hydrogels from thiol-modified hyaluronan. Since the first published report in 2002, there have been over 120 academic scientific publications supporting the biocompatibility of thiol cross-linked hyaluronan based hydrogels and their applications as medical devices and in cell culture, tissue engineering, and animal models of cell-based therapies.</w:t>
      </w:r>
    </w:p>
    <w:p>
      <w:pPr>
        <w:spacing w:after="0" w:line="195" w:lineRule="exact"/>
        <w:rPr>
          <w:sz w:val="20"/>
          <w:szCs w:val="20"/>
          <w:color w:val="auto"/>
        </w:rPr>
      </w:pPr>
    </w:p>
    <w:p>
      <w:pPr>
        <w:ind w:firstLine="567"/>
        <w:spacing w:after="0" w:line="221" w:lineRule="auto"/>
        <w:rPr>
          <w:sz w:val="20"/>
          <w:szCs w:val="20"/>
          <w:color w:val="auto"/>
        </w:rPr>
      </w:pPr>
      <w:r>
        <w:rPr>
          <w:rFonts w:ascii="Arial" w:cs="Arial" w:eastAsia="Arial" w:hAnsi="Arial"/>
          <w:sz w:val="14"/>
          <w:szCs w:val="14"/>
          <w:color w:val="auto"/>
        </w:rPr>
        <w:t xml:space="preserve">The building blocks for </w:t>
      </w:r>
      <w:r>
        <w:rPr>
          <w:rFonts w:ascii="Arial" w:cs="Arial" w:eastAsia="Arial" w:hAnsi="Arial"/>
          <w:sz w:val="14"/>
          <w:szCs w:val="14"/>
          <w:i w:val="1"/>
          <w:iCs w:val="1"/>
          <w:color w:val="auto"/>
        </w:rPr>
        <w:t>HyStem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hydrogels are hyaluronan and in some applications, gelatin, each of which has been thiol-modified by carbodiimide mediated hydrazide chemistry. </w:t>
      </w:r>
      <w:r>
        <w:rPr>
          <w:rFonts w:ascii="Arial" w:cs="Arial" w:eastAsia="Arial" w:hAnsi="Arial"/>
          <w:sz w:val="14"/>
          <w:szCs w:val="14"/>
          <w:i w:val="1"/>
          <w:iCs w:val="1"/>
          <w:color w:val="auto"/>
        </w:rPr>
        <w:t>HyStem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hydrogels are formed by cross-linking mixtures of these thiolated macromolecules with polyethylene glycol diacrylate (“PEGDA”). This unique cross-linking chemistry works through an elegant chemical reaction between the acrylate groups on the PEGDA and the sulfhydryl groups on the thiolated macromolecules, that does not generate any toxic by-products, pH change or heat. The rate of the cross-linking reaction turning the liquid mixture into a hydrogel (gelation rate) as well as hydrogel stiffness can be controlled by varying the amount of the PEGDA cross-linker. Due to the unique cross-linking chemistry, </w:t>
      </w:r>
      <w:r>
        <w:rPr>
          <w:rFonts w:ascii="Arial" w:cs="Arial" w:eastAsia="Arial" w:hAnsi="Arial"/>
          <w:sz w:val="14"/>
          <w:szCs w:val="14"/>
          <w:i w:val="1"/>
          <w:iCs w:val="1"/>
          <w:color w:val="auto"/>
        </w:rPr>
        <w:t>HyStem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hydrogels can be injected or applied as a liquid which allows the hydrogel to conform to the cavity or space, and gelation occurs </w:t>
      </w:r>
      <w:r>
        <w:rPr>
          <w:rFonts w:ascii="Arial" w:cs="Arial" w:eastAsia="Arial" w:hAnsi="Arial"/>
          <w:sz w:val="14"/>
          <w:szCs w:val="14"/>
          <w:i w:val="1"/>
          <w:iCs w:val="1"/>
          <w:color w:val="auto"/>
        </w:rPr>
        <w:t>in situ</w:t>
      </w:r>
      <w:r>
        <w:rPr>
          <w:rFonts w:ascii="Arial" w:cs="Arial" w:eastAsia="Arial" w:hAnsi="Arial"/>
          <w:sz w:val="14"/>
          <w:szCs w:val="14"/>
          <w:color w:val="auto"/>
        </w:rPr>
        <w:t xml:space="preserve"> without harming the recipient tissue. This property of </w:t>
      </w:r>
      <w:r>
        <w:rPr>
          <w:rFonts w:ascii="Arial" w:cs="Arial" w:eastAsia="Arial" w:hAnsi="Arial"/>
          <w:sz w:val="14"/>
          <w:szCs w:val="14"/>
          <w:i w:val="1"/>
          <w:iCs w:val="1"/>
          <w:color w:val="auto"/>
        </w:rPr>
        <w:t>HyStem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hydrogels offers several distinct advantages over other hydrogels, including the possibility of mixing bioactive materials with the hydrogel at the point of use and the ability to inject or otherwise apply the material in its liquid state with precision at surgical or wound sites. Building upon this platform, we have developed the </w:t>
      </w:r>
      <w:r>
        <w:rPr>
          <w:rFonts w:ascii="Arial" w:cs="Arial" w:eastAsia="Arial" w:hAnsi="Arial"/>
          <w:sz w:val="14"/>
          <w:szCs w:val="14"/>
          <w:i w:val="1"/>
          <w:iCs w:val="1"/>
          <w:color w:val="auto"/>
        </w:rPr>
        <w:t>HyStem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family of unique, biocompatible resorbable hydrogels.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Renevia</w:t>
      </w:r>
      <w:r>
        <w:rPr>
          <w:rFonts w:ascii="Arial" w:cs="Arial" w:eastAsia="Arial" w:hAnsi="Arial"/>
          <w:sz w:val="26"/>
          <w:szCs w:val="26"/>
          <w:b w:val="1"/>
          <w:bCs w:val="1"/>
          <w:i w:val="1"/>
          <w:iCs w:val="1"/>
          <w:color w:val="auto"/>
          <w:vertAlign w:val="superscript"/>
        </w:rPr>
        <w:t>™</w:t>
      </w:r>
    </w:p>
    <w:p>
      <w:pPr>
        <w:spacing w:after="0" w:line="103" w:lineRule="exact"/>
        <w:rPr>
          <w:sz w:val="20"/>
          <w:szCs w:val="20"/>
          <w:color w:val="auto"/>
        </w:rPr>
      </w:pPr>
    </w:p>
    <w:p>
      <w:pPr>
        <w:ind w:firstLine="567"/>
        <w:spacing w:after="0" w:line="224" w:lineRule="auto"/>
        <w:rPr>
          <w:sz w:val="20"/>
          <w:szCs w:val="20"/>
          <w:color w:val="auto"/>
        </w:rPr>
      </w:pPr>
      <w:r>
        <w:rPr>
          <w:rFonts w:ascii="Arial" w:cs="Arial" w:eastAsia="Arial" w:hAnsi="Arial"/>
          <w:sz w:val="14"/>
          <w:szCs w:val="14"/>
          <w:color w:val="auto"/>
        </w:rPr>
        <w:t xml:space="preserve">We are developing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 clinical grade </w:t>
      </w:r>
      <w:r>
        <w:rPr>
          <w:rFonts w:ascii="Arial" w:cs="Arial" w:eastAsia="Arial" w:hAnsi="Arial"/>
          <w:sz w:val="14"/>
          <w:szCs w:val="14"/>
          <w:i w:val="1"/>
          <w:iCs w:val="1"/>
          <w:color w:val="auto"/>
        </w:rPr>
        <w:t>HyStem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hydrogel, as an injectable product.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may address an immediate need in cosmetic and reconstructive surgeries and other procedures by improving the process of transplanting adipose derived cells or other adult stem cells. Adult stem cell types such as adipose stem cells obtained from a patient through liposuction can be transplanted back into the same patient at another location in the body, without the risk of rejection associated with the transplant of donor tissues. However, the transplantation of cells without the molecular matrix in which cells normally reside often leads to widespread cell death or the failure of the transplanted cells to remain at the transplant site. The transfer of cells in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may resolve this issue by localizing the transplanted cells at the intended site and by providing a three-dimensional scaffold upon which cells can rebuild normal tissue.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may also support other emerging cell and tissue transplant therapies such as those derived from hES and iPS cells, in addition to its potential application in the treatment of a number of conditions such as osteoarthritis, brain tumors, stroke, bone fracture, and wounds.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11" w:name="page12"/>
    <w:bookmarkEnd w:id="1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 xml:space="preserve">During the fourth quarter of 2013 we completed a safety trial, </w:t>
      </w:r>
      <w:r>
        <w:rPr>
          <w:rFonts w:ascii="Arial" w:cs="Arial" w:eastAsia="Arial" w:hAnsi="Arial"/>
          <w:sz w:val="15"/>
          <w:szCs w:val="15"/>
          <w:i w:val="1"/>
          <w:iCs w:val="1"/>
          <w:color w:val="auto"/>
        </w:rPr>
        <w:t>Renevia</w:t>
      </w:r>
      <w:r>
        <w:rPr>
          <w:rFonts w:ascii="Arial" w:cs="Arial" w:eastAsia="Arial" w:hAnsi="Arial"/>
          <w:sz w:val="25"/>
          <w:szCs w:val="25"/>
          <w:color w:val="auto"/>
          <w:vertAlign w:val="superscript"/>
        </w:rPr>
        <w:t>™</w:t>
      </w:r>
      <w:r>
        <w:rPr>
          <w:rFonts w:ascii="Arial" w:cs="Arial" w:eastAsia="Arial" w:hAnsi="Arial"/>
          <w:sz w:val="15"/>
          <w:szCs w:val="15"/>
          <w:i w:val="1"/>
          <w:iCs w:val="1"/>
          <w:color w:val="auto"/>
        </w:rPr>
        <w:t>-01</w:t>
      </w:r>
      <w:r>
        <w:rPr>
          <w:rFonts w:ascii="Arial" w:cs="Arial" w:eastAsia="Arial" w:hAnsi="Arial"/>
          <w:sz w:val="15"/>
          <w:szCs w:val="15"/>
          <w:color w:val="auto"/>
        </w:rPr>
        <w:t xml:space="preserve"> evaluating </w:t>
      </w:r>
      <w:r>
        <w:rPr>
          <w:rFonts w:ascii="Arial" w:cs="Arial" w:eastAsia="Arial" w:hAnsi="Arial"/>
          <w:sz w:val="15"/>
          <w:szCs w:val="15"/>
          <w:i w:val="1"/>
          <w:iCs w:val="1"/>
          <w:color w:val="auto"/>
        </w:rPr>
        <w:t>Renevia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followed by a four week follow-up procedure evaluating the trial</w:t>
      </w:r>
    </w:p>
    <w:p>
      <w:pPr>
        <w:spacing w:after="0" w:line="182" w:lineRule="auto"/>
        <w:rPr>
          <w:sz w:val="20"/>
          <w:szCs w:val="20"/>
          <w:color w:val="auto"/>
        </w:rPr>
      </w:pPr>
      <w:r>
        <w:rPr>
          <w:rFonts w:ascii="Arial" w:cs="Arial" w:eastAsia="Arial" w:hAnsi="Arial"/>
          <w:sz w:val="14"/>
          <w:szCs w:val="14"/>
          <w:color w:val="auto"/>
        </w:rPr>
        <w:t xml:space="preserve">subjects. Ten healthy volunteers each received one subcutaneous injection of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without cells. The primary objective of the trial was to determine the safety, tolerability, and</w:t>
      </w:r>
    </w:p>
    <w:p>
      <w:pPr>
        <w:spacing w:after="0" w:line="188" w:lineRule="auto"/>
        <w:rPr>
          <w:sz w:val="20"/>
          <w:szCs w:val="20"/>
          <w:color w:val="auto"/>
        </w:rPr>
      </w:pPr>
      <w:r>
        <w:rPr>
          <w:rFonts w:ascii="Arial" w:cs="Arial" w:eastAsia="Arial" w:hAnsi="Arial"/>
          <w:sz w:val="13"/>
          <w:szCs w:val="13"/>
          <w:color w:val="auto"/>
        </w:rPr>
        <w:t xml:space="preserve">acceptance of </w:t>
      </w:r>
      <w:r>
        <w:rPr>
          <w:rFonts w:ascii="Arial" w:cs="Arial" w:eastAsia="Arial" w:hAnsi="Arial"/>
          <w:sz w:val="13"/>
          <w:szCs w:val="13"/>
          <w:i w:val="1"/>
          <w:iCs w:val="1"/>
          <w:color w:val="auto"/>
        </w:rPr>
        <w:t>Renevia</w:t>
      </w:r>
      <w:r>
        <w:rPr>
          <w:rFonts w:ascii="Arial" w:cs="Arial" w:eastAsia="Arial" w:hAnsi="Arial"/>
          <w:sz w:val="21"/>
          <w:szCs w:val="21"/>
          <w:color w:val="auto"/>
          <w:vertAlign w:val="superscript"/>
        </w:rPr>
        <w:t>™</w:t>
      </w:r>
      <w:r>
        <w:rPr>
          <w:rFonts w:ascii="Arial" w:cs="Arial" w:eastAsia="Arial" w:hAnsi="Arial"/>
          <w:sz w:val="13"/>
          <w:szCs w:val="13"/>
          <w:color w:val="auto"/>
        </w:rPr>
        <w:t xml:space="preserve"> without cells as determined by monitoring subjects for any post-treatment reactions. Examinations of the subjects post treatment have shown that</w:t>
      </w:r>
    </w:p>
    <w:p>
      <w:pPr>
        <w:spacing w:after="0" w:line="188" w:lineRule="auto"/>
        <w:rPr>
          <w:sz w:val="20"/>
          <w:szCs w:val="20"/>
          <w:color w:val="auto"/>
        </w:rPr>
      </w:pPr>
      <w:r>
        <w:rPr>
          <w:rFonts w:ascii="Arial" w:cs="Arial" w:eastAsia="Arial" w:hAnsi="Arial"/>
          <w:sz w:val="13"/>
          <w:szCs w:val="13"/>
          <w:i w:val="1"/>
          <w:iCs w:val="1"/>
          <w:color w:val="auto"/>
        </w:rPr>
        <w:t>Renevia</w:t>
      </w:r>
      <w:r>
        <w:rPr>
          <w:rFonts w:ascii="Arial" w:cs="Arial" w:eastAsia="Arial" w:hAnsi="Arial"/>
          <w:sz w:val="21"/>
          <w:szCs w:val="2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was well-tolerated by all subjects with no serious adverse events or subject withdrawals. The trial was conducted at The Stem Center in Palma de Mallorca, Spain located</w:t>
      </w:r>
    </w:p>
    <w:p>
      <w:pPr>
        <w:spacing w:after="0"/>
        <w:rPr>
          <w:sz w:val="20"/>
          <w:szCs w:val="20"/>
          <w:color w:val="auto"/>
        </w:rPr>
      </w:pPr>
      <w:r>
        <w:rPr>
          <w:rFonts w:ascii="Arial" w:cs="Arial" w:eastAsia="Arial" w:hAnsi="Arial"/>
          <w:sz w:val="16"/>
          <w:szCs w:val="16"/>
          <w:color w:val="auto"/>
        </w:rPr>
        <w:t>within the hospital Clinica USP Palmaplanas in Palma.</w:t>
      </w:r>
    </w:p>
    <w:p>
      <w:pPr>
        <w:spacing w:after="0" w:line="196" w:lineRule="exact"/>
        <w:rPr>
          <w:sz w:val="20"/>
          <w:szCs w:val="20"/>
          <w:color w:val="auto"/>
        </w:rPr>
      </w:pPr>
    </w:p>
    <w:p>
      <w:pPr>
        <w:ind w:right="60" w:firstLine="567"/>
        <w:spacing w:after="0" w:line="229" w:lineRule="auto"/>
        <w:rPr>
          <w:sz w:val="20"/>
          <w:szCs w:val="20"/>
          <w:color w:val="auto"/>
        </w:rPr>
      </w:pPr>
      <w:r>
        <w:rPr>
          <w:rFonts w:ascii="Arial" w:cs="Arial" w:eastAsia="Arial" w:hAnsi="Arial"/>
          <w:sz w:val="14"/>
          <w:szCs w:val="14"/>
          <w:color w:val="auto"/>
        </w:rPr>
        <w:t xml:space="preserve">A protocol for a pivotal clinical study,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-02</w:t>
      </w:r>
      <w:r>
        <w:rPr>
          <w:rFonts w:ascii="Arial" w:cs="Arial" w:eastAsia="Arial" w:hAnsi="Arial"/>
          <w:sz w:val="14"/>
          <w:szCs w:val="14"/>
          <w:color w:val="auto"/>
        </w:rPr>
        <w:t xml:space="preserve">, is under development and submission to Spanish regulatory authorities is planned for the first quarter of 2014. This clinical study will document the efficacy of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as a delivery matrix for adipose cells to restore normal skin contours in patients where the subcutaneous adipose tissue has been lost to lipoatrophy, specifically HIV related facial lipoatrophy. Lipoatrophy is a localized loss of fat beneath the skin and is often a consequence of the normal aging process, but lipoatrophy can also be associated with trauma, surgery, and diseases. Lipoatrophy is frequently experienced by HIV patients being treated with anti-viral drugs. According to published estimates, at least several hundred thousand patients in Europe, and a similar number in the U.S., are affected by lipoatrophy and related conditions such as lipodystrophy. These patients have very limited treatment options and these conditions therefore represent a significant unmet medical need. The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-02</w:t>
      </w:r>
      <w:r>
        <w:rPr>
          <w:rFonts w:ascii="Arial" w:cs="Arial" w:eastAsia="Arial" w:hAnsi="Arial"/>
          <w:sz w:val="14"/>
          <w:szCs w:val="14"/>
          <w:color w:val="auto"/>
        </w:rPr>
        <w:t xml:space="preserve"> study will also be conducted at the Stem Center in Mallorca. Our plan to proceed with the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-02</w:t>
      </w:r>
      <w:r>
        <w:rPr>
          <w:rFonts w:ascii="Arial" w:cs="Arial" w:eastAsia="Arial" w:hAnsi="Arial"/>
          <w:sz w:val="14"/>
          <w:szCs w:val="14"/>
          <w:color w:val="auto"/>
        </w:rPr>
        <w:t xml:space="preserve"> pivotal clinical trial is subject to obtaining required regulatory and institutional approvals.</w:t>
      </w:r>
    </w:p>
    <w:p>
      <w:pPr>
        <w:spacing w:after="0" w:line="66" w:lineRule="exact"/>
        <w:rPr>
          <w:sz w:val="20"/>
          <w:szCs w:val="20"/>
          <w:color w:val="auto"/>
        </w:rPr>
      </w:pPr>
    </w:p>
    <w:p>
      <w:pPr>
        <w:ind w:right="120" w:firstLine="567"/>
        <w:spacing w:after="0" w:line="195" w:lineRule="auto"/>
        <w:rPr>
          <w:sz w:val="20"/>
          <w:szCs w:val="20"/>
          <w:color w:val="auto"/>
        </w:rPr>
      </w:pP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is manufactured in the US in compliance with cGMP requirements and has been tested pursuant to ISO 10993 standards for implantable medical devices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shown to be biocompatible without adverse effects in animal studies. Our plan is to bring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to the medical market first in the EU, where the anticipated cost of the clinical trials would be relatively low. Once the use of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surgery is established in the EU, we plan to seek FDA approval to market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the larger American market where there are approximately 4 million surgical reconstructive procedures performed per year.</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ReGlyde</w:t>
      </w:r>
      <w:r>
        <w:rPr>
          <w:rFonts w:ascii="Arial" w:cs="Arial" w:eastAsia="Arial" w:hAnsi="Arial"/>
          <w:sz w:val="26"/>
          <w:szCs w:val="26"/>
          <w:b w:val="1"/>
          <w:bCs w:val="1"/>
          <w:color w:val="auto"/>
          <w:vertAlign w:val="superscript"/>
        </w:rPr>
        <w:t>™</w:t>
      </w:r>
      <w:r>
        <w:rPr>
          <w:rFonts w:ascii="Arial" w:cs="Arial" w:eastAsia="Arial" w:hAnsi="Arial"/>
          <w:sz w:val="16"/>
          <w:szCs w:val="16"/>
          <w:b w:val="1"/>
          <w:bCs w:val="1"/>
          <w:i w:val="1"/>
          <w:iCs w:val="1"/>
          <w:color w:val="auto"/>
        </w:rPr>
        <w:t xml:space="preserve"> and Premvia</w:t>
      </w:r>
      <w:r>
        <w:rPr>
          <w:rFonts w:ascii="Arial" w:cs="Arial" w:eastAsia="Arial" w:hAnsi="Arial"/>
          <w:sz w:val="26"/>
          <w:szCs w:val="26"/>
          <w:b w:val="1"/>
          <w:bCs w:val="1"/>
          <w:color w:val="auto"/>
          <w:vertAlign w:val="superscript"/>
        </w:rPr>
        <w:t>™</w:t>
      </w:r>
    </w:p>
    <w:p>
      <w:pPr>
        <w:spacing w:after="0" w:line="107" w:lineRule="exact"/>
        <w:rPr>
          <w:sz w:val="20"/>
          <w:szCs w:val="20"/>
          <w:color w:val="auto"/>
        </w:rPr>
      </w:pPr>
    </w:p>
    <w:p>
      <w:pPr>
        <w:ind w:right="40" w:firstLine="567"/>
        <w:spacing w:after="0" w:line="212" w:lineRule="auto"/>
        <w:rPr>
          <w:sz w:val="20"/>
          <w:szCs w:val="20"/>
          <w:color w:val="auto"/>
        </w:rPr>
      </w:pPr>
      <w:r>
        <w:rPr>
          <w:rFonts w:ascii="Arial" w:cs="Arial" w:eastAsia="Arial" w:hAnsi="Arial"/>
          <w:sz w:val="16"/>
          <w:szCs w:val="16"/>
          <w:color w:val="auto"/>
        </w:rPr>
        <w:t xml:space="preserve">We have commenced development of two new products based on our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technology platform. The new products are unique formulations utilizing some of the same cGMP components that will be used in our clinical trials of </w:t>
      </w:r>
      <w:r>
        <w:rPr>
          <w:rFonts w:ascii="Arial" w:cs="Arial" w:eastAsia="Arial" w:hAnsi="Arial"/>
          <w:sz w:val="16"/>
          <w:szCs w:val="16"/>
          <w:i w:val="1"/>
          <w:iCs w:val="1"/>
          <w:color w:val="auto"/>
        </w:rPr>
        <w:t>Renevia</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63" w:lineRule="exact"/>
        <w:rPr>
          <w:sz w:val="20"/>
          <w:szCs w:val="20"/>
          <w:color w:val="auto"/>
        </w:rPr>
      </w:pPr>
    </w:p>
    <w:p>
      <w:pPr>
        <w:ind w:right="100" w:firstLine="567"/>
        <w:spacing w:after="0" w:line="211" w:lineRule="auto"/>
        <w:rPr>
          <w:sz w:val="20"/>
          <w:szCs w:val="20"/>
          <w:color w:val="auto"/>
        </w:rPr>
      </w:pPr>
      <w:r>
        <w:rPr>
          <w:rFonts w:ascii="Arial" w:cs="Arial" w:eastAsia="Arial" w:hAnsi="Arial"/>
          <w:sz w:val="15"/>
          <w:szCs w:val="15"/>
          <w:color w:val="auto"/>
        </w:rPr>
        <w:t xml:space="preserve">The first of these new products is </w:t>
      </w:r>
      <w:r>
        <w:rPr>
          <w:rFonts w:ascii="Arial" w:cs="Arial" w:eastAsia="Arial" w:hAnsi="Arial"/>
          <w:sz w:val="15"/>
          <w:szCs w:val="15"/>
          <w:i w:val="1"/>
          <w:iCs w:val="1"/>
          <w:color w:val="auto"/>
        </w:rPr>
        <w:t>ReGlyde</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 cross-linked thiol-modified hyaluronan hydrogel for the management and protection of tendon injuries following surgical repair of the digital flexor or extensor tendons of the hand. The product is intended to be applied to the repaired tendon area via a syringe or similar device immediately prior to closing of the surgical area. Separation of the tendon from surrounding tissue has been shown to significantly reduce post-surgical adhesions that can lead to complications such as restricted finger mobility and flexibility. We believe that the flowable and </w:t>
      </w:r>
      <w:r>
        <w:rPr>
          <w:rFonts w:ascii="Arial" w:cs="Arial" w:eastAsia="Arial" w:hAnsi="Arial"/>
          <w:sz w:val="15"/>
          <w:szCs w:val="15"/>
          <w:i w:val="1"/>
          <w:iCs w:val="1"/>
          <w:color w:val="auto"/>
        </w:rPr>
        <w:t>in-situ</w:t>
      </w:r>
      <w:r>
        <w:rPr>
          <w:rFonts w:ascii="Arial" w:cs="Arial" w:eastAsia="Arial" w:hAnsi="Arial"/>
          <w:sz w:val="15"/>
          <w:szCs w:val="15"/>
          <w:color w:val="auto"/>
        </w:rPr>
        <w:t xml:space="preserve"> gelling capability of </w:t>
      </w:r>
      <w:r>
        <w:rPr>
          <w:rFonts w:ascii="Arial" w:cs="Arial" w:eastAsia="Arial" w:hAnsi="Arial"/>
          <w:sz w:val="15"/>
          <w:szCs w:val="15"/>
          <w:i w:val="1"/>
          <w:iCs w:val="1"/>
          <w:color w:val="auto"/>
        </w:rPr>
        <w:t>ReGlyde</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could provide an advantage over the existing technology that is in the form of a sheet causing difficulty in application in what is often a small compartment after surgery.</w:t>
      </w:r>
    </w:p>
    <w:p>
      <w:pPr>
        <w:spacing w:after="0" w:line="198" w:lineRule="exact"/>
        <w:rPr>
          <w:sz w:val="20"/>
          <w:szCs w:val="20"/>
          <w:color w:val="auto"/>
        </w:rPr>
      </w:pPr>
    </w:p>
    <w:p>
      <w:pPr>
        <w:ind w:right="40" w:firstLine="567"/>
        <w:spacing w:after="0" w:line="200" w:lineRule="auto"/>
        <w:rPr>
          <w:sz w:val="20"/>
          <w:szCs w:val="20"/>
          <w:color w:val="auto"/>
        </w:rPr>
      </w:pPr>
      <w:r>
        <w:rPr>
          <w:rFonts w:ascii="Arial" w:cs="Arial" w:eastAsia="Arial" w:hAnsi="Arial"/>
          <w:sz w:val="15"/>
          <w:szCs w:val="15"/>
          <w:color w:val="auto"/>
        </w:rPr>
        <w:t xml:space="preserve">The second new product, </w:t>
      </w:r>
      <w:r>
        <w:rPr>
          <w:rFonts w:ascii="Arial" w:cs="Arial" w:eastAsia="Arial" w:hAnsi="Arial"/>
          <w:sz w:val="15"/>
          <w:szCs w:val="15"/>
          <w:i w:val="1"/>
          <w:iCs w:val="1"/>
          <w:color w:val="auto"/>
        </w:rPr>
        <w:t>Premvia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is a </w:t>
      </w:r>
      <w:r>
        <w:rPr>
          <w:rFonts w:ascii="Arial" w:cs="Arial" w:eastAsia="Arial" w:hAnsi="Arial"/>
          <w:sz w:val="15"/>
          <w:szCs w:val="15"/>
          <w:i w:val="1"/>
          <w:iCs w:val="1"/>
          <w:color w:val="auto"/>
        </w:rPr>
        <w:t>HyStem</w:t>
      </w:r>
      <w:r>
        <w:rPr>
          <w:rFonts w:ascii="Arial" w:cs="Arial" w:eastAsia="Arial" w:hAnsi="Arial"/>
          <w:sz w:val="25"/>
          <w:szCs w:val="25"/>
          <w:color w:val="auto"/>
          <w:vertAlign w:val="superscript"/>
        </w:rPr>
        <w:t>®</w:t>
      </w:r>
      <w:r>
        <w:rPr>
          <w:rFonts w:ascii="Arial" w:cs="Arial" w:eastAsia="Arial" w:hAnsi="Arial"/>
          <w:sz w:val="15"/>
          <w:szCs w:val="15"/>
          <w:color w:val="auto"/>
        </w:rPr>
        <w:t xml:space="preserve"> hydrogel formulation of cross-linked thiol-modified hyaluronan and thiol-modified gelatin for the management of wounds including partial and full-thickness wounds, ulcers, tunneled/undermined wounds, surgical wounds, and burns. Due to its high water content, </w:t>
      </w:r>
      <w:r>
        <w:rPr>
          <w:rFonts w:ascii="Arial" w:cs="Arial" w:eastAsia="Arial" w:hAnsi="Arial"/>
          <w:sz w:val="15"/>
          <w:szCs w:val="15"/>
          <w:i w:val="1"/>
          <w:iCs w:val="1"/>
          <w:color w:val="auto"/>
        </w:rPr>
        <w:t>Premvia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is able to donate water molecules to the wound surface and to maintain a moist environment at the wound bed, which is critical for wound healing. Additionally, the biodegradable matrix provides a scaffold for the cellular infiltration and proliferation as well as capillary growth needed to promote healing. There is significant competition in the wound healing dressing space, however, one advantage that </w:t>
      </w:r>
      <w:r>
        <w:rPr>
          <w:rFonts w:ascii="Arial" w:cs="Arial" w:eastAsia="Arial" w:hAnsi="Arial"/>
          <w:sz w:val="15"/>
          <w:szCs w:val="15"/>
          <w:i w:val="1"/>
          <w:iCs w:val="1"/>
          <w:color w:val="auto"/>
        </w:rPr>
        <w:t>Premvia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appears to have over most other technologies is the ability to flow into the wound and cross-link, or change from a flowing liquid to a semi-solid gel consistency, </w:t>
      </w:r>
      <w:r>
        <w:rPr>
          <w:rFonts w:ascii="Arial" w:cs="Arial" w:eastAsia="Arial" w:hAnsi="Arial"/>
          <w:sz w:val="15"/>
          <w:szCs w:val="15"/>
          <w:i w:val="1"/>
          <w:iCs w:val="1"/>
          <w:color w:val="auto"/>
        </w:rPr>
        <w:t>in-situ</w:t>
      </w:r>
      <w:r>
        <w:rPr>
          <w:rFonts w:ascii="Arial" w:cs="Arial" w:eastAsia="Arial" w:hAnsi="Arial"/>
          <w:sz w:val="15"/>
          <w:szCs w:val="15"/>
          <w:color w:val="auto"/>
        </w:rPr>
        <w:t>, thereby providing a moist environment to every part of a wound which a traditional covering cannot.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 w:name="page13"/>
    <w:bookmarkEnd w:id="1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29" w:lineRule="exact"/>
        <w:rPr>
          <w:sz w:val="20"/>
          <w:szCs w:val="20"/>
          <w:color w:val="auto"/>
        </w:rPr>
      </w:pPr>
    </w:p>
    <w:p>
      <w:pPr>
        <w:ind w:right="20" w:firstLine="567"/>
        <w:spacing w:after="0" w:line="223" w:lineRule="auto"/>
        <w:rPr>
          <w:sz w:val="20"/>
          <w:szCs w:val="20"/>
          <w:color w:val="auto"/>
        </w:rPr>
      </w:pPr>
      <w:r>
        <w:rPr>
          <w:rFonts w:ascii="Arial" w:cs="Arial" w:eastAsia="Arial" w:hAnsi="Arial"/>
          <w:sz w:val="16"/>
          <w:szCs w:val="16"/>
          <w:color w:val="auto"/>
        </w:rPr>
        <w:t xml:space="preserve">Both </w:t>
      </w:r>
      <w:r>
        <w:rPr>
          <w:rFonts w:ascii="Arial" w:cs="Arial" w:eastAsia="Arial" w:hAnsi="Arial"/>
          <w:sz w:val="16"/>
          <w:szCs w:val="16"/>
          <w:i w:val="1"/>
          <w:iCs w:val="1"/>
          <w:color w:val="auto"/>
        </w:rPr>
        <w:t>ReGlyde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Premvia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are expected to be regulated as medical devices in the United States, and we believe that they are each eligible for 510(k) market approvals. We have initiated for these development-stage products the requisite studies for marketing approval, including ISO 10993 biocompatibility studies and animal studies to demonstrate safety and efficacy. If these requisite studies do not show biocompatibility and efficacy, we will have to reconsider our development plans. We may be required to provide human clinical data demonstrating safety and efficacy for approval as a medical device if the FDA determines that marketing approval should not be granted on the basis of a 510(k) application.</w:t>
      </w:r>
    </w:p>
    <w:p>
      <w:pPr>
        <w:spacing w:after="0" w:line="196" w:lineRule="exact"/>
        <w:rPr>
          <w:sz w:val="20"/>
          <w:szCs w:val="20"/>
          <w:color w:val="auto"/>
        </w:rPr>
      </w:pPr>
    </w:p>
    <w:p>
      <w:pPr>
        <w:ind w:firstLine="567"/>
        <w:spacing w:after="0" w:line="180" w:lineRule="auto"/>
        <w:rPr>
          <w:sz w:val="20"/>
          <w:szCs w:val="20"/>
          <w:color w:val="auto"/>
        </w:rPr>
      </w:pPr>
      <w:r>
        <w:rPr>
          <w:rFonts w:ascii="Arial" w:cs="Arial" w:eastAsia="Arial" w:hAnsi="Arial"/>
          <w:sz w:val="16"/>
          <w:szCs w:val="16"/>
          <w:i w:val="1"/>
          <w:iCs w:val="1"/>
          <w:color w:val="auto"/>
        </w:rPr>
        <w:t>Premvia</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is also intended to serve as a foundation for the further development of bioactive wound healing products that could deliver biological factors or cells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accelerate wound healing before marketing </w:t>
      </w:r>
      <w:r>
        <w:rPr>
          <w:rFonts w:ascii="Arial" w:cs="Arial" w:eastAsia="Arial" w:hAnsi="Arial"/>
          <w:sz w:val="16"/>
          <w:szCs w:val="16"/>
          <w:i w:val="1"/>
          <w:iCs w:val="1"/>
          <w:color w:val="auto"/>
        </w:rPr>
        <w:t>Premvia</w:t>
      </w:r>
      <w:r>
        <w:rPr>
          <w:rFonts w:ascii="Arial" w:cs="Arial" w:eastAsia="Arial" w:hAnsi="Arial"/>
          <w:sz w:val="26"/>
          <w:szCs w:val="26"/>
          <w:color w:val="auto"/>
          <w:vertAlign w:val="superscript"/>
        </w:rPr>
        <w:t>™</w:t>
      </w:r>
      <w:r>
        <w:rPr>
          <w:rFonts w:ascii="Arial" w:cs="Arial" w:eastAsia="Arial" w:hAnsi="Arial"/>
          <w:sz w:val="16"/>
          <w:szCs w:val="16"/>
          <w:color w:val="auto"/>
        </w:rPr>
        <w:t>, which would likely require clinical testing to demonstrate safety and efficacy of the new products, and additional FDA review and approval.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HyStem</w:t>
      </w:r>
      <w:r>
        <w:rPr>
          <w:rFonts w:ascii="Arial" w:cs="Arial" w:eastAsia="Arial" w:hAnsi="Arial"/>
          <w:sz w:val="26"/>
          <w:szCs w:val="26"/>
          <w:b w:val="1"/>
          <w:bCs w:val="1"/>
          <w:color w:val="auto"/>
          <w:vertAlign w:val="superscript"/>
        </w:rPr>
        <w:t>®</w:t>
      </w:r>
      <w:r>
        <w:rPr>
          <w:rFonts w:ascii="Arial" w:cs="Arial" w:eastAsia="Arial" w:hAnsi="Arial"/>
          <w:sz w:val="16"/>
          <w:szCs w:val="16"/>
          <w:b w:val="1"/>
          <w:bCs w:val="1"/>
          <w:i w:val="1"/>
          <w:iCs w:val="1"/>
          <w:color w:val="auto"/>
        </w:rPr>
        <w:t xml:space="preserve"> Hydrogel in Research</w:t>
      </w:r>
    </w:p>
    <w:p>
      <w:pPr>
        <w:spacing w:after="0" w:line="107" w:lineRule="exact"/>
        <w:rPr>
          <w:sz w:val="20"/>
          <w:szCs w:val="20"/>
          <w:color w:val="auto"/>
        </w:rPr>
      </w:pPr>
    </w:p>
    <w:p>
      <w:pPr>
        <w:ind w:right="60" w:firstLine="567"/>
        <w:spacing w:after="0" w:line="184" w:lineRule="auto"/>
        <w:rPr>
          <w:sz w:val="20"/>
          <w:szCs w:val="20"/>
          <w:color w:val="auto"/>
        </w:rPr>
      </w:pPr>
      <w:r>
        <w:rPr>
          <w:rFonts w:ascii="Arial" w:cs="Arial" w:eastAsia="Arial" w:hAnsi="Arial"/>
          <w:sz w:val="14"/>
          <w:szCs w:val="14"/>
          <w:color w:val="auto"/>
        </w:rPr>
        <w:t xml:space="preserve">Other </w:t>
      </w:r>
      <w:r>
        <w:rPr>
          <w:rFonts w:ascii="Arial" w:cs="Arial" w:eastAsia="Arial" w:hAnsi="Arial"/>
          <w:sz w:val="14"/>
          <w:szCs w:val="14"/>
          <w:i w:val="1"/>
          <w:iCs w:val="1"/>
          <w:color w:val="auto"/>
        </w:rPr>
        <w:t>HyStem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hydrogels are currently being used by researchers at a number of medical schools in pre-clinical studies of stem cell therapies to facilitate wound healing; the treatment of ischemic stroke, brain cancer, and vocal fold scarring; and myocardial infarct repair. </w:t>
      </w:r>
      <w:r>
        <w:rPr>
          <w:rFonts w:ascii="Arial" w:cs="Arial" w:eastAsia="Arial" w:hAnsi="Arial"/>
          <w:sz w:val="14"/>
          <w:szCs w:val="14"/>
          <w:i w:val="1"/>
          <w:iCs w:val="1"/>
          <w:color w:val="auto"/>
        </w:rPr>
        <w:t>HyStem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hydrogels may have other applications when combined with the diverse and scalable cell types our scientists have isolated from hES cells. Our </w:t>
      </w:r>
      <w:r>
        <w:rPr>
          <w:rFonts w:ascii="Arial" w:cs="Arial" w:eastAsia="Arial" w:hAnsi="Arial"/>
          <w:sz w:val="14"/>
          <w:szCs w:val="14"/>
          <w:i w:val="1"/>
          <w:iCs w:val="1"/>
          <w:color w:val="auto"/>
        </w:rPr>
        <w:t>HyStem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technology forms the foundation for unique stem cell delivery products in both the adult and embryonic stem cell marketplace, including products manufactured using our </w:t>
      </w:r>
      <w:r>
        <w:rPr>
          <w:rFonts w:ascii="Arial" w:cs="Arial" w:eastAsia="Arial" w:hAnsi="Arial"/>
          <w:sz w:val="14"/>
          <w:szCs w:val="14"/>
          <w:i w:val="1"/>
          <w:iCs w:val="1"/>
          <w:color w:val="auto"/>
        </w:rPr>
        <w:t>PureStem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technology. Recent publications have highlighted the combined use of </w:t>
      </w:r>
      <w:r>
        <w:rPr>
          <w:rFonts w:ascii="Arial" w:cs="Arial" w:eastAsia="Arial" w:hAnsi="Arial"/>
          <w:sz w:val="14"/>
          <w:szCs w:val="14"/>
          <w:i w:val="1"/>
          <w:iCs w:val="1"/>
          <w:color w:val="auto"/>
        </w:rPr>
        <w:t>HyStem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hydrogels with </w:t>
      </w:r>
      <w:r>
        <w:rPr>
          <w:rFonts w:ascii="Arial" w:cs="Arial" w:eastAsia="Arial" w:hAnsi="Arial"/>
          <w:sz w:val="14"/>
          <w:szCs w:val="14"/>
          <w:i w:val="1"/>
          <w:iCs w:val="1"/>
          <w:color w:val="auto"/>
        </w:rPr>
        <w:t>PureStem</w:t>
      </w:r>
      <w:r>
        <w:rPr>
          <w:rFonts w:ascii="Arial" w:cs="Arial" w:eastAsia="Arial" w:hAnsi="Arial"/>
          <w:sz w:val="22"/>
          <w:szCs w:val="22"/>
          <w:color w:val="auto"/>
          <w:vertAlign w:val="superscript"/>
        </w:rPr>
        <w:t>®</w:t>
      </w:r>
      <w:r>
        <w:rPr>
          <w:rFonts w:ascii="Arial" w:cs="Arial" w:eastAsia="Arial" w:hAnsi="Arial"/>
          <w:sz w:val="14"/>
          <w:szCs w:val="14"/>
          <w:color w:val="auto"/>
        </w:rPr>
        <w:t xml:space="preserve"> progenitors resulting in a combined product that produces cartilage- producing cell masses known as chondrocytes. We call this experimental product </w:t>
      </w:r>
      <w:r>
        <w:rPr>
          <w:rFonts w:ascii="Arial" w:cs="Arial" w:eastAsia="Arial" w:hAnsi="Arial"/>
          <w:sz w:val="14"/>
          <w:szCs w:val="14"/>
          <w:i w:val="1"/>
          <w:iCs w:val="1"/>
          <w:color w:val="auto"/>
        </w:rPr>
        <w:t>HyStem</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-4D</w:t>
      </w:r>
      <w:r>
        <w:rPr>
          <w:rFonts w:ascii="Arial" w:cs="Arial" w:eastAsia="Arial" w:hAnsi="Arial"/>
          <w:sz w:val="14"/>
          <w:szCs w:val="14"/>
          <w:color w:val="auto"/>
        </w:rPr>
        <w:t>. In collaboration with William Marsh Rice University, we are also using</w:t>
      </w:r>
      <w:r>
        <w:rPr>
          <w:rFonts w:ascii="Arial" w:cs="Arial" w:eastAsia="Arial" w:hAnsi="Arial"/>
          <w:sz w:val="14"/>
          <w:szCs w:val="14"/>
          <w:i w:val="1"/>
          <w:iCs w:val="1"/>
          <w:color w:val="auto"/>
        </w:rPr>
        <w:t xml:space="preserve"> HyStem</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technology to develop 3D cell culture platforms for improved methods of screening</w:t>
      </w:r>
      <w:r>
        <w:rPr>
          <w:rFonts w:ascii="Arial" w:cs="Arial" w:eastAsia="Arial" w:hAnsi="Arial"/>
          <w:sz w:val="14"/>
          <w:szCs w:val="14"/>
          <w:i w:val="1"/>
          <w:iCs w:val="1"/>
          <w:color w:val="auto"/>
        </w:rPr>
        <w:t xml:space="preserve"> </w:t>
      </w:r>
      <w:r>
        <w:rPr>
          <w:rFonts w:ascii="Arial" w:cs="Arial" w:eastAsia="Arial" w:hAnsi="Arial"/>
          <w:sz w:val="14"/>
          <w:szCs w:val="14"/>
          <w:color w:val="auto"/>
        </w:rPr>
        <w:t>new anti-cancer drug candidates</w:t>
      </w:r>
    </w:p>
    <w:p>
      <w:pPr>
        <w:spacing w:after="0" w:line="196" w:lineRule="exact"/>
        <w:rPr>
          <w:sz w:val="20"/>
          <w:szCs w:val="20"/>
          <w:color w:val="auto"/>
        </w:rPr>
      </w:pPr>
    </w:p>
    <w:p>
      <w:pPr>
        <w:jc w:val="both"/>
        <w:ind w:right="260" w:firstLine="567"/>
        <w:spacing w:after="0" w:line="220" w:lineRule="auto"/>
        <w:rPr>
          <w:sz w:val="20"/>
          <w:szCs w:val="20"/>
          <w:color w:val="auto"/>
        </w:rPr>
      </w:pPr>
      <w:r>
        <w:rPr>
          <w:rFonts w:ascii="Arial" w:cs="Arial" w:eastAsia="Arial" w:hAnsi="Arial"/>
          <w:sz w:val="16"/>
          <w:szCs w:val="16"/>
          <w:color w:val="auto"/>
        </w:rPr>
        <w:t xml:space="preserve">We have submitted a Device Master File (called an MAF) to the FDA with the details of the manufacturing, testing, and biocompatibility of the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hydrogels, of which </w:t>
      </w:r>
      <w:r>
        <w:rPr>
          <w:rFonts w:ascii="Arial" w:cs="Arial" w:eastAsia="Arial" w:hAnsi="Arial"/>
          <w:sz w:val="16"/>
          <w:szCs w:val="16"/>
          <w:i w:val="1"/>
          <w:iCs w:val="1"/>
          <w:color w:val="auto"/>
        </w:rPr>
        <w:t>Renevia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one version. The MAF was filed in order to allow the FDA to easily access the manufacturing and biocompatibility information to support any future clinical studies that third party investigators may elect to initiate for their cell or drug products utilizing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hydrogels.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OncoCyte: Novel Cancer Diagnostics and Therapeutics.</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Formed in 2009, OncoCyte is developing novel products for the diagnosis and treatment of cancer in order to improve the quality and length of life of cancer patients.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OncoCyte is presently focusing its efforts on developing </w:t>
      </w:r>
      <w:r>
        <w:rPr>
          <w:rFonts w:ascii="Arial" w:cs="Arial" w:eastAsia="Arial" w:hAnsi="Arial"/>
          <w:sz w:val="16"/>
          <w:szCs w:val="16"/>
          <w:i w:val="1"/>
          <w:iCs w:val="1"/>
          <w:color w:val="auto"/>
        </w:rPr>
        <w:t>PanC-Dx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diagnostic products for use in detecting breast, bladder, and lung cancers.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PanC-Dx</w:t>
      </w:r>
      <w:r>
        <w:rPr>
          <w:rFonts w:ascii="Arial" w:cs="Arial" w:eastAsia="Arial" w:hAnsi="Arial"/>
          <w:sz w:val="26"/>
          <w:szCs w:val="26"/>
          <w:b w:val="1"/>
          <w:bCs w:val="1"/>
          <w:color w:val="auto"/>
          <w:vertAlign w:val="superscript"/>
        </w:rPr>
        <w:t>™</w:t>
      </w:r>
      <w:r>
        <w:rPr>
          <w:rFonts w:ascii="Arial" w:cs="Arial" w:eastAsia="Arial" w:hAnsi="Arial"/>
          <w:sz w:val="16"/>
          <w:szCs w:val="16"/>
          <w:b w:val="1"/>
          <w:bCs w:val="1"/>
          <w:i w:val="1"/>
          <w:iCs w:val="1"/>
          <w:color w:val="auto"/>
        </w:rPr>
        <w:t xml:space="preserve"> for Diagnosis of Cancer</w:t>
      </w:r>
    </w:p>
    <w:p>
      <w:pPr>
        <w:spacing w:after="0" w:line="107" w:lineRule="exact"/>
        <w:rPr>
          <w:sz w:val="20"/>
          <w:szCs w:val="20"/>
          <w:color w:val="auto"/>
        </w:rPr>
      </w:pPr>
    </w:p>
    <w:p>
      <w:pPr>
        <w:ind w:right="20" w:firstLine="567"/>
        <w:spacing w:after="0" w:line="197" w:lineRule="auto"/>
        <w:rPr>
          <w:sz w:val="20"/>
          <w:szCs w:val="20"/>
          <w:color w:val="auto"/>
        </w:rPr>
      </w:pPr>
      <w:r>
        <w:rPr>
          <w:rFonts w:ascii="Arial" w:cs="Arial" w:eastAsia="Arial" w:hAnsi="Arial"/>
          <w:sz w:val="16"/>
          <w:szCs w:val="16"/>
          <w:color w:val="auto"/>
        </w:rPr>
        <w:t xml:space="preserve">OncoCyte’s lead product is </w:t>
      </w:r>
      <w:r>
        <w:rPr>
          <w:rFonts w:ascii="Arial" w:cs="Arial" w:eastAsia="Arial" w:hAnsi="Arial"/>
          <w:sz w:val="16"/>
          <w:szCs w:val="16"/>
          <w:i w:val="1"/>
          <w:iCs w:val="1"/>
          <w:color w:val="auto"/>
        </w:rPr>
        <w:t>PanC-Dx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 class of non-invasive cancer diagnostics based on a proprietary set of cancer markers characterized, in part, by broad gene expression patterns in numerous cancer types. The diagnostic products under development are designed to detect cancer using simple, low cost blood tests or, in the case of bladder cancer, a urine test. The apparent high correlation of certain combinations of biomarkers in breast cancer and bladder cancer has made these indications attractive initial targets. OncoCyte is also evaluating markers that may be used in a </w:t>
      </w:r>
      <w:r>
        <w:rPr>
          <w:rFonts w:ascii="Arial" w:cs="Arial" w:eastAsia="Arial" w:hAnsi="Arial"/>
          <w:sz w:val="16"/>
          <w:szCs w:val="16"/>
          <w:i w:val="1"/>
          <w:iCs w:val="1"/>
          <w:color w:val="auto"/>
        </w:rPr>
        <w:t>PanC-Dx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screen for lung cancer. Clinical studies designed to test the performance of </w:t>
      </w:r>
      <w:r>
        <w:rPr>
          <w:rFonts w:ascii="Arial" w:cs="Arial" w:eastAsia="Arial" w:hAnsi="Arial"/>
          <w:sz w:val="16"/>
          <w:szCs w:val="16"/>
          <w:i w:val="1"/>
          <w:iCs w:val="1"/>
          <w:color w:val="auto"/>
        </w:rPr>
        <w:t>PanC-Dx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markers in these three cancers are currently underway, and completion of the studies is expected by the end of 2014. The performance of the marker panels in determining the presence or the progression of disease in various categories of patients in these clinical studies will determine the specific nature of the tests to be developed and the approval pathway that OncoCyte will pursue.</w:t>
      </w:r>
    </w:p>
    <w:p>
      <w:pPr>
        <w:spacing w:after="0" w:line="196" w:lineRule="exact"/>
        <w:rPr>
          <w:sz w:val="20"/>
          <w:szCs w:val="20"/>
          <w:color w:val="auto"/>
        </w:rPr>
      </w:pPr>
    </w:p>
    <w:p>
      <w:pPr>
        <w:ind w:right="60" w:firstLine="567"/>
        <w:spacing w:after="0" w:line="262"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PanC-Dx</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biomarkers were discovered as a result of ongoing research within OncoCyte and BioTime on the gene expression patterns associated with embryonic development. This research has demonstrated that many of the same genes associated with normal growth during development are abnormally reactivated by cancer cells. These genes regulate such diverse processes as cell proliferation, cell migration and blood vessel formation. Many of these genes have not been previously associated with cancer. Moreover, expression of a large subset of these genes is found across numerous cancer types (e.g. cancers of the breast, colon, ovaries, etc.), suggesting these genes may control fundamental processes during cancer growth and progression. In addition to their potential value in developing diagnostic biomarkers, an understanding of the pattern of expression of these genes may also enable the development of powerful new cancer therapeutics that target rapidly proliferating cancer cells.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3" w:name="page14"/>
    <w:bookmarkEnd w:id="1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firstLine="567"/>
        <w:spacing w:after="0" w:line="230" w:lineRule="auto"/>
        <w:rPr>
          <w:sz w:val="20"/>
          <w:szCs w:val="20"/>
          <w:color w:val="auto"/>
        </w:rPr>
      </w:pPr>
      <w:r>
        <w:rPr>
          <w:rFonts w:ascii="Arial" w:cs="Arial" w:eastAsia="Arial" w:hAnsi="Arial"/>
          <w:sz w:val="16"/>
          <w:szCs w:val="16"/>
          <w:color w:val="auto"/>
        </w:rPr>
        <w:t xml:space="preserve">OncoCyte has initiated clinical development of its bladder cancer diagnostic test in both the United States and China. In the United States, OncoCyte has entered into a Clinical Trial Agreement with a leading medical institution with an international reputation for excellence and discovery, while in China, OncoCyte has entered into a Fee-for-Service Agreement with China Medicine Inc., a contract research organization serving nine major medical institutions. The goal of these clinical studies is the testing of OncoCyte’s proprietary diagnostic technology in the most common type of bladder cancer, urothelial carcinoma (“UC”) (previously designated transitional cell carcinoma). Investigators in the collaborating institutions will collect urine samples from patients at the time of bladder cancer diagnosis as well as from those with a risk for recurrent disease. In certain cases, current standard-of-care diagnostic strategies such as the cellular microscopic analysis of the urine samples will be compared with OncoCyte’s proprietary markers. A statistical analysis of these and other results will be performed to determine the overall relative performance of OncoCyte’s </w:t>
      </w:r>
      <w:r>
        <w:rPr>
          <w:rFonts w:ascii="Arial" w:cs="Arial" w:eastAsia="Arial" w:hAnsi="Arial"/>
          <w:sz w:val="16"/>
          <w:szCs w:val="16"/>
          <w:i w:val="1"/>
          <w:iCs w:val="1"/>
          <w:color w:val="auto"/>
        </w:rPr>
        <w:t>PanC-Dx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markers. Completion of these studies is expected by late 2014.</w:t>
      </w:r>
    </w:p>
    <w:p>
      <w:pPr>
        <w:spacing w:after="0" w:line="205" w:lineRule="exact"/>
        <w:rPr>
          <w:sz w:val="20"/>
          <w:szCs w:val="20"/>
          <w:color w:val="auto"/>
        </w:rPr>
      </w:pPr>
    </w:p>
    <w:p>
      <w:pPr>
        <w:ind w:firstLine="567"/>
        <w:spacing w:after="0" w:line="267" w:lineRule="auto"/>
        <w:rPr>
          <w:sz w:val="20"/>
          <w:szCs w:val="20"/>
          <w:color w:val="auto"/>
        </w:rPr>
      </w:pPr>
      <w:r>
        <w:rPr>
          <w:rFonts w:ascii="Arial" w:cs="Arial" w:eastAsia="Arial" w:hAnsi="Arial"/>
          <w:sz w:val="15"/>
          <w:szCs w:val="15"/>
          <w:color w:val="auto"/>
        </w:rPr>
        <w:t>The ability of the markers tested in the studies to determine the absence, presence, or progression of UC in patients will determine the specific nature of the bladder cancer test to be developed and the regulatory approval pathway that OncoCyte will pursue. UC constitutes more than 90% of bladder cancers in the Americas, Europe and Asia. Although most patients with bladder cancer can be treated with organ-sparing chemotherapy, UC has a relapse rate of nearly 70% and can progress to invasive, metastatic, and lethal disease. The regular surveillance and treatment of recurrent disease from the time of diagnosis for the remainder of a patient’s life makes UC the most costly malignancy on a per patient basis. The problem is amplified because the standard of care for surveillance – microscopic assessment of urinary cytology specimens – often lacks the sensitivity sufficient to ever declare a patient truly disease free. While cytology has a very high positive predictive value (low false positive rate), it has a low negative predictive value and a high indeterminate rate. Patients who have indeterminate urine cytology results commonly undergo cystoscopy, which is painful, time consuming, costly, and unnecessary in many cases since a neoplasm is often not present. In UC, as in virtually all other cancers, earlier and more accurate diagnosis, including diagnosis of disease recurrence, is generally associated with better outcomes and lower cost.</w:t>
      </w:r>
    </w:p>
    <w:p>
      <w:pPr>
        <w:spacing w:after="0" w:line="187" w:lineRule="exact"/>
        <w:rPr>
          <w:sz w:val="20"/>
          <w:szCs w:val="20"/>
          <w:color w:val="auto"/>
        </w:rPr>
      </w:pPr>
    </w:p>
    <w:p>
      <w:pPr>
        <w:ind w:right="20" w:firstLine="567"/>
        <w:spacing w:after="0" w:line="251" w:lineRule="auto"/>
        <w:rPr>
          <w:sz w:val="20"/>
          <w:szCs w:val="20"/>
          <w:color w:val="auto"/>
        </w:rPr>
      </w:pPr>
      <w:r>
        <w:rPr>
          <w:rFonts w:ascii="Arial" w:cs="Arial" w:eastAsia="Arial" w:hAnsi="Arial"/>
          <w:sz w:val="16"/>
          <w:szCs w:val="16"/>
          <w:color w:val="auto"/>
        </w:rPr>
        <w:t>Overall markets for bladder cancer diagnostics are large and growing. Based on National Cancer Institute statistics released in 2012, it was estimated that in 2013 over 72,000 new cases of bladder cancer would occur in the United States and a total of over 550,000 men and women alive would have a history of bladder cancer and be subject to recurrence surveillance testing using cystoscopy or urine cytology. Based on data released in 2012, the overall incidence of bladder cancer in China is 6.1 cases per 100,000 individuals. That number is expected to increase markedly in the next two decades. It is estimated that the annual number of urine cytological analyses performed in the U.S. is over 1.5 million, with more than 3 million tests performed annually in the developed world.</w:t>
      </w:r>
    </w:p>
    <w:p>
      <w:pPr>
        <w:spacing w:after="0" w:line="196" w:lineRule="exact"/>
        <w:rPr>
          <w:sz w:val="20"/>
          <w:szCs w:val="20"/>
          <w:color w:val="auto"/>
        </w:rPr>
      </w:pPr>
    </w:p>
    <w:p>
      <w:pPr>
        <w:ind w:firstLine="567"/>
        <w:spacing w:after="0" w:line="228" w:lineRule="auto"/>
        <w:rPr>
          <w:sz w:val="20"/>
          <w:szCs w:val="20"/>
          <w:color w:val="auto"/>
        </w:rPr>
      </w:pPr>
      <w:r>
        <w:rPr>
          <w:rFonts w:ascii="Arial" w:cs="Arial" w:eastAsia="Arial" w:hAnsi="Arial"/>
          <w:sz w:val="16"/>
          <w:szCs w:val="16"/>
          <w:color w:val="auto"/>
        </w:rPr>
        <w:t xml:space="preserve">During October 2013, OncoCyte entered into a Sponsored Research Agreement and a Material Transfer Agreement with The Wistar Institute to collaboratively develop lung cancer diagnostic products. As part of the collaboration, Wistar investigators are conducting a multi-center patient study in which they are assessing gene expression patterns in blood cells of patients with malignant versus non-malignant lung disease. OncoCyte scientists will analyze blood samples obtained from patients in the study to determine levels of tumor-associated proteins using its proprietary </w:t>
      </w:r>
      <w:r>
        <w:rPr>
          <w:rFonts w:ascii="Arial" w:cs="Arial" w:eastAsia="Arial" w:hAnsi="Arial"/>
          <w:sz w:val="16"/>
          <w:szCs w:val="16"/>
          <w:i w:val="1"/>
          <w:iCs w:val="1"/>
          <w:color w:val="auto"/>
        </w:rPr>
        <w:t>PanC-Dx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diagnostic tests. The performance of markers tested in the study in determining the presence or the progression of disease in various categories of patients may determine the specific nature of the lung cancer test to be developed and the regulatory approval pathway that OncoCyte will pursue. OncoCyte will have an option to exclusively license any inventions, discoveries or technology developed by Wistar, or by OncoCyte using Wistar technology, in the course of the collaborative research.</w:t>
      </w:r>
    </w:p>
    <w:p>
      <w:pPr>
        <w:spacing w:after="0" w:line="203" w:lineRule="exact"/>
        <w:rPr>
          <w:sz w:val="20"/>
          <w:szCs w:val="20"/>
          <w:color w:val="auto"/>
        </w:rPr>
      </w:pPr>
    </w:p>
    <w:p>
      <w:pPr>
        <w:ind w:right="220" w:firstLine="567"/>
        <w:spacing w:after="0" w:line="257" w:lineRule="auto"/>
        <w:rPr>
          <w:sz w:val="20"/>
          <w:szCs w:val="20"/>
          <w:color w:val="auto"/>
        </w:rPr>
      </w:pPr>
      <w:r>
        <w:rPr>
          <w:rFonts w:ascii="Arial" w:cs="Arial" w:eastAsia="Arial" w:hAnsi="Arial"/>
          <w:sz w:val="16"/>
          <w:szCs w:val="16"/>
          <w:color w:val="auto"/>
        </w:rPr>
        <w:t>Lung cancer remains a primary cause of cancer-related death, in part because there is no effective diagnostic test to screen patients for lung cancer at an early stage. The current study is being conducted on patients recruited through grant partners at multiple clinical sites. Thus far over 400 patient samples out of a planned total of 600 have been obtained. Completion of the study, which began mid-2012, is expected in mid-2014</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 w:name="page15"/>
    <w:bookmarkEnd w:id="1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OncoCyte has achieved several key advances in its </w:t>
      </w:r>
      <w:r>
        <w:rPr>
          <w:rFonts w:ascii="Arial" w:cs="Arial" w:eastAsia="Arial" w:hAnsi="Arial"/>
          <w:sz w:val="16"/>
          <w:szCs w:val="16"/>
          <w:i w:val="1"/>
          <w:iCs w:val="1"/>
          <w:color w:val="auto"/>
        </w:rPr>
        <w:t>PanC-Dx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program during 2013, including:</w:t>
      </w:r>
    </w:p>
    <w:p>
      <w:pPr>
        <w:spacing w:after="0" w:line="111" w:lineRule="exact"/>
        <w:rPr>
          <w:sz w:val="20"/>
          <w:szCs w:val="20"/>
          <w:color w:val="auto"/>
        </w:rPr>
      </w:pPr>
    </w:p>
    <w:p>
      <w:pPr>
        <w:ind w:left="840" w:hanging="278"/>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6"/>
          <w:szCs w:val="16"/>
          <w:color w:val="auto"/>
        </w:rPr>
        <w:t>Entrance into Sponsored Research and Material Transfer Agreements with the Wistar Institute to collaboratively develop lung cancer diagnostics;</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6"/>
          <w:szCs w:val="16"/>
          <w:color w:val="auto"/>
        </w:rPr>
        <w:t>Formalization of additional relationships with key opinion leaders at major medical institutions to advance breast and bladder cancer programs;</w:t>
      </w:r>
    </w:p>
    <w:p>
      <w:pPr>
        <w:spacing w:after="0" w:line="218" w:lineRule="exact"/>
        <w:rPr>
          <w:rFonts w:ascii="Arial" w:cs="Arial" w:eastAsia="Arial" w:hAnsi="Arial"/>
          <w:sz w:val="17"/>
          <w:szCs w:val="17"/>
          <w:color w:val="auto"/>
        </w:rPr>
      </w:pPr>
    </w:p>
    <w:p>
      <w:pPr>
        <w:ind w:left="840" w:right="660" w:hanging="278"/>
        <w:spacing w:after="0" w:line="261"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6"/>
          <w:szCs w:val="16"/>
          <w:color w:val="auto"/>
        </w:rPr>
        <w:t xml:space="preserve">Institutional review board (IRB) approval and initiation of a large, prospective multicenter patient study at Scottsdale Medical Imaging Laboratories to assess performance of </w:t>
      </w:r>
      <w:r>
        <w:rPr>
          <w:rFonts w:ascii="Arial" w:cs="Arial" w:eastAsia="Arial" w:hAnsi="Arial"/>
          <w:sz w:val="16"/>
          <w:szCs w:val="16"/>
          <w:i w:val="1"/>
          <w:iCs w:val="1"/>
          <w:color w:val="auto"/>
        </w:rPr>
        <w:t>PanC-Dx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markers in women undergoing mammography;</w:t>
      </w:r>
    </w:p>
    <w:p>
      <w:pPr>
        <w:spacing w:after="0" w:line="53" w:lineRule="exact"/>
        <w:rPr>
          <w:rFonts w:ascii="Arial" w:cs="Arial" w:eastAsia="Arial" w:hAnsi="Arial"/>
          <w:sz w:val="17"/>
          <w:szCs w:val="17"/>
          <w:color w:val="auto"/>
        </w:rPr>
      </w:pPr>
    </w:p>
    <w:p>
      <w:pPr>
        <w:ind w:left="840" w:hanging="278"/>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6"/>
          <w:szCs w:val="16"/>
          <w:color w:val="auto"/>
        </w:rPr>
        <w:t>Continued manufacturing and characterization of monoclonal antibodies for potential use in diagnostic kits; and</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6"/>
          <w:szCs w:val="16"/>
          <w:color w:val="auto"/>
        </w:rPr>
        <w:t xml:space="preserve">Publication of results relating to </w:t>
      </w:r>
      <w:r>
        <w:rPr>
          <w:rFonts w:ascii="Arial" w:cs="Arial" w:eastAsia="Arial" w:hAnsi="Arial"/>
          <w:sz w:val="16"/>
          <w:szCs w:val="16"/>
          <w:i w:val="1"/>
          <w:iCs w:val="1"/>
          <w:color w:val="auto"/>
        </w:rPr>
        <w:t>FSIP1</w:t>
      </w:r>
      <w:r>
        <w:rPr>
          <w:rFonts w:ascii="Arial" w:cs="Arial" w:eastAsia="Arial" w:hAnsi="Arial"/>
          <w:sz w:val="16"/>
          <w:szCs w:val="16"/>
          <w:color w:val="auto"/>
        </w:rPr>
        <w:t>, a marker unique to breast cancer.</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OncoCyte’s key goals for 2014 will be:</w:t>
      </w:r>
    </w:p>
    <w:p>
      <w:pPr>
        <w:spacing w:after="0" w:line="218" w:lineRule="exact"/>
        <w:rPr>
          <w:sz w:val="20"/>
          <w:szCs w:val="20"/>
          <w:color w:val="auto"/>
        </w:rPr>
      </w:pPr>
    </w:p>
    <w:p>
      <w:pPr>
        <w:ind w:left="840" w:hanging="278"/>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6"/>
          <w:szCs w:val="16"/>
          <w:color w:val="auto"/>
        </w:rPr>
        <w:t>Recruitment and initiation of additional clinical study sites for breast, bladder and lung cancer diagnostics;</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6"/>
          <w:szCs w:val="16"/>
          <w:color w:val="auto"/>
        </w:rPr>
        <w:t>Completion of ongoing clinical studies in breast, bladder and lung cancer diagnostics;</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6"/>
          <w:szCs w:val="16"/>
          <w:color w:val="auto"/>
        </w:rPr>
        <w:t>Assessments of clinical study data and strategic product development path decisions in breast, bladder and lung cancer programs;</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6"/>
          <w:szCs w:val="16"/>
          <w:color w:val="auto"/>
        </w:rPr>
        <w:t>Presentation of key findings at major oncology-related scientific conferences; and</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6"/>
          <w:szCs w:val="16"/>
          <w:color w:val="auto"/>
        </w:rPr>
        <w:t>Submission of manuscripts to peer-reviewed scientific journals for publication.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Cancer Therapy</w:t>
      </w:r>
    </w:p>
    <w:p>
      <w:pPr>
        <w:spacing w:after="0" w:line="210" w:lineRule="exact"/>
        <w:rPr>
          <w:sz w:val="20"/>
          <w:szCs w:val="20"/>
          <w:color w:val="auto"/>
        </w:rPr>
      </w:pPr>
    </w:p>
    <w:p>
      <w:pPr>
        <w:ind w:right="140" w:firstLine="567"/>
        <w:spacing w:after="0" w:line="224" w:lineRule="auto"/>
        <w:rPr>
          <w:sz w:val="20"/>
          <w:szCs w:val="20"/>
          <w:color w:val="auto"/>
        </w:rPr>
      </w:pPr>
      <w:r>
        <w:rPr>
          <w:rFonts w:ascii="Arial" w:cs="Arial" w:eastAsia="Arial" w:hAnsi="Arial"/>
          <w:sz w:val="14"/>
          <w:szCs w:val="14"/>
          <w:color w:val="auto"/>
        </w:rPr>
        <w:t xml:space="preserve">Although OncoCyte is presently devoting its research and development efforts to </w:t>
      </w:r>
      <w:r>
        <w:rPr>
          <w:rFonts w:ascii="Arial" w:cs="Arial" w:eastAsia="Arial" w:hAnsi="Arial"/>
          <w:sz w:val="14"/>
          <w:szCs w:val="14"/>
          <w:i w:val="1"/>
          <w:iCs w:val="1"/>
          <w:color w:val="auto"/>
        </w:rPr>
        <w:t>PanC-Dx</w:t>
      </w:r>
      <w:r>
        <w:rPr>
          <w:rFonts w:ascii="Arial" w:cs="Arial" w:eastAsia="Arial" w:hAnsi="Arial"/>
          <w:sz w:val="23"/>
          <w:szCs w:val="23"/>
          <w:color w:val="auto"/>
          <w:vertAlign w:val="superscript"/>
        </w:rPr>
        <w:t>™</w:t>
      </w:r>
      <w:r>
        <w:rPr>
          <w:rFonts w:ascii="Arial" w:cs="Arial" w:eastAsia="Arial" w:hAnsi="Arial"/>
          <w:sz w:val="14"/>
          <w:szCs w:val="14"/>
          <w:color w:val="auto"/>
        </w:rPr>
        <w:t>, OncoCyte has also conducted research to derive vascular endothelial cells engineered to deliver a toxic payload to the developing blood vessels of a tumor, with the aim of removing malignant tumors while not affecting nearby normal tissues in the body.</w:t>
      </w:r>
    </w:p>
    <w:p>
      <w:pPr>
        <w:spacing w:after="0" w:line="202" w:lineRule="exact"/>
        <w:rPr>
          <w:sz w:val="20"/>
          <w:szCs w:val="20"/>
          <w:color w:val="auto"/>
        </w:rPr>
      </w:pPr>
    </w:p>
    <w:p>
      <w:pPr>
        <w:ind w:right="100" w:firstLine="567"/>
        <w:spacing w:after="0" w:line="301" w:lineRule="auto"/>
        <w:rPr>
          <w:sz w:val="20"/>
          <w:szCs w:val="20"/>
          <w:color w:val="auto"/>
        </w:rPr>
      </w:pPr>
      <w:r>
        <w:rPr>
          <w:rFonts w:ascii="Arial" w:cs="Arial" w:eastAsia="Arial" w:hAnsi="Arial"/>
          <w:sz w:val="14"/>
          <w:szCs w:val="14"/>
          <w:color w:val="auto"/>
        </w:rPr>
        <w:t>The progression of human solid tumors almost always requires the development of a support network of blood vessels to provide nutrients to the expanding tumor mass. The developing tumor vasculature affords an attractive target for anti-cancer therapeutics. Drugs targeting the growth of blood vessels have shown some efficacy in specific cancer applications. However, there is clear need for additional therapeutic approaches that can be used to treat advanced, metastatic cancers. OncoCyte intends to develop a new class of cellular therapeutics that would specifically target the development of tumor vasculature in advanced cancers as an entry point for the delivery of regulated tumoricidal activities.</w:t>
      </w:r>
    </w:p>
    <w:p>
      <w:pPr>
        <w:spacing w:after="0" w:line="161" w:lineRule="exact"/>
        <w:rPr>
          <w:sz w:val="20"/>
          <w:szCs w:val="20"/>
          <w:color w:val="auto"/>
        </w:rPr>
      </w:pPr>
    </w:p>
    <w:p>
      <w:pPr>
        <w:ind w:right="140" w:firstLine="567"/>
        <w:spacing w:after="0" w:line="253" w:lineRule="auto"/>
        <w:rPr>
          <w:sz w:val="20"/>
          <w:szCs w:val="20"/>
          <w:color w:val="auto"/>
        </w:rPr>
      </w:pPr>
      <w:r>
        <w:rPr>
          <w:rFonts w:ascii="Arial" w:cs="Arial" w:eastAsia="Arial" w:hAnsi="Arial"/>
          <w:sz w:val="16"/>
          <w:szCs w:val="16"/>
          <w:color w:val="auto"/>
        </w:rPr>
        <w:t>Through the acquisition of Cell Targeting, Inc., OncoCyte has access to technology that uses peptides selected for their ability to adhere to diseased tissues. By coating or "painting" these peptides onto the surface of therapeutic cells using techniques that do not modify the cell physiology, OncoCyte has been able to produce tissue-specific and disease-specific cell modification agents. This technology may be used in conjunction with the development of genetically modified hES-derived vascular progenitors designed to target and destroy malignant tumors.</w:t>
      </w:r>
    </w:p>
    <w:p>
      <w:pPr>
        <w:spacing w:after="0" w:line="193" w:lineRule="exact"/>
        <w:rPr>
          <w:sz w:val="20"/>
          <w:szCs w:val="20"/>
          <w:color w:val="auto"/>
        </w:rPr>
      </w:pPr>
    </w:p>
    <w:p>
      <w:pPr>
        <w:ind w:firstLine="567"/>
        <w:spacing w:after="0" w:line="257" w:lineRule="auto"/>
        <w:rPr>
          <w:sz w:val="20"/>
          <w:szCs w:val="20"/>
          <w:color w:val="auto"/>
        </w:rPr>
      </w:pPr>
      <w:r>
        <w:rPr>
          <w:rFonts w:ascii="Arial" w:cs="Arial" w:eastAsia="Arial" w:hAnsi="Arial"/>
          <w:sz w:val="16"/>
          <w:szCs w:val="16"/>
          <w:color w:val="auto"/>
        </w:rPr>
        <w:t>We presently own 75.3% of the OncoCyte common stock outstanding. The other shares of OncoCyte common stock are owned by two private investors. OncoCyte has adopted a stock option plan under which it may issue up to 4,000,000 shares of its common stock to officers, directors, employees, and consultants of OncoCyte and BioTime. As of December 31, 2013, options to purchase 2,750,000 shares of OncoCyte common stock had been granted.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5" w:name="page16"/>
    <w:bookmarkEnd w:id="1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Asterias: Stem Cell Therapies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Asterias and the Asset Contribution Agreement</w:t>
      </w:r>
    </w:p>
    <w:p>
      <w:pPr>
        <w:spacing w:after="0" w:line="218" w:lineRule="exact"/>
        <w:rPr>
          <w:sz w:val="20"/>
          <w:szCs w:val="20"/>
          <w:color w:val="auto"/>
        </w:rPr>
      </w:pPr>
    </w:p>
    <w:p>
      <w:pPr>
        <w:ind w:right="120" w:firstLine="567"/>
        <w:spacing w:after="0" w:line="301" w:lineRule="auto"/>
        <w:rPr>
          <w:sz w:val="20"/>
          <w:szCs w:val="20"/>
          <w:color w:val="auto"/>
        </w:rPr>
      </w:pPr>
      <w:r>
        <w:rPr>
          <w:rFonts w:ascii="Arial" w:cs="Arial" w:eastAsia="Arial" w:hAnsi="Arial"/>
          <w:sz w:val="15"/>
          <w:szCs w:val="15"/>
          <w:color w:val="auto"/>
        </w:rPr>
        <w:t>During September 2012, we formed Asterias to acquire assets in the stem cell field for use in developing and commercializing products for regenerative medicine. During January 2013, Asterias entered into an Asset Contribution Agreement to acquire assets that Geron had used in its stem cell research and development programs.</w:t>
      </w:r>
    </w:p>
    <w:p>
      <w:pPr>
        <w:spacing w:after="0" w:line="158" w:lineRule="exact"/>
        <w:rPr>
          <w:sz w:val="20"/>
          <w:szCs w:val="20"/>
          <w:color w:val="auto"/>
        </w:rPr>
      </w:pPr>
    </w:p>
    <w:p>
      <w:pPr>
        <w:ind w:right="20" w:firstLine="567"/>
        <w:spacing w:after="0" w:line="257" w:lineRule="auto"/>
        <w:rPr>
          <w:sz w:val="20"/>
          <w:szCs w:val="20"/>
          <w:color w:val="auto"/>
        </w:rPr>
      </w:pPr>
      <w:r>
        <w:rPr>
          <w:rFonts w:ascii="Arial" w:cs="Arial" w:eastAsia="Arial" w:hAnsi="Arial"/>
          <w:sz w:val="16"/>
          <w:szCs w:val="16"/>
          <w:color w:val="auto"/>
        </w:rPr>
        <w:t>Asterias’ acquisition of the Geron stem cell assets pursuant to the Asset Contribution Agreement was completed on October 1, 2013. Asterias issued 6,537,779 shares of its Series A common stock to Geron and 21,773,340 shares of Asterias Series B common stock and warrants to purchase an additional 3,150,000 shares of Asterias Series B common stock to BioTime. See Note 15 to Consolidated Financial Statements.</w:t>
      </w:r>
    </w:p>
    <w:p>
      <w:pPr>
        <w:spacing w:after="0" w:line="189" w:lineRule="exact"/>
        <w:rPr>
          <w:sz w:val="20"/>
          <w:szCs w:val="20"/>
          <w:color w:val="auto"/>
        </w:rPr>
      </w:pPr>
    </w:p>
    <w:p>
      <w:pPr>
        <w:ind w:right="40" w:firstLine="567"/>
        <w:spacing w:after="0" w:line="340" w:lineRule="auto"/>
        <w:rPr>
          <w:sz w:val="20"/>
          <w:szCs w:val="20"/>
          <w:color w:val="auto"/>
        </w:rPr>
      </w:pPr>
      <w:r>
        <w:rPr>
          <w:rFonts w:ascii="Arial" w:cs="Arial" w:eastAsia="Arial" w:hAnsi="Arial"/>
          <w:sz w:val="14"/>
          <w:szCs w:val="14"/>
          <w:color w:val="auto"/>
        </w:rPr>
        <w:t>Concurrently with the close of the asset contribution under the Asset Contribution Agreement, Asterias issued 2,136,000 shares of its Series B Common Stock and warrants to purchase 350,000 additional shares of Series B common stock to the private investor for $5,000,000 in cash pursuant to the Stock and Warrant Purchase Agreement.</w:t>
      </w:r>
    </w:p>
    <w:p>
      <w:pPr>
        <w:spacing w:after="0" w:line="135" w:lineRule="exact"/>
        <w:rPr>
          <w:sz w:val="20"/>
          <w:szCs w:val="20"/>
          <w:color w:val="auto"/>
        </w:rPr>
      </w:pPr>
    </w:p>
    <w:p>
      <w:pPr>
        <w:ind w:right="200" w:firstLine="567"/>
        <w:spacing w:after="0" w:line="253" w:lineRule="auto"/>
        <w:rPr>
          <w:sz w:val="20"/>
          <w:szCs w:val="20"/>
          <w:color w:val="auto"/>
        </w:rPr>
      </w:pPr>
      <w:r>
        <w:rPr>
          <w:rFonts w:ascii="Arial" w:cs="Arial" w:eastAsia="Arial" w:hAnsi="Arial"/>
          <w:sz w:val="16"/>
          <w:szCs w:val="16"/>
          <w:color w:val="auto"/>
        </w:rPr>
        <w:t>In connection with its acquisition of the stem cell assets from Geron on October 1, 2013, Asterias entered into a Royalty Agreement with Geron and received from Geron an exclusive sublicense of certain patents owned by the University of Colorado; University License Equity Holdings, Inc. relating to telomerase. The Royalty Agreement and the agreement sublicensing the telomerase patents are described in more detail below under “Licensed Stem Cell Technology and Stem Cell Product Development Agreements – Asterias Royalty Agreement with Geron” and “– Telomerase Sublicenses,”</w:t>
      </w:r>
    </w:p>
    <w:p>
      <w:pPr>
        <w:spacing w:after="0" w:line="170" w:lineRule="exact"/>
        <w:rPr>
          <w:sz w:val="20"/>
          <w:szCs w:val="20"/>
          <w:color w:val="auto"/>
        </w:rPr>
      </w:pPr>
    </w:p>
    <w:p>
      <w:pPr>
        <w:ind w:right="240" w:firstLine="567"/>
        <w:spacing w:after="0" w:line="267" w:lineRule="auto"/>
        <w:rPr>
          <w:sz w:val="20"/>
          <w:szCs w:val="20"/>
          <w:color w:val="auto"/>
        </w:rPr>
      </w:pPr>
      <w:r>
        <w:rPr>
          <w:rFonts w:ascii="Arial" w:cs="Arial" w:eastAsia="Arial" w:hAnsi="Arial"/>
          <w:sz w:val="16"/>
          <w:szCs w:val="16"/>
          <w:color w:val="auto"/>
        </w:rPr>
        <w:t>By acquiring Geron’s stem cell assets, Asterias now has the use of cell lines and other biological materials, patents, and technology developed by Geron over 12 years of work focused in the following complementary areas:</w:t>
      </w:r>
    </w:p>
    <w:p>
      <w:pPr>
        <w:spacing w:after="0" w:line="181" w:lineRule="exact"/>
        <w:rPr>
          <w:sz w:val="20"/>
          <w:szCs w:val="20"/>
          <w:color w:val="auto"/>
        </w:rPr>
      </w:pPr>
    </w:p>
    <w:p>
      <w:pPr>
        <w:ind w:left="840" w:hanging="278"/>
        <w:spacing w:after="0"/>
        <w:tabs>
          <w:tab w:leader="none" w:pos="840" w:val="left"/>
        </w:tabs>
        <w:numPr>
          <w:ilvl w:val="0"/>
          <w:numId w:val="9"/>
        </w:numPr>
        <w:rPr>
          <w:rFonts w:ascii="Arial" w:cs="Arial" w:eastAsia="Arial" w:hAnsi="Arial"/>
          <w:sz w:val="15"/>
          <w:szCs w:val="15"/>
          <w:color w:val="auto"/>
        </w:rPr>
      </w:pPr>
      <w:r>
        <w:rPr>
          <w:rFonts w:ascii="Arial" w:cs="Arial" w:eastAsia="Arial" w:hAnsi="Arial"/>
          <w:sz w:val="14"/>
          <w:szCs w:val="14"/>
          <w:color w:val="auto"/>
        </w:rPr>
        <w:t>The establishment of cell banks of undifferentiated hES cells produced under cGMP and suitable for the manufacture of differentiated cells for human therapeutic use;</w:t>
      </w:r>
    </w:p>
    <w:p>
      <w:pPr>
        <w:spacing w:after="0" w:line="241" w:lineRule="exact"/>
        <w:rPr>
          <w:rFonts w:ascii="Arial" w:cs="Arial" w:eastAsia="Arial" w:hAnsi="Arial"/>
          <w:sz w:val="15"/>
          <w:szCs w:val="15"/>
          <w:color w:val="auto"/>
        </w:rPr>
      </w:pPr>
    </w:p>
    <w:p>
      <w:pPr>
        <w:ind w:left="840" w:hanging="278"/>
        <w:spacing w:after="0" w:line="253"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6"/>
          <w:szCs w:val="16"/>
          <w:color w:val="auto"/>
        </w:rPr>
        <w:t>The development of scalable differentiation methods which convert, at low cost, undifferentiated hES cells into functional cells suitable for human therapeutic cells that can be stored and distributed in the frozen state for “off-the-shelf” use;</w:t>
      </w:r>
    </w:p>
    <w:p>
      <w:pPr>
        <w:spacing w:after="0" w:line="190" w:lineRule="exact"/>
        <w:rPr>
          <w:rFonts w:ascii="Arial" w:cs="Arial" w:eastAsia="Arial" w:hAnsi="Arial"/>
          <w:sz w:val="17"/>
          <w:szCs w:val="17"/>
          <w:color w:val="auto"/>
        </w:rPr>
      </w:pPr>
    </w:p>
    <w:p>
      <w:pPr>
        <w:ind w:left="840" w:hanging="278"/>
        <w:spacing w:after="0" w:line="253"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6"/>
          <w:szCs w:val="16"/>
          <w:color w:val="auto"/>
        </w:rPr>
        <w:t>The development of regulatory paradigms that we believe will be sufficient to satisfy both U.S. and European regulatory authority requirements to begin human clinical testing of products made from hES cells; and</w:t>
      </w:r>
    </w:p>
    <w:p>
      <w:pPr>
        <w:spacing w:after="0" w:line="190" w:lineRule="exact"/>
        <w:rPr>
          <w:rFonts w:ascii="Arial" w:cs="Arial" w:eastAsia="Arial" w:hAnsi="Arial"/>
          <w:sz w:val="17"/>
          <w:szCs w:val="17"/>
          <w:color w:val="auto"/>
        </w:rPr>
      </w:pPr>
    </w:p>
    <w:p>
      <w:pPr>
        <w:ind w:left="840" w:right="300" w:hanging="278"/>
        <w:spacing w:after="0" w:line="252"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6"/>
          <w:szCs w:val="16"/>
          <w:color w:val="auto"/>
        </w:rPr>
        <w:t>The continuous filing and prosecution of patents covering inventions to protect commercialization rights, as well as consummating in-licenses to enable freedom to operate in a variety of fields.</w:t>
      </w:r>
    </w:p>
    <w:p>
      <w:pPr>
        <w:spacing w:after="0" w:line="192" w:lineRule="exact"/>
        <w:rPr>
          <w:sz w:val="20"/>
          <w:szCs w:val="20"/>
          <w:color w:val="auto"/>
        </w:rPr>
      </w:pPr>
    </w:p>
    <w:p>
      <w:pPr>
        <w:ind w:right="300" w:firstLine="567"/>
        <w:spacing w:after="0" w:line="267" w:lineRule="auto"/>
        <w:rPr>
          <w:sz w:val="20"/>
          <w:szCs w:val="20"/>
          <w:color w:val="auto"/>
        </w:rPr>
      </w:pPr>
      <w:r>
        <w:rPr>
          <w:rFonts w:ascii="Arial" w:cs="Arial" w:eastAsia="Arial" w:hAnsi="Arial"/>
          <w:sz w:val="16"/>
          <w:szCs w:val="16"/>
          <w:color w:val="auto"/>
        </w:rPr>
        <w:t>Asterias has acquired a significant portfolio of patents and patent applications, cell lines, and hES technology and know-how related to potential therapeutic products in various stages of development. Two of the products under development have already been used in early stage clinical trials.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6" w:name="page17"/>
    <w:bookmarkEnd w:id="1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product candidates under development from various cell types that Asterias acquired from Geron are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160655</wp:posOffset>
            </wp:positionV>
            <wp:extent cx="7263765" cy="61531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6153150"/>
                    </a:xfrm>
                    <a:prstGeom prst="rect">
                      <a:avLst/>
                    </a:prstGeom>
                    <a:noFill/>
                  </pic:spPr>
                </pic:pic>
              </a:graphicData>
            </a:graphic>
          </wp:anchor>
        </w:drawing>
      </w:r>
    </w:p>
    <w:p>
      <w:pPr>
        <w:sectPr>
          <w:pgSz w:w="11900" w:h="16838" w:orient="portrait"/>
          <w:cols w:equalWidth="0" w:num="1">
            <w:col w:w="11340"/>
          </w:cols>
          <w:pgMar w:left="240" w:top="124" w:right="319" w:bottom="1440" w:gutter="0" w:footer="0" w:header="0"/>
        </w:sect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ind w:left="320"/>
              <w:spacing w:after="0"/>
              <w:rPr>
                <w:sz w:val="20"/>
                <w:szCs w:val="20"/>
                <w:color w:val="auto"/>
              </w:rPr>
            </w:pPr>
            <w:r>
              <w:rPr>
                <w:rFonts w:ascii="Arial" w:cs="Arial" w:eastAsia="Arial" w:hAnsi="Arial"/>
                <w:sz w:val="16"/>
                <w:szCs w:val="16"/>
                <w:b w:val="1"/>
                <w:bCs w:val="1"/>
                <w:color w:val="auto"/>
              </w:rPr>
              <w:t>Product Candidate</w:t>
            </w:r>
          </w:p>
        </w:tc>
        <w:tc>
          <w:tcPr>
            <w:tcW w:w="2080" w:type="dxa"/>
            <w:vAlign w:val="bottom"/>
          </w:tcPr>
          <w:p>
            <w:pPr>
              <w:ind w:left="540"/>
              <w:spacing w:after="0"/>
              <w:rPr>
                <w:sz w:val="20"/>
                <w:szCs w:val="20"/>
                <w:color w:val="auto"/>
              </w:rPr>
            </w:pPr>
            <w:r>
              <w:rPr>
                <w:rFonts w:ascii="Arial" w:cs="Arial" w:eastAsia="Arial" w:hAnsi="Arial"/>
                <w:sz w:val="16"/>
                <w:szCs w:val="16"/>
                <w:b w:val="1"/>
                <w:bCs w:val="1"/>
                <w:color w:val="auto"/>
              </w:rPr>
              <w:t>Target Market</w:t>
            </w:r>
          </w:p>
        </w:tc>
        <w:tc>
          <w:tcPr>
            <w:tcW w:w="220" w:type="dxa"/>
            <w:vAlign w:val="bottom"/>
          </w:tcPr>
          <w:p>
            <w:pPr>
              <w:spacing w:after="0"/>
              <w:rPr>
                <w:sz w:val="16"/>
                <w:szCs w:val="16"/>
                <w:color w:val="auto"/>
              </w:rPr>
            </w:pPr>
          </w:p>
        </w:tc>
        <w:tc>
          <w:tcPr>
            <w:tcW w:w="2060" w:type="dxa"/>
            <w:vAlign w:val="bottom"/>
          </w:tcPr>
          <w:p>
            <w:pPr>
              <w:ind w:left="300"/>
              <w:spacing w:after="0"/>
              <w:rPr>
                <w:sz w:val="20"/>
                <w:szCs w:val="20"/>
                <w:color w:val="auto"/>
              </w:rPr>
            </w:pPr>
            <w:r>
              <w:rPr>
                <w:rFonts w:ascii="Arial" w:cs="Arial" w:eastAsia="Arial" w:hAnsi="Arial"/>
                <w:sz w:val="16"/>
                <w:szCs w:val="16"/>
                <w:b w:val="1"/>
                <w:bCs w:val="1"/>
                <w:color w:val="auto"/>
              </w:rPr>
              <w:t>Estimated Number of</w:t>
            </w:r>
          </w:p>
        </w:tc>
        <w:tc>
          <w:tcPr>
            <w:tcW w:w="0" w:type="dxa"/>
            <w:vAlign w:val="bottom"/>
          </w:tcPr>
          <w:p>
            <w:pPr>
              <w:spacing w:after="0"/>
              <w:rPr>
                <w:sz w:val="1"/>
                <w:szCs w:val="1"/>
                <w:color w:val="auto"/>
              </w:rPr>
            </w:pPr>
          </w:p>
        </w:tc>
      </w:tr>
      <w:tr>
        <w:trPr>
          <w:trHeight w:val="214"/>
        </w:trPr>
        <w:tc>
          <w:tcPr>
            <w:tcW w:w="1880" w:type="dxa"/>
            <w:vAlign w:val="bottom"/>
          </w:tcPr>
          <w:p>
            <w:pPr>
              <w:ind w:left="560"/>
              <w:spacing w:after="0"/>
              <w:rPr>
                <w:sz w:val="20"/>
                <w:szCs w:val="20"/>
                <w:color w:val="auto"/>
              </w:rPr>
            </w:pPr>
            <w:r>
              <w:rPr>
                <w:rFonts w:ascii="Arial" w:cs="Arial" w:eastAsia="Arial" w:hAnsi="Arial"/>
                <w:sz w:val="16"/>
                <w:szCs w:val="16"/>
                <w:b w:val="1"/>
                <w:bCs w:val="1"/>
                <w:color w:val="auto"/>
              </w:rPr>
              <w:t>Description</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ind w:left="360"/>
              <w:spacing w:after="0" w:line="213" w:lineRule="exact"/>
              <w:rPr>
                <w:sz w:val="20"/>
                <w:szCs w:val="20"/>
                <w:color w:val="auto"/>
              </w:rPr>
            </w:pPr>
            <w:r>
              <w:rPr>
                <w:rFonts w:ascii="Arial" w:cs="Arial" w:eastAsia="Arial" w:hAnsi="Arial"/>
                <w:sz w:val="15"/>
                <w:szCs w:val="15"/>
                <w:b w:val="1"/>
                <w:bCs w:val="1"/>
                <w:color w:val="auto"/>
              </w:rPr>
              <w:t>Potential Patients</w:t>
            </w:r>
            <w:r>
              <w:rPr>
                <w:rFonts w:ascii="Arial" w:cs="Arial" w:eastAsia="Arial" w:hAnsi="Arial"/>
                <w:sz w:val="24"/>
                <w:szCs w:val="24"/>
                <w:b w:val="1"/>
                <w:bCs w:val="1"/>
                <w:color w:val="auto"/>
                <w:vertAlign w:val="superscript"/>
              </w:rPr>
              <w:t>(1)</w:t>
            </w:r>
          </w:p>
        </w:tc>
        <w:tc>
          <w:tcPr>
            <w:tcW w:w="0" w:type="dxa"/>
            <w:vAlign w:val="bottom"/>
          </w:tcPr>
          <w:p>
            <w:pPr>
              <w:spacing w:after="0"/>
              <w:rPr>
                <w:sz w:val="1"/>
                <w:szCs w:val="1"/>
                <w:color w:val="auto"/>
              </w:rPr>
            </w:pPr>
          </w:p>
        </w:tc>
      </w:tr>
      <w:tr>
        <w:trPr>
          <w:trHeight w:val="177"/>
        </w:trPr>
        <w:tc>
          <w:tcPr>
            <w:tcW w:w="1880" w:type="dxa"/>
            <w:vAlign w:val="bottom"/>
          </w:tcPr>
          <w:p>
            <w:pPr>
              <w:ind w:left="20"/>
              <w:spacing w:after="0" w:line="177" w:lineRule="exact"/>
              <w:rPr>
                <w:sz w:val="20"/>
                <w:szCs w:val="20"/>
                <w:color w:val="auto"/>
              </w:rPr>
            </w:pPr>
            <w:r>
              <w:rPr>
                <w:rFonts w:ascii="Arial" w:cs="Arial" w:eastAsia="Arial" w:hAnsi="Arial"/>
                <w:sz w:val="16"/>
                <w:szCs w:val="16"/>
                <w:color w:val="auto"/>
              </w:rPr>
              <w:t>OPC1 – Glial Cells</w:t>
            </w:r>
          </w:p>
        </w:tc>
        <w:tc>
          <w:tcPr>
            <w:tcW w:w="20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Spinal Cord Injury</w:t>
            </w:r>
          </w:p>
        </w:tc>
        <w:tc>
          <w:tcPr>
            <w:tcW w:w="220" w:type="dxa"/>
            <w:vAlign w:val="bottom"/>
          </w:tcPr>
          <w:p>
            <w:pPr>
              <w:spacing w:after="0"/>
              <w:rPr>
                <w:sz w:val="15"/>
                <w:szCs w:val="15"/>
                <w:color w:val="auto"/>
              </w:rPr>
            </w:pPr>
          </w:p>
        </w:tc>
        <w:tc>
          <w:tcPr>
            <w:tcW w:w="2060" w:type="dxa"/>
            <w:vAlign w:val="bottom"/>
          </w:tcPr>
          <w:p>
            <w:pPr>
              <w:spacing w:after="0" w:line="177" w:lineRule="exact"/>
              <w:rPr>
                <w:sz w:val="20"/>
                <w:szCs w:val="20"/>
                <w:color w:val="auto"/>
              </w:rPr>
            </w:pPr>
            <w:r>
              <w:rPr>
                <w:rFonts w:ascii="Arial" w:cs="Arial" w:eastAsia="Arial" w:hAnsi="Arial"/>
                <w:sz w:val="16"/>
                <w:szCs w:val="16"/>
                <w:color w:val="auto"/>
                <w:w w:val="97"/>
              </w:rPr>
              <w:t>12,000 new cases per year in</w:t>
            </w:r>
          </w:p>
        </w:tc>
        <w:tc>
          <w:tcPr>
            <w:tcW w:w="0" w:type="dxa"/>
            <w:vAlign w:val="bottom"/>
          </w:tcPr>
          <w:p>
            <w:pPr>
              <w:spacing w:after="0"/>
              <w:rPr>
                <w:sz w:val="1"/>
                <w:szCs w:val="1"/>
                <w:color w:val="auto"/>
              </w:rPr>
            </w:pPr>
          </w:p>
        </w:tc>
      </w:tr>
      <w:tr>
        <w:trPr>
          <w:trHeight w:val="200"/>
        </w:trPr>
        <w:tc>
          <w:tcPr>
            <w:tcW w:w="1880" w:type="dxa"/>
            <w:vAlign w:val="bottom"/>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190"/>
        </w:trPr>
        <w:tc>
          <w:tcPr>
            <w:tcW w:w="1880" w:type="dxa"/>
            <w:vAlign w:val="bottom"/>
            <w:shd w:val="clear" w:color="auto" w:fill="CCEEFF"/>
          </w:tcPr>
          <w:p>
            <w:pPr>
              <w:spacing w:after="0"/>
              <w:rPr>
                <w:sz w:val="16"/>
                <w:szCs w:val="16"/>
                <w:color w:val="auto"/>
              </w:rPr>
            </w:pPr>
          </w:p>
        </w:tc>
        <w:tc>
          <w:tcPr>
            <w:tcW w:w="20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Multiple Sclerosis (“MS”)</w:t>
            </w:r>
          </w:p>
        </w:tc>
        <w:tc>
          <w:tcPr>
            <w:tcW w:w="220" w:type="dxa"/>
            <w:vAlign w:val="bottom"/>
            <w:shd w:val="clear" w:color="auto" w:fill="CCEEFF"/>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80" w:type="dxa"/>
            <w:vAlign w:val="bottom"/>
            <w:shd w:val="clear" w:color="auto" w:fill="CCEEFF"/>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w w:val="93"/>
              </w:rPr>
              <w:t>180,000 new cases per year in</w:t>
            </w:r>
          </w:p>
        </w:tc>
        <w:tc>
          <w:tcPr>
            <w:tcW w:w="0" w:type="dxa"/>
            <w:vAlign w:val="bottom"/>
          </w:tcPr>
          <w:p>
            <w:pPr>
              <w:spacing w:after="0"/>
              <w:rPr>
                <w:sz w:val="1"/>
                <w:szCs w:val="1"/>
                <w:color w:val="auto"/>
              </w:rPr>
            </w:pPr>
          </w:p>
        </w:tc>
      </w:tr>
      <w:tr>
        <w:trPr>
          <w:trHeight w:val="200"/>
        </w:trPr>
        <w:tc>
          <w:tcPr>
            <w:tcW w:w="18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510"/>
        </w:trPr>
        <w:tc>
          <w:tcPr>
            <w:tcW w:w="18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Canavan's Disease</w:t>
            </w:r>
            <w:r>
              <w:rPr>
                <w:rFonts w:ascii="Arial" w:cs="Arial" w:eastAsia="Arial" w:hAnsi="Arial"/>
                <w:sz w:val="26"/>
                <w:szCs w:val="26"/>
                <w:color w:val="auto"/>
                <w:vertAlign w:val="superscript"/>
              </w:rPr>
              <w:t>(2)</w:t>
            </w:r>
          </w:p>
        </w:tc>
        <w:tc>
          <w:tcPr>
            <w:tcW w:w="2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Rare</w:t>
            </w:r>
          </w:p>
        </w:tc>
        <w:tc>
          <w:tcPr>
            <w:tcW w:w="0" w:type="dxa"/>
            <w:vAlign w:val="bottom"/>
          </w:tcPr>
          <w:p>
            <w:pPr>
              <w:spacing w:after="0"/>
              <w:rPr>
                <w:sz w:val="1"/>
                <w:szCs w:val="1"/>
                <w:color w:val="auto"/>
              </w:rPr>
            </w:pPr>
          </w:p>
        </w:tc>
      </w:tr>
      <w:tr>
        <w:trPr>
          <w:trHeight w:val="235"/>
        </w:trPr>
        <w:tc>
          <w:tcPr>
            <w:tcW w:w="18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Stroke</w:t>
            </w: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w w:val="93"/>
              </w:rPr>
              <w:t>800,000 new cases per year in</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177"/>
        </w:trPr>
        <w:tc>
          <w:tcPr>
            <w:tcW w:w="1880" w:type="dxa"/>
            <w:vAlign w:val="bottom"/>
          </w:tcPr>
          <w:p>
            <w:pPr>
              <w:ind w:left="20"/>
              <w:spacing w:after="0" w:line="177" w:lineRule="exact"/>
              <w:rPr>
                <w:sz w:val="20"/>
                <w:szCs w:val="20"/>
                <w:color w:val="auto"/>
              </w:rPr>
            </w:pPr>
            <w:r>
              <w:rPr>
                <w:rFonts w:ascii="Arial" w:cs="Arial" w:eastAsia="Arial" w:hAnsi="Arial"/>
                <w:sz w:val="16"/>
                <w:szCs w:val="16"/>
                <w:color w:val="auto"/>
              </w:rPr>
              <w:t>VAC1 – Autologous</w:t>
            </w:r>
          </w:p>
        </w:tc>
        <w:tc>
          <w:tcPr>
            <w:tcW w:w="2080" w:type="dxa"/>
            <w:vAlign w:val="bottom"/>
          </w:tcPr>
          <w:p>
            <w:pPr>
              <w:spacing w:after="0" w:line="177" w:lineRule="exact"/>
              <w:rPr>
                <w:sz w:val="20"/>
                <w:szCs w:val="20"/>
                <w:color w:val="auto"/>
              </w:rPr>
            </w:pPr>
            <w:r>
              <w:rPr>
                <w:rFonts w:ascii="Arial" w:cs="Arial" w:eastAsia="Arial" w:hAnsi="Arial"/>
                <w:sz w:val="16"/>
                <w:szCs w:val="16"/>
                <w:color w:val="auto"/>
              </w:rPr>
              <w:t>Cancer</w:t>
            </w:r>
          </w:p>
        </w:tc>
        <w:tc>
          <w:tcPr>
            <w:tcW w:w="220" w:type="dxa"/>
            <w:vAlign w:val="bottom"/>
          </w:tcPr>
          <w:p>
            <w:pPr>
              <w:spacing w:after="0"/>
              <w:rPr>
                <w:sz w:val="15"/>
                <w:szCs w:val="15"/>
                <w:color w:val="auto"/>
              </w:rPr>
            </w:pPr>
          </w:p>
        </w:tc>
        <w:tc>
          <w:tcPr>
            <w:tcW w:w="2060" w:type="dxa"/>
            <w:vAlign w:val="bottom"/>
          </w:tcPr>
          <w:p>
            <w:pPr>
              <w:spacing w:after="0" w:line="177" w:lineRule="exact"/>
              <w:rPr>
                <w:sz w:val="20"/>
                <w:szCs w:val="20"/>
                <w:color w:val="auto"/>
              </w:rPr>
            </w:pPr>
            <w:r>
              <w:rPr>
                <w:rFonts w:ascii="Arial" w:cs="Arial" w:eastAsia="Arial" w:hAnsi="Arial"/>
                <w:sz w:val="16"/>
                <w:szCs w:val="16"/>
                <w:color w:val="auto"/>
                <w:w w:val="87"/>
              </w:rPr>
              <w:t>Prostate: 240,000 new cases per</w:t>
            </w:r>
          </w:p>
        </w:tc>
        <w:tc>
          <w:tcPr>
            <w:tcW w:w="0" w:type="dxa"/>
            <w:vAlign w:val="bottom"/>
          </w:tcPr>
          <w:p>
            <w:pPr>
              <w:spacing w:after="0"/>
              <w:rPr>
                <w:sz w:val="1"/>
                <w:szCs w:val="1"/>
                <w:color w:val="auto"/>
              </w:rPr>
            </w:pPr>
          </w:p>
        </w:tc>
      </w:tr>
      <w:tr>
        <w:trPr>
          <w:trHeight w:val="189"/>
        </w:trPr>
        <w:tc>
          <w:tcPr>
            <w:tcW w:w="1880" w:type="dxa"/>
            <w:vAlign w:val="bottom"/>
          </w:tcPr>
          <w:p>
            <w:pPr>
              <w:ind w:left="20"/>
              <w:spacing w:after="0"/>
              <w:rPr>
                <w:sz w:val="20"/>
                <w:szCs w:val="20"/>
                <w:color w:val="auto"/>
              </w:rPr>
            </w:pPr>
            <w:r>
              <w:rPr>
                <w:rFonts w:ascii="Arial" w:cs="Arial" w:eastAsia="Arial" w:hAnsi="Arial"/>
                <w:sz w:val="16"/>
                <w:szCs w:val="16"/>
                <w:color w:val="auto"/>
              </w:rPr>
              <w:t>Monocyte – Derived</w:t>
            </w:r>
          </w:p>
        </w:tc>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year in U.S.</w:t>
            </w:r>
          </w:p>
        </w:tc>
        <w:tc>
          <w:tcPr>
            <w:tcW w:w="0" w:type="dxa"/>
            <w:vAlign w:val="bottom"/>
          </w:tcPr>
          <w:p>
            <w:pPr>
              <w:spacing w:after="0"/>
              <w:rPr>
                <w:sz w:val="1"/>
                <w:szCs w:val="1"/>
                <w:color w:val="auto"/>
              </w:rPr>
            </w:pPr>
          </w:p>
        </w:tc>
      </w:tr>
      <w:tr>
        <w:trPr>
          <w:trHeight w:val="189"/>
        </w:trPr>
        <w:tc>
          <w:tcPr>
            <w:tcW w:w="1880" w:type="dxa"/>
            <w:vAlign w:val="bottom"/>
          </w:tcPr>
          <w:p>
            <w:pPr>
              <w:ind w:left="20"/>
              <w:spacing w:after="0"/>
              <w:rPr>
                <w:sz w:val="20"/>
                <w:szCs w:val="20"/>
                <w:color w:val="auto"/>
              </w:rPr>
            </w:pPr>
            <w:r>
              <w:rPr>
                <w:rFonts w:ascii="Arial" w:cs="Arial" w:eastAsia="Arial" w:hAnsi="Arial"/>
                <w:sz w:val="16"/>
                <w:szCs w:val="16"/>
                <w:color w:val="auto"/>
                <w:w w:val="91"/>
              </w:rPr>
              <w:t>Dendritic Cells (infused cells</w:t>
            </w:r>
          </w:p>
        </w:tc>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20"/>
              <w:spacing w:after="0"/>
              <w:rPr>
                <w:sz w:val="20"/>
                <w:szCs w:val="20"/>
                <w:color w:val="auto"/>
              </w:rPr>
            </w:pPr>
            <w:r>
              <w:rPr>
                <w:rFonts w:ascii="Arial" w:cs="Arial" w:eastAsia="Arial" w:hAnsi="Arial"/>
                <w:sz w:val="16"/>
                <w:szCs w:val="16"/>
                <w:color w:val="auto"/>
              </w:rPr>
              <w:t>derived from the treated</w:t>
            </w:r>
          </w:p>
        </w:tc>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880" w:type="dxa"/>
            <w:vAlign w:val="bottom"/>
          </w:tcPr>
          <w:p>
            <w:pPr>
              <w:ind w:left="20"/>
              <w:spacing w:after="0"/>
              <w:rPr>
                <w:sz w:val="20"/>
                <w:szCs w:val="20"/>
                <w:color w:val="auto"/>
              </w:rPr>
            </w:pPr>
            <w:r>
              <w:rPr>
                <w:rFonts w:ascii="Arial" w:cs="Arial" w:eastAsia="Arial" w:hAnsi="Arial"/>
                <w:sz w:val="16"/>
                <w:szCs w:val="16"/>
                <w:color w:val="auto"/>
              </w:rPr>
              <w:t>patient)</w:t>
            </w: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1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Arial" w:cs="Arial" w:eastAsia="Arial" w:hAnsi="Arial"/>
                <w:sz w:val="16"/>
                <w:szCs w:val="16"/>
                <w:color w:val="auto"/>
                <w:w w:val="95"/>
              </w:rPr>
              <w:t>Acute myelogenous leukemia:</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w w:val="87"/>
              </w:rPr>
              <w:t>more than 12,000 new cases per</w:t>
            </w:r>
          </w:p>
        </w:tc>
        <w:tc>
          <w:tcPr>
            <w:tcW w:w="0" w:type="dxa"/>
            <w:vAlign w:val="bottom"/>
          </w:tcPr>
          <w:p>
            <w:pPr>
              <w:spacing w:after="0"/>
              <w:rPr>
                <w:sz w:val="1"/>
                <w:szCs w:val="1"/>
                <w:color w:val="auto"/>
              </w:rPr>
            </w:pPr>
          </w:p>
        </w:tc>
      </w:tr>
      <w:tr>
        <w:trPr>
          <w:trHeight w:val="200"/>
        </w:trPr>
        <w:tc>
          <w:tcPr>
            <w:tcW w:w="18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year in U.S.</w:t>
            </w:r>
          </w:p>
        </w:tc>
        <w:tc>
          <w:tcPr>
            <w:tcW w:w="0" w:type="dxa"/>
            <w:vAlign w:val="bottom"/>
          </w:tcPr>
          <w:p>
            <w:pPr>
              <w:spacing w:after="0"/>
              <w:rPr>
                <w:sz w:val="1"/>
                <w:szCs w:val="1"/>
                <w:color w:val="auto"/>
              </w:rPr>
            </w:pPr>
          </w:p>
        </w:tc>
      </w:tr>
      <w:tr>
        <w:trPr>
          <w:trHeight w:val="178"/>
        </w:trPr>
        <w:tc>
          <w:tcPr>
            <w:tcW w:w="1880" w:type="dxa"/>
            <w:vAlign w:val="bottom"/>
          </w:tcPr>
          <w:p>
            <w:pPr>
              <w:ind w:left="20"/>
              <w:spacing w:after="0" w:line="178" w:lineRule="exact"/>
              <w:rPr>
                <w:sz w:val="20"/>
                <w:szCs w:val="20"/>
                <w:color w:val="auto"/>
              </w:rPr>
            </w:pPr>
            <w:r>
              <w:rPr>
                <w:rFonts w:ascii="Arial" w:cs="Arial" w:eastAsia="Arial" w:hAnsi="Arial"/>
                <w:sz w:val="16"/>
                <w:szCs w:val="16"/>
                <w:color w:val="auto"/>
              </w:rPr>
              <w:t>VAC2 – Dendritic Cells</w:t>
            </w:r>
          </w:p>
        </w:tc>
        <w:tc>
          <w:tcPr>
            <w:tcW w:w="20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Lung Cancer</w:t>
            </w:r>
          </w:p>
        </w:tc>
        <w:tc>
          <w:tcPr>
            <w:tcW w:w="220" w:type="dxa"/>
            <w:vAlign w:val="bottom"/>
          </w:tcPr>
          <w:p>
            <w:pPr>
              <w:spacing w:after="0"/>
              <w:rPr>
                <w:sz w:val="15"/>
                <w:szCs w:val="15"/>
                <w:color w:val="auto"/>
              </w:rPr>
            </w:pPr>
          </w:p>
        </w:tc>
        <w:tc>
          <w:tcPr>
            <w:tcW w:w="2060" w:type="dxa"/>
            <w:vAlign w:val="bottom"/>
          </w:tcPr>
          <w:p>
            <w:pPr>
              <w:spacing w:after="0" w:line="178" w:lineRule="exact"/>
              <w:rPr>
                <w:sz w:val="20"/>
                <w:szCs w:val="20"/>
                <w:color w:val="auto"/>
              </w:rPr>
            </w:pPr>
            <w:r>
              <w:rPr>
                <w:rFonts w:ascii="Arial" w:cs="Arial" w:eastAsia="Arial" w:hAnsi="Arial"/>
                <w:sz w:val="16"/>
                <w:szCs w:val="16"/>
                <w:color w:val="auto"/>
                <w:w w:val="93"/>
              </w:rPr>
              <w:t>226,000 new cases per year in</w:t>
            </w:r>
          </w:p>
        </w:tc>
        <w:tc>
          <w:tcPr>
            <w:tcW w:w="0" w:type="dxa"/>
            <w:vAlign w:val="bottom"/>
          </w:tcPr>
          <w:p>
            <w:pPr>
              <w:spacing w:after="0"/>
              <w:rPr>
                <w:sz w:val="1"/>
                <w:szCs w:val="1"/>
                <w:color w:val="auto"/>
              </w:rPr>
            </w:pPr>
          </w:p>
        </w:tc>
      </w:tr>
      <w:tr>
        <w:trPr>
          <w:trHeight w:val="200"/>
        </w:trPr>
        <w:tc>
          <w:tcPr>
            <w:tcW w:w="1880" w:type="dxa"/>
            <w:vAlign w:val="bottom"/>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190"/>
        </w:trPr>
        <w:tc>
          <w:tcPr>
            <w:tcW w:w="1880" w:type="dxa"/>
            <w:vAlign w:val="bottom"/>
            <w:shd w:val="clear" w:color="auto" w:fill="CCEEFF"/>
          </w:tcPr>
          <w:p>
            <w:pPr>
              <w:spacing w:after="0"/>
              <w:rPr>
                <w:sz w:val="16"/>
                <w:szCs w:val="16"/>
                <w:color w:val="auto"/>
              </w:rPr>
            </w:pPr>
          </w:p>
        </w:tc>
        <w:tc>
          <w:tcPr>
            <w:tcW w:w="20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Multiple Myeloma</w:t>
            </w:r>
          </w:p>
        </w:tc>
        <w:tc>
          <w:tcPr>
            <w:tcW w:w="220" w:type="dxa"/>
            <w:vAlign w:val="bottom"/>
            <w:shd w:val="clear" w:color="auto" w:fill="CCEEFF"/>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80" w:type="dxa"/>
            <w:vAlign w:val="bottom"/>
            <w:shd w:val="clear" w:color="auto" w:fill="CCEEFF"/>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w w:val="97"/>
              </w:rPr>
              <w:t>22,000 new cases per year in</w:t>
            </w:r>
          </w:p>
        </w:tc>
        <w:tc>
          <w:tcPr>
            <w:tcW w:w="0" w:type="dxa"/>
            <w:vAlign w:val="bottom"/>
          </w:tcPr>
          <w:p>
            <w:pPr>
              <w:spacing w:after="0"/>
              <w:rPr>
                <w:sz w:val="1"/>
                <w:szCs w:val="1"/>
                <w:color w:val="auto"/>
              </w:rPr>
            </w:pPr>
          </w:p>
        </w:tc>
      </w:tr>
      <w:tr>
        <w:trPr>
          <w:trHeight w:val="200"/>
        </w:trPr>
        <w:tc>
          <w:tcPr>
            <w:tcW w:w="18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367"/>
        </w:trPr>
        <w:tc>
          <w:tcPr>
            <w:tcW w:w="18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Prostate Cancer</w:t>
            </w:r>
          </w:p>
        </w:tc>
        <w:tc>
          <w:tcPr>
            <w:tcW w:w="2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w w:val="93"/>
              </w:rPr>
              <w:t>240,000 new cases per year in</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200"/>
        </w:trPr>
        <w:tc>
          <w:tcPr>
            <w:tcW w:w="1880" w:type="dxa"/>
            <w:vAlign w:val="bottom"/>
          </w:tcPr>
          <w:p>
            <w:pPr>
              <w:ind w:left="20"/>
              <w:spacing w:after="0"/>
              <w:rPr>
                <w:sz w:val="20"/>
                <w:szCs w:val="20"/>
                <w:color w:val="auto"/>
              </w:rPr>
            </w:pPr>
            <w:r>
              <w:rPr>
                <w:rFonts w:ascii="Arial" w:cs="Arial" w:eastAsia="Arial" w:hAnsi="Arial"/>
                <w:sz w:val="16"/>
                <w:szCs w:val="16"/>
                <w:color w:val="auto"/>
              </w:rPr>
              <w:t>CHND1 – Chondrocytes</w:t>
            </w:r>
          </w:p>
        </w:tc>
        <w:tc>
          <w:tcPr>
            <w:tcW w:w="2080" w:type="dxa"/>
            <w:vAlign w:val="bottom"/>
          </w:tcPr>
          <w:p>
            <w:pPr>
              <w:spacing w:after="0"/>
              <w:rPr>
                <w:sz w:val="20"/>
                <w:szCs w:val="20"/>
                <w:color w:val="auto"/>
              </w:rPr>
            </w:pPr>
            <w:r>
              <w:rPr>
                <w:rFonts w:ascii="Arial" w:cs="Arial" w:eastAsia="Arial" w:hAnsi="Arial"/>
                <w:sz w:val="16"/>
                <w:szCs w:val="16"/>
                <w:color w:val="auto"/>
              </w:rPr>
              <w:t>Osteoarthritis</w:t>
            </w:r>
          </w:p>
        </w:tc>
        <w:tc>
          <w:tcPr>
            <w:tcW w:w="2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w w:val="94"/>
              </w:rPr>
              <w:t>25 million total patients in U.S.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Pr>
          <w:p>
            <w:pPr>
              <w:spacing w:after="0"/>
              <w:rPr>
                <w:sz w:val="16"/>
                <w:szCs w:val="16"/>
                <w:color w:val="auto"/>
              </w:rPr>
            </w:pPr>
          </w:p>
        </w:tc>
        <w:tc>
          <w:tcPr>
            <w:tcW w:w="2260" w:type="dxa"/>
            <w:vAlign w:val="bottom"/>
            <w:gridSpan w:val="2"/>
          </w:tcPr>
          <w:p>
            <w:pPr>
              <w:ind w:left="180"/>
              <w:spacing w:after="0"/>
              <w:rPr>
                <w:sz w:val="20"/>
                <w:szCs w:val="20"/>
                <w:color w:val="auto"/>
              </w:rPr>
            </w:pPr>
            <w:r>
              <w:rPr>
                <w:rFonts w:ascii="Arial" w:cs="Arial" w:eastAsia="Arial" w:hAnsi="Arial"/>
                <w:sz w:val="16"/>
                <w:szCs w:val="16"/>
                <w:color w:val="auto"/>
              </w:rPr>
              <w:t>Degenerative Disk Disease</w:t>
            </w:r>
          </w:p>
        </w:tc>
        <w:tc>
          <w:tcPr>
            <w:tcW w:w="220" w:type="dxa"/>
            <w:vAlign w:val="bottom"/>
          </w:tcPr>
          <w:p>
            <w:pPr>
              <w:spacing w:after="0"/>
              <w:rPr>
                <w:sz w:val="16"/>
                <w:szCs w:val="16"/>
                <w:color w:val="auto"/>
              </w:rPr>
            </w:pPr>
          </w:p>
        </w:tc>
        <w:tc>
          <w:tcPr>
            <w:tcW w:w="2060" w:type="dxa"/>
            <w:vAlign w:val="bottom"/>
          </w:tcPr>
          <w:p>
            <w:pPr>
              <w:spacing w:after="0"/>
              <w:rPr>
                <w:sz w:val="20"/>
                <w:szCs w:val="20"/>
                <w:color w:val="auto"/>
              </w:rPr>
            </w:pPr>
            <w:r>
              <w:rPr>
                <w:rFonts w:ascii="Arial" w:cs="Arial" w:eastAsia="Arial" w:hAnsi="Arial"/>
                <w:sz w:val="16"/>
                <w:szCs w:val="16"/>
                <w:color w:val="auto"/>
                <w:w w:val="88"/>
              </w:rPr>
              <w:t>400,000 new spinal fusion cases</w:t>
            </w:r>
          </w:p>
        </w:tc>
        <w:tc>
          <w:tcPr>
            <w:tcW w:w="0" w:type="dxa"/>
            <w:vAlign w:val="bottom"/>
          </w:tcPr>
          <w:p>
            <w:pPr>
              <w:spacing w:after="0"/>
              <w:rPr>
                <w:sz w:val="1"/>
                <w:szCs w:val="1"/>
                <w:color w:val="auto"/>
              </w:rPr>
            </w:pPr>
          </w:p>
        </w:tc>
      </w:tr>
      <w:tr>
        <w:trPr>
          <w:trHeight w:val="200"/>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per year in U.S.</w:t>
            </w:r>
          </w:p>
        </w:tc>
        <w:tc>
          <w:tcPr>
            <w:tcW w:w="0" w:type="dxa"/>
            <w:vAlign w:val="bottom"/>
          </w:tcPr>
          <w:p>
            <w:pPr>
              <w:spacing w:after="0"/>
              <w:rPr>
                <w:sz w:val="1"/>
                <w:szCs w:val="1"/>
                <w:color w:val="auto"/>
              </w:rPr>
            </w:pPr>
          </w:p>
        </w:tc>
      </w:tr>
      <w:tr>
        <w:trPr>
          <w:trHeight w:val="202"/>
        </w:trPr>
        <w:tc>
          <w:tcPr>
            <w:tcW w:w="1700" w:type="dxa"/>
            <w:vAlign w:val="bottom"/>
          </w:tcPr>
          <w:p>
            <w:pPr>
              <w:ind w:left="20"/>
              <w:spacing w:after="0"/>
              <w:rPr>
                <w:sz w:val="20"/>
                <w:szCs w:val="20"/>
                <w:color w:val="auto"/>
              </w:rPr>
            </w:pPr>
            <w:r>
              <w:rPr>
                <w:rFonts w:ascii="Arial" w:cs="Arial" w:eastAsia="Arial" w:hAnsi="Arial"/>
                <w:sz w:val="16"/>
                <w:szCs w:val="16"/>
                <w:color w:val="auto"/>
                <w:w w:val="99"/>
              </w:rPr>
              <w:t>CM1 – Cardiomyocytes</w:t>
            </w:r>
          </w:p>
        </w:tc>
        <w:tc>
          <w:tcPr>
            <w:tcW w:w="180" w:type="dxa"/>
            <w:vAlign w:val="bottom"/>
          </w:tcPr>
          <w:p>
            <w:pPr>
              <w:spacing w:after="0"/>
              <w:rPr>
                <w:sz w:val="17"/>
                <w:szCs w:val="17"/>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Heart Failure</w:t>
            </w:r>
          </w:p>
        </w:tc>
        <w:tc>
          <w:tcPr>
            <w:tcW w:w="2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Arial" w:cs="Arial" w:eastAsia="Arial" w:hAnsi="Arial"/>
                <w:sz w:val="16"/>
                <w:szCs w:val="16"/>
                <w:color w:val="auto"/>
                <w:w w:val="98"/>
              </w:rPr>
              <w:t>6 million total patients in U.S.</w:t>
            </w:r>
          </w:p>
        </w:tc>
        <w:tc>
          <w:tcPr>
            <w:tcW w:w="0" w:type="dxa"/>
            <w:vAlign w:val="bottom"/>
          </w:tcPr>
          <w:p>
            <w:pPr>
              <w:spacing w:after="0"/>
              <w:rPr>
                <w:sz w:val="1"/>
                <w:szCs w:val="1"/>
                <w:color w:val="auto"/>
              </w:rPr>
            </w:pPr>
          </w:p>
        </w:tc>
      </w:tr>
      <w:tr>
        <w:trPr>
          <w:trHeight w:val="178"/>
        </w:trPr>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Myocardial Infarction</w:t>
            </w:r>
          </w:p>
        </w:tc>
        <w:tc>
          <w:tcPr>
            <w:tcW w:w="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w w:val="93"/>
              </w:rPr>
              <w:t>900,000 new cases per year in</w:t>
            </w:r>
          </w:p>
        </w:tc>
        <w:tc>
          <w:tcPr>
            <w:tcW w:w="0" w:type="dxa"/>
            <w:vAlign w:val="bottom"/>
          </w:tcPr>
          <w:p>
            <w:pPr>
              <w:spacing w:after="0"/>
              <w:rPr>
                <w:sz w:val="1"/>
                <w:szCs w:val="1"/>
                <w:color w:val="auto"/>
              </w:rPr>
            </w:pPr>
          </w:p>
        </w:tc>
      </w:tr>
      <w:tr>
        <w:trPr>
          <w:trHeight w:val="200"/>
        </w:trPr>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758"/>
        </w:trPr>
        <w:tc>
          <w:tcPr>
            <w:tcW w:w="1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ind w:left="20"/>
        <w:spacing w:after="0"/>
        <w:tabs>
          <w:tab w:leader="none" w:pos="1860" w:val="left"/>
          <w:tab w:leader="none" w:pos="4160" w:val="left"/>
        </w:tabs>
        <w:rPr>
          <w:sz w:val="20"/>
          <w:szCs w:val="20"/>
          <w:color w:val="auto"/>
        </w:rPr>
      </w:pPr>
      <w:r>
        <w:rPr>
          <w:rFonts w:ascii="Arial" w:cs="Arial" w:eastAsia="Arial" w:hAnsi="Arial"/>
          <w:sz w:val="16"/>
          <w:szCs w:val="16"/>
          <w:color w:val="auto"/>
        </w:rPr>
        <w:t>IC1 – Islet Cells</w:t>
      </w:r>
      <w:r>
        <w:rPr>
          <w:sz w:val="20"/>
          <w:szCs w:val="20"/>
          <w:color w:val="auto"/>
        </w:rPr>
        <w:tab/>
      </w:r>
      <w:r>
        <w:rPr>
          <w:rFonts w:ascii="Arial" w:cs="Arial" w:eastAsia="Arial" w:hAnsi="Arial"/>
          <w:sz w:val="16"/>
          <w:szCs w:val="16"/>
          <w:color w:val="auto"/>
        </w:rPr>
        <w:t>Type 1 and some Type 2</w:t>
      </w:r>
      <w:r>
        <w:rPr>
          <w:sz w:val="20"/>
          <w:szCs w:val="20"/>
          <w:color w:val="auto"/>
        </w:rPr>
        <w:tab/>
      </w:r>
      <w:r>
        <w:rPr>
          <w:rFonts w:ascii="Arial" w:cs="Arial" w:eastAsia="Arial" w:hAnsi="Arial"/>
          <w:sz w:val="14"/>
          <w:szCs w:val="14"/>
          <w:color w:val="auto"/>
        </w:rPr>
        <w:t>5 million total insulin dependent</w:t>
      </w:r>
    </w:p>
    <w:p>
      <w:pPr>
        <w:spacing w:after="0" w:line="4" w:lineRule="exact"/>
        <w:rPr>
          <w:sz w:val="20"/>
          <w:szCs w:val="20"/>
          <w:color w:val="auto"/>
        </w:rPr>
      </w:pPr>
    </w:p>
    <w:p>
      <w:pPr>
        <w:ind w:left="1880"/>
        <w:spacing w:after="0"/>
        <w:tabs>
          <w:tab w:leader="none" w:pos="4160" w:val="left"/>
        </w:tabs>
        <w:rPr>
          <w:sz w:val="20"/>
          <w:szCs w:val="20"/>
          <w:color w:val="auto"/>
        </w:rPr>
      </w:pPr>
      <w:r>
        <w:rPr>
          <w:rFonts w:ascii="Arial" w:cs="Arial" w:eastAsia="Arial" w:hAnsi="Arial"/>
          <w:sz w:val="16"/>
          <w:szCs w:val="16"/>
          <w:color w:val="auto"/>
        </w:rPr>
        <w:t>Diabetes</w:t>
      </w:r>
      <w:r>
        <w:rPr>
          <w:sz w:val="20"/>
          <w:szCs w:val="20"/>
          <w:color w:val="auto"/>
        </w:rPr>
        <w:tab/>
      </w:r>
      <w:r>
        <w:rPr>
          <w:rFonts w:ascii="Arial" w:cs="Arial" w:eastAsia="Arial" w:hAnsi="Arial"/>
          <w:sz w:val="16"/>
          <w:szCs w:val="16"/>
          <w:color w:val="auto"/>
        </w:rPr>
        <w:t>patients in U.S.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Status</w:t>
      </w:r>
    </w:p>
    <w:p>
      <w:pPr>
        <w:spacing w:after="0" w:line="19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Phase I Trial completed in U.S. 5 Patients treated – no serious adverse events related to the OPC1 drug product to date.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Proof of principle achieved in animal models.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Proof of principle achieved in animal models.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Pre-clinical research.</w:t>
      </w:r>
    </w:p>
    <w:p>
      <w:pPr>
        <w:spacing w:after="0" w:line="194" w:lineRule="exact"/>
        <w:rPr>
          <w:sz w:val="20"/>
          <w:szCs w:val="20"/>
          <w:color w:val="auto"/>
        </w:rPr>
      </w:pPr>
    </w:p>
    <w:p>
      <w:pPr>
        <w:ind w:right="760"/>
        <w:spacing w:after="0" w:line="267" w:lineRule="auto"/>
        <w:rPr>
          <w:sz w:val="20"/>
          <w:szCs w:val="20"/>
          <w:color w:val="auto"/>
        </w:rPr>
      </w:pPr>
      <w:r>
        <w:rPr>
          <w:rFonts w:ascii="Arial" w:cs="Arial" w:eastAsia="Arial" w:hAnsi="Arial"/>
          <w:sz w:val="16"/>
          <w:szCs w:val="16"/>
          <w:color w:val="auto"/>
        </w:rPr>
        <w:t>Phase I study in metastatic prostate cancer completed (</w:t>
      </w:r>
      <w:r>
        <w:rPr>
          <w:rFonts w:ascii="Arial" w:cs="Arial" w:eastAsia="Arial" w:hAnsi="Arial"/>
          <w:sz w:val="16"/>
          <w:szCs w:val="16"/>
          <w:i w:val="1"/>
          <w:iCs w:val="1"/>
          <w:color w:val="auto"/>
        </w:rPr>
        <w:t>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Immunology</w:t>
      </w:r>
      <w:r>
        <w:rPr>
          <w:rFonts w:ascii="Arial" w:cs="Arial" w:eastAsia="Arial" w:hAnsi="Arial"/>
          <w:sz w:val="16"/>
          <w:szCs w:val="16"/>
          <w:color w:val="auto"/>
        </w:rPr>
        <w:t>, 2005, 174: 3798-3807).</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color w:val="auto"/>
        </w:rPr>
        <w:t>Phase I/II study in acute myelogenous leukemia completed. Manuscript in preparation.</w:t>
      </w:r>
    </w:p>
    <w:p>
      <w:pPr>
        <w:spacing w:after="0" w:line="158"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 xml:space="preserve">Cells derived and characterization studies performed (parameters analyzed showed normal cell functions </w:t>
      </w:r>
      <w:r>
        <w:rPr>
          <w:rFonts w:ascii="Arial" w:cs="Arial" w:eastAsia="Arial" w:hAnsi="Arial"/>
          <w:sz w:val="16"/>
          <w:szCs w:val="16"/>
          <w:i w:val="1"/>
          <w:iCs w:val="1"/>
          <w:color w:val="auto"/>
        </w:rPr>
        <w:t>in vitro</w:t>
      </w:r>
      <w:r>
        <w:rPr>
          <w:rFonts w:ascii="Arial" w:cs="Arial" w:eastAsia="Arial" w:hAnsi="Arial"/>
          <w:sz w:val="26"/>
          <w:szCs w:val="26"/>
          <w:color w:val="auto"/>
          <w:vertAlign w:val="superscript"/>
        </w:rPr>
        <w:t>(3)</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Scalable manufacturing methods under development</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Proof of concept established in multiple human </w:t>
      </w:r>
      <w:r>
        <w:rPr>
          <w:rFonts w:ascii="Arial" w:cs="Arial" w:eastAsia="Arial" w:hAnsi="Arial"/>
          <w:sz w:val="16"/>
          <w:szCs w:val="16"/>
          <w:i w:val="1"/>
          <w:iCs w:val="1"/>
          <w:color w:val="auto"/>
        </w:rPr>
        <w:t>in vitro</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systems.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Cells derived and partly characterized.</w:t>
      </w:r>
    </w:p>
    <w:p>
      <w:pPr>
        <w:spacing w:after="0" w:line="194" w:lineRule="exact"/>
        <w:rPr>
          <w:sz w:val="20"/>
          <w:szCs w:val="20"/>
          <w:color w:val="auto"/>
        </w:rPr>
      </w:pPr>
    </w:p>
    <w:p>
      <w:pPr>
        <w:ind w:right="600"/>
        <w:spacing w:after="0" w:line="267" w:lineRule="auto"/>
        <w:rPr>
          <w:sz w:val="20"/>
          <w:szCs w:val="20"/>
          <w:color w:val="auto"/>
        </w:rPr>
      </w:pPr>
      <w:r>
        <w:rPr>
          <w:rFonts w:ascii="Arial" w:cs="Arial" w:eastAsia="Arial" w:hAnsi="Arial"/>
          <w:sz w:val="16"/>
          <w:szCs w:val="16"/>
          <w:color w:val="auto"/>
        </w:rPr>
        <w:t>Early non-clinical studies have been performed in animal models of osteoarthritis.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Pre-clinical research.</w:t>
      </w:r>
    </w:p>
    <w:p>
      <w:pPr>
        <w:spacing w:after="0" w:line="194"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 xml:space="preserve">Cells derived and characterization studies performed (parameters analyzed showed normal cell functions </w:t>
      </w:r>
      <w:r>
        <w:rPr>
          <w:rFonts w:ascii="Arial" w:cs="Arial" w:eastAsia="Arial" w:hAnsi="Arial"/>
          <w:sz w:val="16"/>
          <w:szCs w:val="16"/>
          <w:i w:val="1"/>
          <w:iCs w:val="1"/>
          <w:color w:val="auto"/>
        </w:rPr>
        <w:t>in vitro</w:t>
      </w:r>
      <w:r>
        <w:rPr>
          <w:rFonts w:ascii="Arial" w:cs="Arial" w:eastAsia="Arial" w:hAnsi="Arial"/>
          <w:sz w:val="26"/>
          <w:szCs w:val="26"/>
          <w:color w:val="auto"/>
          <w:vertAlign w:val="superscript"/>
        </w:rPr>
        <w:t>(3)</w:t>
      </w:r>
      <w:r>
        <w:rPr>
          <w:rFonts w:ascii="Arial" w:cs="Arial" w:eastAsia="Arial" w:hAnsi="Arial"/>
          <w:sz w:val="16"/>
          <w:szCs w:val="16"/>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Proof of concept in three animal models of disease.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Scalable manufacturing established.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First in man clinical trial designed.</w:t>
      </w:r>
    </w:p>
    <w:p>
      <w:pPr>
        <w:spacing w:after="0" w:line="16"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 xml:space="preserve">Cells derived and partly characterized (most, not all normal cell functions verified </w:t>
      </w:r>
      <w:r>
        <w:rPr>
          <w:rFonts w:ascii="Arial" w:cs="Arial" w:eastAsia="Arial" w:hAnsi="Arial"/>
          <w:sz w:val="16"/>
          <w:szCs w:val="16"/>
          <w:i w:val="1"/>
          <w:iCs w:val="1"/>
          <w:color w:val="auto"/>
        </w:rPr>
        <w:t>in vitro</w:t>
      </w:r>
      <w:r>
        <w:rPr>
          <w:rFonts w:ascii="Arial" w:cs="Arial" w:eastAsia="Arial" w:hAnsi="Arial"/>
          <w:sz w:val="26"/>
          <w:szCs w:val="26"/>
          <w:color w:val="auto"/>
          <w:vertAlign w:val="superscript"/>
        </w:rPr>
        <w:t>(3)</w:t>
      </w:r>
      <w:r>
        <w:rPr>
          <w:rFonts w:ascii="Arial" w:cs="Arial" w:eastAsia="Arial" w:hAnsi="Arial"/>
          <w:sz w:val="16"/>
          <w:szCs w:val="16"/>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Proof of concept in rodent diabetes model.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Scalable manufacturing methods under development.</w:t>
      </w:r>
    </w:p>
    <w:p>
      <w:pPr>
        <w:spacing w:after="0" w:line="200" w:lineRule="exact"/>
        <w:rPr>
          <w:sz w:val="20"/>
          <w:szCs w:val="20"/>
          <w:color w:val="auto"/>
        </w:rPr>
      </w:pPr>
    </w:p>
    <w:p>
      <w:pPr>
        <w:sectPr>
          <w:pgSz w:w="11900" w:h="16838" w:orient="portrait"/>
          <w:cols w:equalWidth="0" w:num="2">
            <w:col w:w="6240" w:space="240"/>
            <w:col w:w="4860"/>
          </w:cols>
          <w:pgMar w:left="240" w:top="124" w:right="319" w:bottom="1440" w:gutter="0" w:footer="0" w:header="0"/>
          <w:type w:val="continuous"/>
        </w:sect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6376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40"/>
          </w:cols>
          <w:pgMar w:left="240" w:top="124" w:right="319" w:bottom="1440" w:gutter="0" w:footer="0" w:header="0"/>
          <w:type w:val="continuous"/>
        </w:sectPr>
      </w:pPr>
    </w:p>
    <w:bookmarkStart w:id="17" w:name="page18"/>
    <w:bookmarkEnd w:id="17"/>
    <w:p>
      <w:pPr>
        <w:ind w:left="5"/>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285" w:hanging="285"/>
        <w:spacing w:after="0"/>
        <w:tabs>
          <w:tab w:leader="none" w:pos="285"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estimates of the numbers of potential patients shown in the table are based on data for the United States only and do not include potential patients in other countries.</w:t>
      </w:r>
    </w:p>
    <w:p>
      <w:pPr>
        <w:spacing w:after="0" w:line="39" w:lineRule="exact"/>
        <w:rPr>
          <w:rFonts w:ascii="Arial" w:cs="Arial" w:eastAsia="Arial" w:hAnsi="Arial"/>
          <w:sz w:val="14"/>
          <w:szCs w:val="14"/>
          <w:color w:val="auto"/>
        </w:rPr>
      </w:pPr>
    </w:p>
    <w:p>
      <w:pPr>
        <w:ind w:left="285" w:right="200" w:hanging="285"/>
        <w:spacing w:after="0" w:line="246" w:lineRule="auto"/>
        <w:tabs>
          <w:tab w:leader="none" w:pos="2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Canavan's Disease is a congenital neurological degenerative disease in which the growth of the myelin sheath surrounding nerves is inhibited resulting in mental retardation, loss of motor function, abnormal muscle tone, poor head control and enlarged head. Death usually occurs before age 4.</w:t>
      </w:r>
    </w:p>
    <w:p>
      <w:pPr>
        <w:ind w:left="285" w:hanging="285"/>
        <w:spacing w:after="0"/>
        <w:tabs>
          <w:tab w:leader="none" w:pos="28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In vitro </w:t>
      </w:r>
      <w:r>
        <w:rPr>
          <w:rFonts w:ascii="Arial" w:cs="Arial" w:eastAsia="Arial" w:hAnsi="Arial"/>
          <w:sz w:val="16"/>
          <w:szCs w:val="16"/>
          <w:color w:val="auto"/>
        </w:rPr>
        <w:t>means in tissue culture dishes.</w:t>
      </w:r>
    </w:p>
    <w:p>
      <w:pPr>
        <w:spacing w:after="0" w:line="207" w:lineRule="exact"/>
        <w:rPr>
          <w:sz w:val="20"/>
          <w:szCs w:val="20"/>
          <w:color w:val="auto"/>
        </w:rPr>
      </w:pPr>
    </w:p>
    <w:p>
      <w:pPr>
        <w:ind w:left="565"/>
        <w:spacing w:after="0"/>
        <w:rPr>
          <w:sz w:val="20"/>
          <w:szCs w:val="20"/>
          <w:color w:val="auto"/>
        </w:rPr>
      </w:pPr>
      <w:r>
        <w:rPr>
          <w:rFonts w:ascii="Arial" w:cs="Arial" w:eastAsia="Arial" w:hAnsi="Arial"/>
          <w:sz w:val="15"/>
          <w:szCs w:val="15"/>
          <w:color w:val="auto"/>
        </w:rPr>
        <w:t>The cost and time required to develop products from the acquired assets is not presently known with certainty due to many factors including the following:</w:t>
      </w:r>
    </w:p>
    <w:p>
      <w:pPr>
        <w:spacing w:after="0" w:line="229" w:lineRule="exact"/>
        <w:rPr>
          <w:sz w:val="20"/>
          <w:szCs w:val="20"/>
          <w:color w:val="auto"/>
        </w:rPr>
      </w:pPr>
    </w:p>
    <w:p>
      <w:pPr>
        <w:ind w:left="845" w:hanging="278"/>
        <w:spacing w:after="0" w:line="294" w:lineRule="auto"/>
        <w:tabs>
          <w:tab w:leader="none" w:pos="845" w:val="left"/>
        </w:tabs>
        <w:numPr>
          <w:ilvl w:val="0"/>
          <w:numId w:val="11"/>
        </w:numPr>
        <w:rPr>
          <w:rFonts w:ascii="Arial" w:cs="Arial" w:eastAsia="Arial" w:hAnsi="Arial"/>
          <w:sz w:val="15"/>
          <w:szCs w:val="15"/>
          <w:color w:val="auto"/>
        </w:rPr>
      </w:pPr>
      <w:r>
        <w:rPr>
          <w:rFonts w:ascii="Arial" w:cs="Arial" w:eastAsia="Arial" w:hAnsi="Arial"/>
          <w:sz w:val="14"/>
          <w:szCs w:val="14"/>
          <w:color w:val="auto"/>
        </w:rPr>
        <w:t>the functional state of the cells, cell lines and other biological reagents transferred to Asterias cannot be determined until they are tested in an appropriate laboratory setting by qualified scientific personnel using validated equipment, which may not be completed until the second quarter of 2014. The functionalities of the cells were within specification at the time of initial manufacturing and subsequent storage. However, the cells have remained in storage (under cGMP conditions) for more than two years. Therefore, all the functional tests need to be repeated to verify that the cells remain within specification after the two year period of frozen storage.</w:t>
      </w:r>
    </w:p>
    <w:p>
      <w:pPr>
        <w:spacing w:after="0" w:line="166" w:lineRule="exact"/>
        <w:rPr>
          <w:rFonts w:ascii="Arial" w:cs="Arial" w:eastAsia="Arial" w:hAnsi="Arial"/>
          <w:sz w:val="15"/>
          <w:szCs w:val="15"/>
          <w:color w:val="auto"/>
        </w:rPr>
      </w:pPr>
    </w:p>
    <w:p>
      <w:pPr>
        <w:ind w:left="845" w:right="260" w:hanging="278"/>
        <w:spacing w:after="0" w:line="253" w:lineRule="auto"/>
        <w:tabs>
          <w:tab w:leader="none" w:pos="845" w:val="left"/>
        </w:tabs>
        <w:numPr>
          <w:ilvl w:val="0"/>
          <w:numId w:val="11"/>
        </w:numPr>
        <w:rPr>
          <w:rFonts w:ascii="Arial" w:cs="Arial" w:eastAsia="Arial" w:hAnsi="Arial"/>
          <w:sz w:val="17"/>
          <w:szCs w:val="17"/>
          <w:color w:val="auto"/>
        </w:rPr>
      </w:pPr>
      <w:r>
        <w:rPr>
          <w:rFonts w:ascii="Arial" w:cs="Arial" w:eastAsia="Arial" w:hAnsi="Arial"/>
          <w:sz w:val="16"/>
          <w:szCs w:val="16"/>
          <w:color w:val="auto"/>
        </w:rPr>
        <w:t>the views of the FDA and comparable foreign regulatory agencies on the pre-clinical product characterization studies required to submit an IND in order to initiate human clinical testing of potential therapeutic products;</w:t>
      </w:r>
    </w:p>
    <w:p>
      <w:pPr>
        <w:spacing w:after="0" w:line="190" w:lineRule="exact"/>
        <w:rPr>
          <w:rFonts w:ascii="Arial" w:cs="Arial" w:eastAsia="Arial" w:hAnsi="Arial"/>
          <w:sz w:val="17"/>
          <w:szCs w:val="17"/>
          <w:color w:val="auto"/>
        </w:rPr>
      </w:pPr>
    </w:p>
    <w:p>
      <w:pPr>
        <w:ind w:left="845" w:hanging="278"/>
        <w:spacing w:after="0"/>
        <w:tabs>
          <w:tab w:leader="none" w:pos="845" w:val="left"/>
        </w:tabs>
        <w:numPr>
          <w:ilvl w:val="0"/>
          <w:numId w:val="11"/>
        </w:numPr>
        <w:rPr>
          <w:rFonts w:ascii="Arial" w:cs="Arial" w:eastAsia="Arial" w:hAnsi="Arial"/>
          <w:sz w:val="17"/>
          <w:szCs w:val="17"/>
          <w:color w:val="auto"/>
        </w:rPr>
      </w:pPr>
      <w:r>
        <w:rPr>
          <w:rFonts w:ascii="Arial" w:cs="Arial" w:eastAsia="Arial" w:hAnsi="Arial"/>
          <w:sz w:val="16"/>
          <w:szCs w:val="16"/>
          <w:color w:val="auto"/>
        </w:rPr>
        <w:t>the inherent uncertainty of laboratory research and any clinical trials that we may conduct;</w:t>
      </w:r>
    </w:p>
    <w:p>
      <w:pPr>
        <w:spacing w:after="0" w:line="218" w:lineRule="exact"/>
        <w:rPr>
          <w:rFonts w:ascii="Arial" w:cs="Arial" w:eastAsia="Arial" w:hAnsi="Arial"/>
          <w:sz w:val="17"/>
          <w:szCs w:val="17"/>
          <w:color w:val="auto"/>
        </w:rPr>
      </w:pPr>
    </w:p>
    <w:p>
      <w:pPr>
        <w:ind w:left="845" w:right="600" w:hanging="278"/>
        <w:spacing w:after="0" w:line="253" w:lineRule="auto"/>
        <w:tabs>
          <w:tab w:leader="none" w:pos="845" w:val="left"/>
        </w:tabs>
        <w:numPr>
          <w:ilvl w:val="0"/>
          <w:numId w:val="11"/>
        </w:numPr>
        <w:rPr>
          <w:rFonts w:ascii="Arial" w:cs="Arial" w:eastAsia="Arial" w:hAnsi="Arial"/>
          <w:sz w:val="17"/>
          <w:szCs w:val="17"/>
          <w:color w:val="auto"/>
        </w:rPr>
      </w:pPr>
      <w:r>
        <w:rPr>
          <w:rFonts w:ascii="Arial" w:cs="Arial" w:eastAsia="Arial" w:hAnsi="Arial"/>
          <w:sz w:val="16"/>
          <w:szCs w:val="16"/>
          <w:color w:val="auto"/>
        </w:rPr>
        <w:t>the amount of capital that Asterias will have for its development programs, including potential sources of additional capital through research grants or funded collaborations with third parties; and</w:t>
      </w:r>
    </w:p>
    <w:p>
      <w:pPr>
        <w:spacing w:after="0" w:line="190" w:lineRule="exact"/>
        <w:rPr>
          <w:rFonts w:ascii="Arial" w:cs="Arial" w:eastAsia="Arial" w:hAnsi="Arial"/>
          <w:sz w:val="17"/>
          <w:szCs w:val="17"/>
          <w:color w:val="auto"/>
        </w:rPr>
      </w:pPr>
    </w:p>
    <w:p>
      <w:pPr>
        <w:ind w:left="845" w:hanging="278"/>
        <w:spacing w:after="0"/>
        <w:tabs>
          <w:tab w:leader="none" w:pos="845" w:val="left"/>
        </w:tabs>
        <w:numPr>
          <w:ilvl w:val="0"/>
          <w:numId w:val="11"/>
        </w:numPr>
        <w:rPr>
          <w:rFonts w:ascii="Arial" w:cs="Arial" w:eastAsia="Arial" w:hAnsi="Arial"/>
          <w:sz w:val="17"/>
          <w:szCs w:val="17"/>
          <w:color w:val="auto"/>
        </w:rPr>
      </w:pPr>
      <w:r>
        <w:rPr>
          <w:rFonts w:ascii="Arial" w:cs="Arial" w:eastAsia="Arial" w:hAnsi="Arial"/>
          <w:sz w:val="16"/>
          <w:szCs w:val="16"/>
          <w:color w:val="auto"/>
        </w:rPr>
        <w:t>the availability and recruitment of qualified personnel to carry out the analyses and evaluations described above.</w:t>
      </w:r>
    </w:p>
    <w:p>
      <w:pPr>
        <w:spacing w:after="0" w:line="218" w:lineRule="exact"/>
        <w:rPr>
          <w:sz w:val="20"/>
          <w:szCs w:val="20"/>
          <w:color w:val="auto"/>
        </w:rPr>
      </w:pPr>
    </w:p>
    <w:p>
      <w:pPr>
        <w:ind w:left="5" w:right="20" w:firstLine="567"/>
        <w:spacing w:after="0" w:line="250" w:lineRule="auto"/>
        <w:rPr>
          <w:sz w:val="20"/>
          <w:szCs w:val="20"/>
          <w:color w:val="auto"/>
        </w:rPr>
      </w:pPr>
      <w:r>
        <w:rPr>
          <w:rFonts w:ascii="Arial" w:cs="Arial" w:eastAsia="Arial" w:hAnsi="Arial"/>
          <w:sz w:val="16"/>
          <w:szCs w:val="16"/>
          <w:color w:val="auto"/>
        </w:rPr>
        <w:t>Asterias has commenced efforts to obtain project funding, manufacturing expertise, and clinical trial management for the VAC2, CHND1 and CM1 programs by initiating discussions with certain third parties that either had agreements with Geron related to, or had expressed an interest in participating in, the development of therapeutic products with those cell lines and related technologies. The extent and pace of the work Asterias can do to develop product candidates in those three programs will depend in large part on the consummation of agreements for one or more of those potential collaborations. Discussions with the third parties are in the early stages and there is no assurance that they will lead to any agreements. Asterias may also pursue discussions with other third parties for financial, manufacturing, or clinical trial management, or other co-development arrangements for those programs.</w:t>
      </w:r>
    </w:p>
    <w:p>
      <w:pPr>
        <w:spacing w:after="0" w:line="197" w:lineRule="exact"/>
        <w:rPr>
          <w:sz w:val="20"/>
          <w:szCs w:val="20"/>
          <w:color w:val="auto"/>
        </w:rPr>
      </w:pPr>
    </w:p>
    <w:p>
      <w:pPr>
        <w:ind w:left="565"/>
        <w:spacing w:after="0"/>
        <w:rPr>
          <w:sz w:val="20"/>
          <w:szCs w:val="20"/>
          <w:color w:val="auto"/>
        </w:rPr>
      </w:pPr>
      <w:r>
        <w:rPr>
          <w:rFonts w:ascii="Arial" w:cs="Arial" w:eastAsia="Arial" w:hAnsi="Arial"/>
          <w:sz w:val="14"/>
          <w:szCs w:val="14"/>
          <w:color w:val="auto"/>
        </w:rPr>
        <w:t>Asterias may also use the acquired assets, along with technology that it may develop or that it may acquire from third parties, to pursue the development of other products.</w:t>
      </w:r>
    </w:p>
    <w:p>
      <w:pPr>
        <w:spacing w:after="0" w:line="39" w:lineRule="exact"/>
        <w:rPr>
          <w:sz w:val="20"/>
          <w:szCs w:val="20"/>
          <w:color w:val="auto"/>
        </w:rPr>
      </w:pPr>
    </w:p>
    <w:p>
      <w:pPr>
        <w:ind w:left="5"/>
        <w:spacing w:after="0"/>
        <w:rPr>
          <w:sz w:val="20"/>
          <w:szCs w:val="20"/>
          <w:color w:val="auto"/>
        </w:rPr>
      </w:pPr>
      <w:r>
        <w:rPr>
          <w:rFonts w:ascii="Arial" w:cs="Arial" w:eastAsia="Arial" w:hAnsi="Arial"/>
          <w:sz w:val="16"/>
          <w:szCs w:val="16"/>
          <w:color w:val="auto"/>
        </w:rPr>
        <w:t>Asterias’ product development efforts may be conducted by Asterias alone or in collaboration with others if suitable co-development arrangements can be made.</w:t>
      </w:r>
    </w:p>
    <w:p>
      <w:pPr>
        <w:spacing w:after="0" w:line="207" w:lineRule="exact"/>
        <w:rPr>
          <w:sz w:val="20"/>
          <w:szCs w:val="20"/>
          <w:color w:val="auto"/>
        </w:rPr>
      </w:pPr>
    </w:p>
    <w:p>
      <w:pPr>
        <w:jc w:val="both"/>
        <w:ind w:left="5" w:right="260" w:firstLine="567"/>
        <w:spacing w:after="0" w:line="301" w:lineRule="auto"/>
        <w:rPr>
          <w:sz w:val="20"/>
          <w:szCs w:val="20"/>
          <w:color w:val="auto"/>
        </w:rPr>
      </w:pPr>
      <w:r>
        <w:rPr>
          <w:rFonts w:ascii="Arial" w:cs="Arial" w:eastAsia="Arial" w:hAnsi="Arial"/>
          <w:sz w:val="14"/>
          <w:szCs w:val="14"/>
          <w:color w:val="auto"/>
        </w:rPr>
        <w:t>We presently own 71.6% of the outstanding Asterias common stock, Geron now owns approximately 21.4% of the outstanding Asterias common stock, and a private investor now owns approximately 7.0%, of the outstanding Asterias common stock. Pursuant to the Asset Contribution Agreement, Geron has agreed to distribute its shares of Asterias Series A common stock to its stockholders on a pro rata basis. Asterias has adopted a stock option plan under which it may issue up to 4,500,000 shares of its common stock to officers, directors, employees, and consultants. As of December 31, 2013, options to purchase 2,840,000 shares of Asterias common stock had been granted.</w:t>
      </w:r>
    </w:p>
    <w:p>
      <w:pPr>
        <w:spacing w:after="0" w:line="111" w:lineRule="exact"/>
        <w:rPr>
          <w:sz w:val="20"/>
          <w:szCs w:val="20"/>
          <w:color w:val="auto"/>
        </w:rPr>
      </w:pPr>
    </w:p>
    <w:p>
      <w:pPr>
        <w:jc w:val="center"/>
        <w:ind w:right="-84"/>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65"/>
          </w:cols>
          <w:pgMar w:left="235" w:top="124" w:right="299" w:bottom="1440" w:gutter="0" w:footer="0" w:header="0"/>
        </w:sectPr>
      </w:pPr>
    </w:p>
    <w:bookmarkStart w:id="18" w:name="page19"/>
    <w:bookmarkEnd w:id="1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OPC1 Glial Progenitor Cells</w:t>
      </w:r>
    </w:p>
    <w:p>
      <w:pPr>
        <w:spacing w:after="0" w:line="218" w:lineRule="exact"/>
        <w:rPr>
          <w:sz w:val="20"/>
          <w:szCs w:val="20"/>
          <w:color w:val="auto"/>
        </w:rPr>
      </w:pPr>
    </w:p>
    <w:p>
      <w:pPr>
        <w:ind w:right="180" w:firstLine="567"/>
        <w:spacing w:after="0" w:line="282" w:lineRule="auto"/>
        <w:rPr>
          <w:sz w:val="20"/>
          <w:szCs w:val="20"/>
          <w:color w:val="auto"/>
        </w:rPr>
      </w:pPr>
      <w:r>
        <w:rPr>
          <w:rFonts w:ascii="Arial" w:cs="Arial" w:eastAsia="Arial" w:hAnsi="Arial"/>
          <w:sz w:val="15"/>
          <w:szCs w:val="15"/>
          <w:color w:val="auto"/>
        </w:rPr>
        <w:t>Asterias acquired from Geron a quantity of glial progenitor cells, which are cells that become glial cells after injection, derived from a cGMP master cell bank of undifferentiated hES cells that has been fully qualified for human use. These cells, which are stored frozen until ready for use, are produced under cGMP conditions and screened for adventitious agents. These glial progenitor cells were Geron’s first hES cell-derived cellular therapy to enter human clinical testing and are known as OPC1.</w:t>
      </w:r>
    </w:p>
    <w:p>
      <w:pPr>
        <w:spacing w:after="0" w:line="172" w:lineRule="exact"/>
        <w:rPr>
          <w:sz w:val="20"/>
          <w:szCs w:val="20"/>
          <w:color w:val="auto"/>
        </w:rPr>
      </w:pPr>
    </w:p>
    <w:p>
      <w:pPr>
        <w:jc w:val="both"/>
        <w:ind w:right="180" w:firstLine="567"/>
        <w:spacing w:after="0" w:line="251" w:lineRule="auto"/>
        <w:rPr>
          <w:sz w:val="20"/>
          <w:szCs w:val="20"/>
          <w:color w:val="auto"/>
        </w:rPr>
      </w:pPr>
      <w:r>
        <w:rPr>
          <w:rFonts w:ascii="Arial" w:cs="Arial" w:eastAsia="Arial" w:hAnsi="Arial"/>
          <w:sz w:val="16"/>
          <w:szCs w:val="16"/>
          <w:color w:val="auto"/>
        </w:rPr>
        <w:t>Glial cells are nature’s neuronal insulating cells. Like the insulation covering an electrical wire, glial cells enable the conduction of electrical impulses along nerve fibers throughout the central and peripheral nervous system. They are also known to promote neural growth, as well as induce blood vessel formation around nerve axons. OPC1 cells reproduce all of the natural functions of glial cells in animal models, including: producing myelin that wraps around nerve fibers; producing neurotrophic factors which encourage neuro-regeneration and sprouting of new nerve endings, and inducing new blood vessels which provide nutrients and remove waste matter from neural tissue as it functions in the body.</w:t>
      </w:r>
    </w:p>
    <w:p>
      <w:pPr>
        <w:spacing w:after="0" w:line="196" w:lineRule="exact"/>
        <w:rPr>
          <w:sz w:val="20"/>
          <w:szCs w:val="20"/>
          <w:color w:val="auto"/>
        </w:rPr>
      </w:pPr>
    </w:p>
    <w:p>
      <w:pPr>
        <w:ind w:right="340" w:firstLine="567"/>
        <w:spacing w:after="0" w:line="301" w:lineRule="auto"/>
        <w:rPr>
          <w:sz w:val="20"/>
          <w:szCs w:val="20"/>
          <w:color w:val="auto"/>
        </w:rPr>
      </w:pPr>
      <w:r>
        <w:rPr>
          <w:rFonts w:ascii="Arial" w:cs="Arial" w:eastAsia="Arial" w:hAnsi="Arial"/>
          <w:sz w:val="15"/>
          <w:szCs w:val="15"/>
          <w:color w:val="auto"/>
        </w:rPr>
        <w:t>The pathology of spinal cord injury involves extensive loss of the myelin sheath (insulation) produced by glial cells at the site of injury. Although neurons are lost, the prime pathology of spinal cord injury is loss of glial insulation which prevents transmission of nerve impulses above or below the point of injury.</w:t>
      </w:r>
    </w:p>
    <w:p>
      <w:pPr>
        <w:spacing w:after="0" w:line="158" w:lineRule="exact"/>
        <w:rPr>
          <w:sz w:val="20"/>
          <w:szCs w:val="20"/>
          <w:color w:val="auto"/>
        </w:rPr>
      </w:pPr>
    </w:p>
    <w:p>
      <w:pPr>
        <w:ind w:right="80" w:firstLine="567"/>
        <w:spacing w:after="0" w:line="296" w:lineRule="auto"/>
        <w:rPr>
          <w:sz w:val="20"/>
          <w:szCs w:val="20"/>
          <w:color w:val="auto"/>
        </w:rPr>
      </w:pPr>
      <w:r>
        <w:rPr>
          <w:rFonts w:ascii="Arial" w:cs="Arial" w:eastAsia="Arial" w:hAnsi="Arial"/>
          <w:sz w:val="14"/>
          <w:szCs w:val="14"/>
          <w:color w:val="auto"/>
        </w:rPr>
        <w:t>There are currently no drugs approved by the FDA specifically for the treatment of spinal cord injury although methylprednisolone, a corticosteroid generally used as an anti-inflammatory drug, is sometimes prescribed on an off-label basis to reduce acute inflammation in the injured spinal cord immediately after injury. It is believed that in order to effect substantial benefit in treating this complex injury, multiple mechanisms of action are required, such as re-myelination of the demyelinated axons, generation of new blood vessels to repair the ischemic damage from injury, and the presence of biologics that cause neuro-sprouting or new nerve growth to enable the severed axons to repair. In studies to date, OPC1 cells have been shown to exhibit all three effects, and therefore we believe they have potential to effectively treat acute spinal cord injury.</w:t>
      </w:r>
    </w:p>
    <w:p>
      <w:pPr>
        <w:spacing w:after="0" w:line="165" w:lineRule="exact"/>
        <w:rPr>
          <w:sz w:val="20"/>
          <w:szCs w:val="20"/>
          <w:color w:val="auto"/>
        </w:rPr>
      </w:pPr>
    </w:p>
    <w:p>
      <w:pPr>
        <w:ind w:firstLine="567"/>
        <w:spacing w:after="0" w:line="267" w:lineRule="auto"/>
        <w:rPr>
          <w:sz w:val="20"/>
          <w:szCs w:val="20"/>
          <w:color w:val="auto"/>
        </w:rPr>
      </w:pPr>
      <w:r>
        <w:rPr>
          <w:rFonts w:ascii="Arial" w:cs="Arial" w:eastAsia="Arial" w:hAnsi="Arial"/>
          <w:sz w:val="15"/>
          <w:szCs w:val="15"/>
          <w:color w:val="auto"/>
        </w:rPr>
        <w:t xml:space="preserve">Geron has published multiple studies in a validated rat model of spinal cord injury showing that a single injection of OPC1 cells at the site of injury produces durable re-myelination, new blood vessel formation, and new neuronal sprouting, all of which result in sustained and significant improvement in the animal’s locomotion within several months after injection. These data provided the rationale to initiate the world’s first clinical trial using hES cell-derived glial cells (OPC1) to treat acute spinal cord injury in humans. No toxicity was seen in the animals after injection – no systemic toxicity, nerve pain, benign growths (known as teratomas), or toxicity of any kind other than rare observations of benign cyst-like structures at the point of injection. Extensive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immune assays demonstrated the absence of direct immune recognition of OPC1 by human immune cells. The cyst-like structures that appeared in certain rat model studies were microscopic in size, had very few dividing cells, did not grow, and were found exclusively in the spinal cord injury site where the OPC1 cells were injected. Because of the discovery of the cyst-like structures in early animal models, the FDA placed Geron’s planned clinical trial on hold. The presence of cyst-like structures was investigated in additional animal studies. In four separate animal studies using the clinical grade OPC1 product, cyst-like structures were found in the frequencies shown in the following table:</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5400" w:type="dxa"/>
            <w:vAlign w:val="bottom"/>
          </w:tcPr>
          <w:p>
            <w:pPr>
              <w:jc w:val="center"/>
              <w:ind w:right="201"/>
              <w:spacing w:after="0"/>
              <w:rPr>
                <w:sz w:val="20"/>
                <w:szCs w:val="20"/>
                <w:color w:val="auto"/>
              </w:rPr>
            </w:pPr>
            <w:r>
              <w:rPr>
                <w:rFonts w:ascii="Arial" w:cs="Arial" w:eastAsia="Arial" w:hAnsi="Arial"/>
                <w:sz w:val="16"/>
                <w:szCs w:val="16"/>
                <w:b w:val="1"/>
                <w:bCs w:val="1"/>
                <w:color w:val="auto"/>
                <w:w w:val="89"/>
              </w:rPr>
              <w:t>Number of Animals</w:t>
            </w:r>
          </w:p>
        </w:tc>
        <w:tc>
          <w:tcPr>
            <w:tcW w:w="4880" w:type="dxa"/>
            <w:vAlign w:val="bottom"/>
          </w:tcPr>
          <w:p>
            <w:pPr>
              <w:jc w:val="center"/>
              <w:ind w:right="201"/>
              <w:spacing w:after="0"/>
              <w:rPr>
                <w:sz w:val="20"/>
                <w:szCs w:val="20"/>
                <w:color w:val="auto"/>
              </w:rPr>
            </w:pPr>
            <w:r>
              <w:rPr>
                <w:rFonts w:ascii="Arial" w:cs="Arial" w:eastAsia="Arial" w:hAnsi="Arial"/>
                <w:sz w:val="16"/>
                <w:szCs w:val="16"/>
                <w:b w:val="1"/>
                <w:bCs w:val="1"/>
                <w:color w:val="auto"/>
                <w:w w:val="89"/>
              </w:rPr>
              <w:t>Number of</w:t>
            </w:r>
          </w:p>
        </w:tc>
      </w:tr>
      <w:tr>
        <w:trPr>
          <w:trHeight w:val="205"/>
        </w:trPr>
        <w:tc>
          <w:tcPr>
            <w:tcW w:w="5400" w:type="dxa"/>
            <w:vAlign w:val="bottom"/>
          </w:tcPr>
          <w:p>
            <w:pPr>
              <w:jc w:val="center"/>
              <w:ind w:right="201"/>
              <w:spacing w:after="0"/>
              <w:rPr>
                <w:sz w:val="20"/>
                <w:szCs w:val="20"/>
                <w:color w:val="auto"/>
              </w:rPr>
            </w:pPr>
            <w:r>
              <w:rPr>
                <w:rFonts w:ascii="Arial" w:cs="Arial" w:eastAsia="Arial" w:hAnsi="Arial"/>
                <w:sz w:val="16"/>
                <w:szCs w:val="16"/>
                <w:b w:val="1"/>
                <w:bCs w:val="1"/>
                <w:color w:val="auto"/>
                <w:w w:val="88"/>
              </w:rPr>
              <w:t>Developing Cyst-Like Structures</w:t>
            </w:r>
          </w:p>
        </w:tc>
        <w:tc>
          <w:tcPr>
            <w:tcW w:w="4880" w:type="dxa"/>
            <w:vAlign w:val="bottom"/>
          </w:tcPr>
          <w:p>
            <w:pPr>
              <w:jc w:val="center"/>
              <w:ind w:right="201"/>
              <w:spacing w:after="0"/>
              <w:rPr>
                <w:sz w:val="20"/>
                <w:szCs w:val="20"/>
                <w:color w:val="auto"/>
              </w:rPr>
            </w:pPr>
            <w:r>
              <w:rPr>
                <w:rFonts w:ascii="Arial" w:cs="Arial" w:eastAsia="Arial" w:hAnsi="Arial"/>
                <w:sz w:val="16"/>
                <w:szCs w:val="16"/>
                <w:b w:val="1"/>
                <w:bCs w:val="1"/>
                <w:color w:val="auto"/>
                <w:w w:val="89"/>
              </w:rPr>
              <w:t>Animals Studied</w:t>
            </w:r>
          </w:p>
        </w:tc>
      </w:tr>
      <w:tr>
        <w:trPr>
          <w:trHeight w:val="190"/>
        </w:trPr>
        <w:tc>
          <w:tcPr>
            <w:tcW w:w="540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89"/>
              </w:rPr>
              <w:t>5</w:t>
            </w:r>
          </w:p>
        </w:tc>
        <w:tc>
          <w:tcPr>
            <w:tcW w:w="488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89"/>
              </w:rPr>
              <w:t>128</w:t>
            </w:r>
          </w:p>
        </w:tc>
      </w:tr>
      <w:tr>
        <w:trPr>
          <w:trHeight w:val="189"/>
        </w:trPr>
        <w:tc>
          <w:tcPr>
            <w:tcW w:w="5400" w:type="dxa"/>
            <w:vAlign w:val="bottom"/>
          </w:tcPr>
          <w:p>
            <w:pPr>
              <w:jc w:val="center"/>
              <w:ind w:right="201"/>
              <w:spacing w:after="0"/>
              <w:rPr>
                <w:sz w:val="20"/>
                <w:szCs w:val="20"/>
                <w:color w:val="auto"/>
              </w:rPr>
            </w:pPr>
            <w:r>
              <w:rPr>
                <w:rFonts w:ascii="Arial" w:cs="Arial" w:eastAsia="Arial" w:hAnsi="Arial"/>
                <w:sz w:val="16"/>
                <w:szCs w:val="16"/>
                <w:color w:val="auto"/>
                <w:w w:val="89"/>
              </w:rPr>
              <w:t>0</w:t>
            </w:r>
          </w:p>
        </w:tc>
        <w:tc>
          <w:tcPr>
            <w:tcW w:w="4880" w:type="dxa"/>
            <w:vAlign w:val="bottom"/>
          </w:tcPr>
          <w:p>
            <w:pPr>
              <w:jc w:val="center"/>
              <w:ind w:right="201"/>
              <w:spacing w:after="0"/>
              <w:rPr>
                <w:sz w:val="20"/>
                <w:szCs w:val="20"/>
                <w:color w:val="auto"/>
              </w:rPr>
            </w:pPr>
            <w:r>
              <w:rPr>
                <w:rFonts w:ascii="Arial" w:cs="Arial" w:eastAsia="Arial" w:hAnsi="Arial"/>
                <w:sz w:val="16"/>
                <w:szCs w:val="16"/>
                <w:color w:val="auto"/>
                <w:w w:val="89"/>
              </w:rPr>
              <w:t>62</w:t>
            </w:r>
          </w:p>
        </w:tc>
      </w:tr>
      <w:tr>
        <w:trPr>
          <w:trHeight w:val="189"/>
        </w:trPr>
        <w:tc>
          <w:tcPr>
            <w:tcW w:w="540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89"/>
              </w:rPr>
              <w:t>1</w:t>
            </w:r>
          </w:p>
        </w:tc>
        <w:tc>
          <w:tcPr>
            <w:tcW w:w="4880" w:type="dxa"/>
            <w:vAlign w:val="bottom"/>
            <w:shd w:val="clear" w:color="auto" w:fill="CCEEFF"/>
          </w:tcPr>
          <w:p>
            <w:pPr>
              <w:jc w:val="center"/>
              <w:ind w:right="201"/>
              <w:spacing w:after="0"/>
              <w:rPr>
                <w:sz w:val="20"/>
                <w:szCs w:val="20"/>
                <w:color w:val="auto"/>
              </w:rPr>
            </w:pPr>
            <w:r>
              <w:rPr>
                <w:rFonts w:ascii="Arial" w:cs="Arial" w:eastAsia="Arial" w:hAnsi="Arial"/>
                <w:sz w:val="16"/>
                <w:szCs w:val="16"/>
                <w:color w:val="auto"/>
                <w:w w:val="89"/>
              </w:rPr>
              <w:t>68</w:t>
            </w:r>
          </w:p>
        </w:tc>
      </w:tr>
      <w:tr>
        <w:trPr>
          <w:trHeight w:val="200"/>
        </w:trPr>
        <w:tc>
          <w:tcPr>
            <w:tcW w:w="5400" w:type="dxa"/>
            <w:vAlign w:val="bottom"/>
          </w:tcPr>
          <w:p>
            <w:pPr>
              <w:jc w:val="center"/>
              <w:ind w:right="201"/>
              <w:spacing w:after="0"/>
              <w:rPr>
                <w:sz w:val="20"/>
                <w:szCs w:val="20"/>
                <w:color w:val="auto"/>
              </w:rPr>
            </w:pPr>
            <w:r>
              <w:rPr>
                <w:rFonts w:ascii="Arial" w:cs="Arial" w:eastAsia="Arial" w:hAnsi="Arial"/>
                <w:sz w:val="16"/>
                <w:szCs w:val="16"/>
                <w:color w:val="auto"/>
                <w:w w:val="89"/>
              </w:rPr>
              <w:t>1</w:t>
            </w:r>
          </w:p>
        </w:tc>
        <w:tc>
          <w:tcPr>
            <w:tcW w:w="4880" w:type="dxa"/>
            <w:vAlign w:val="bottom"/>
          </w:tcPr>
          <w:p>
            <w:pPr>
              <w:jc w:val="center"/>
              <w:ind w:right="201"/>
              <w:spacing w:after="0"/>
              <w:rPr>
                <w:sz w:val="20"/>
                <w:szCs w:val="20"/>
                <w:color w:val="auto"/>
              </w:rPr>
            </w:pPr>
            <w:r>
              <w:rPr>
                <w:rFonts w:ascii="Arial" w:cs="Arial" w:eastAsia="Arial" w:hAnsi="Arial"/>
                <w:sz w:val="16"/>
                <w:szCs w:val="16"/>
                <w:color w:val="auto"/>
                <w:w w:val="89"/>
              </w:rPr>
              <w:t>108</w:t>
            </w:r>
          </w:p>
        </w:tc>
      </w:tr>
    </w:tbl>
    <w:p>
      <w:pPr>
        <w:spacing w:after="0" w:line="189" w:lineRule="exact"/>
        <w:rPr>
          <w:sz w:val="20"/>
          <w:szCs w:val="20"/>
          <w:color w:val="auto"/>
        </w:rPr>
      </w:pPr>
    </w:p>
    <w:p>
      <w:pPr>
        <w:ind w:firstLine="567"/>
        <w:spacing w:after="0" w:line="253" w:lineRule="auto"/>
        <w:rPr>
          <w:sz w:val="20"/>
          <w:szCs w:val="20"/>
          <w:color w:val="auto"/>
        </w:rPr>
      </w:pPr>
      <w:r>
        <w:rPr>
          <w:rFonts w:ascii="Arial" w:cs="Arial" w:eastAsia="Arial" w:hAnsi="Arial"/>
          <w:sz w:val="16"/>
          <w:szCs w:val="16"/>
          <w:color w:val="auto"/>
        </w:rPr>
        <w:t>After discussions that Geron had with the FDA, the clinical trial investigators, and the data monitoring safety board, the unanimous opinion was that these cyst-like structures were of low risk to subjects and the clinical trial was permitted to proceed. Nevertheless a plan was developed to monitor subjects in clinical trials for the development of such cyst-like structures. In the completed Phase I safety study in which 5 patients received OPC1 cells in their injured spinal cords, no cyst-like structures were detected in multiple magnetic resonance imaging exams during a one year follow-up.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9" w:name="page20"/>
    <w:bookmarkEnd w:id="1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Phase I Trial Design</w:t>
      </w:r>
    </w:p>
    <w:p>
      <w:pPr>
        <w:spacing w:after="0" w:line="218" w:lineRule="exact"/>
        <w:rPr>
          <w:sz w:val="20"/>
          <w:szCs w:val="20"/>
          <w:color w:val="auto"/>
        </w:rPr>
      </w:pPr>
    </w:p>
    <w:p>
      <w:pPr>
        <w:ind w:right="220" w:firstLine="567"/>
        <w:spacing w:after="0" w:line="216" w:lineRule="auto"/>
        <w:rPr>
          <w:sz w:val="20"/>
          <w:szCs w:val="20"/>
          <w:color w:val="auto"/>
        </w:rPr>
      </w:pPr>
      <w:r>
        <w:rPr>
          <w:rFonts w:ascii="Arial" w:cs="Arial" w:eastAsia="Arial" w:hAnsi="Arial"/>
          <w:sz w:val="16"/>
          <w:szCs w:val="16"/>
          <w:color w:val="auto"/>
        </w:rPr>
        <w:t>After FDA authorization, Geron began the world’s first human embryonic stem cell trial in patients with acute spinal cord injury in October 2010. The trial was an open label design conducted at seven U.S. neuro-trauma sites. Patients enrolled in the study received a single dose of 2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cells at the injury site between 7 and 14 days after injury. All subjects received temporary low dose immune suppression treatment for 45-60 days. The primary endpoint of the study was safety, with secondary endpoints of neurologic function assessed by five different validated measures of sensory and motor function.</w:t>
      </w:r>
    </w:p>
    <w:p>
      <w:pPr>
        <w:spacing w:after="0" w:line="203" w:lineRule="exact"/>
        <w:rPr>
          <w:sz w:val="20"/>
          <w:szCs w:val="20"/>
          <w:color w:val="auto"/>
        </w:rPr>
      </w:pPr>
    </w:p>
    <w:p>
      <w:pPr>
        <w:ind w:right="60" w:firstLine="567"/>
        <w:spacing w:after="0" w:line="251" w:lineRule="auto"/>
        <w:rPr>
          <w:sz w:val="20"/>
          <w:szCs w:val="20"/>
          <w:color w:val="auto"/>
        </w:rPr>
      </w:pPr>
      <w:r>
        <w:rPr>
          <w:rFonts w:ascii="Arial" w:cs="Arial" w:eastAsia="Arial" w:hAnsi="Arial"/>
          <w:sz w:val="16"/>
          <w:szCs w:val="16"/>
          <w:color w:val="auto"/>
        </w:rPr>
        <w:t xml:space="preserve">Five patients have received OPC1 and have completed a one year follow-up data set. No surgical complications during or post-surgery have been observed, and there have been no significant adverse events to date in any patient attributable to the OPC1 product. There have been five minor adverse events possibly related to OPC1 such as transient fever and nerve pain. There have been no unexpected neurological changes to date, nor has there been evidence of adverse changes or cavitation on multiple MRIs. Immune monitoring, conducted in some of the patients, has not detected any evidence of immune responses to OPC1, an important clinical finding that was predicted by extensive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immune testing of OPC1 prior to initiating the trial.</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Proposed New Study Population: Subjects with Neurologically Complete Cervical Spinal Cord Injuries</w:t>
      </w:r>
    </w:p>
    <w:p>
      <w:pPr>
        <w:spacing w:after="0" w:line="218" w:lineRule="exact"/>
        <w:rPr>
          <w:sz w:val="20"/>
          <w:szCs w:val="20"/>
          <w:color w:val="auto"/>
        </w:rPr>
      </w:pPr>
    </w:p>
    <w:p>
      <w:pPr>
        <w:ind w:firstLine="567"/>
        <w:spacing w:after="0" w:line="296" w:lineRule="auto"/>
        <w:rPr>
          <w:sz w:val="20"/>
          <w:szCs w:val="20"/>
          <w:color w:val="auto"/>
        </w:rPr>
      </w:pPr>
      <w:r>
        <w:rPr>
          <w:rFonts w:ascii="Arial" w:cs="Arial" w:eastAsia="Arial" w:hAnsi="Arial"/>
          <w:sz w:val="14"/>
          <w:szCs w:val="14"/>
          <w:color w:val="auto"/>
        </w:rPr>
        <w:t>Based on the results of the completed Phase I trial of OPC1 in thoracic Spinal Cord Injury (SCI), the next target patient population in which Asterias plans to clinically test OPC1 is patients with neurologically complete cervical spinal cord injuries. Asterias believes that there are both medical and scientific rationales for the transition to subjects with cervical SCI. Individuals with neurologically complete cervical SCI have an enormous unmet medical need due to the loss of function in all four limbs as well as multiple additional impairments such as impaired bowel and bladder function, reduced sensation, spasticity, sudden changes in blood pressure, deep vein thrombosis, sexual dysfunction, increased infections, skin pressure sores, and chronic pain. These individuals frequently require significant assistance for their care and activities of daily living.</w:t>
      </w:r>
    </w:p>
    <w:p>
      <w:pPr>
        <w:spacing w:after="0" w:line="165" w:lineRule="exact"/>
        <w:rPr>
          <w:sz w:val="20"/>
          <w:szCs w:val="20"/>
          <w:color w:val="auto"/>
        </w:rPr>
      </w:pPr>
    </w:p>
    <w:p>
      <w:pPr>
        <w:jc w:val="both"/>
        <w:ind w:right="40" w:firstLine="567"/>
        <w:spacing w:after="0" w:line="251" w:lineRule="auto"/>
        <w:rPr>
          <w:sz w:val="20"/>
          <w:szCs w:val="20"/>
          <w:color w:val="auto"/>
        </w:rPr>
      </w:pPr>
      <w:r>
        <w:rPr>
          <w:rFonts w:ascii="Arial" w:cs="Arial" w:eastAsia="Arial" w:hAnsi="Arial"/>
          <w:sz w:val="16"/>
          <w:szCs w:val="16"/>
          <w:color w:val="auto"/>
        </w:rPr>
        <w:t>Scientifically, the injured cervical spinal cord is a much better location than the upper or middle thoracic spinal cord to test the safety and potential activity of OPC1. This is partly due to the fact that damaged and demyelinated nerve axons in thoracic injuries need to regrow over several spinal segments in order to restore neural function. In contrast, damaged and demyelinated nerve axons in cervical injuries only need to regrow a short distance to restore neural function. Therefore, in cervical injuries, regeneration and/or repair of damaged axons mediated by OPC1 could result in substantial re-innervation of cervical segments and thereby have a significant impact on upper extremity motor and/or sensory function.</w:t>
      </w:r>
    </w:p>
    <w:p>
      <w:pPr>
        <w:spacing w:after="0" w:line="196" w:lineRule="exact"/>
        <w:rPr>
          <w:sz w:val="20"/>
          <w:szCs w:val="20"/>
          <w:color w:val="auto"/>
        </w:rPr>
      </w:pPr>
    </w:p>
    <w:p>
      <w:pPr>
        <w:ind w:right="220" w:firstLine="567"/>
        <w:spacing w:after="0" w:line="257" w:lineRule="auto"/>
        <w:rPr>
          <w:sz w:val="20"/>
          <w:szCs w:val="20"/>
          <w:color w:val="auto"/>
        </w:rPr>
      </w:pPr>
      <w:r>
        <w:rPr>
          <w:rFonts w:ascii="Arial" w:cs="Arial" w:eastAsia="Arial" w:hAnsi="Arial"/>
          <w:sz w:val="16"/>
          <w:szCs w:val="16"/>
          <w:color w:val="auto"/>
        </w:rPr>
        <w:t>Asterias plans to initiate a new Phase I/IIa dose escalation trial of OPC1 in patients with complete cervical injuries and to conduct additional research and planning for subsequent trials and for other possible indications for the use of OPC1. Asterias will need to raise additional capital in order conduct the Phase I/IIa clinical trial and subsequent clinical trial and product development work.</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OPC1 for the Treatment of Multiple Sclerosis and Other Diseases</w:t>
      </w:r>
    </w:p>
    <w:p>
      <w:pPr>
        <w:spacing w:after="0" w:line="218" w:lineRule="exact"/>
        <w:rPr>
          <w:sz w:val="20"/>
          <w:szCs w:val="20"/>
          <w:color w:val="auto"/>
        </w:rPr>
      </w:pPr>
    </w:p>
    <w:p>
      <w:pPr>
        <w:ind w:right="40" w:firstLine="567"/>
        <w:spacing w:after="0" w:line="251" w:lineRule="auto"/>
        <w:rPr>
          <w:sz w:val="20"/>
          <w:szCs w:val="20"/>
          <w:color w:val="auto"/>
        </w:rPr>
      </w:pPr>
      <w:r>
        <w:rPr>
          <w:rFonts w:ascii="Arial" w:cs="Arial" w:eastAsia="Arial" w:hAnsi="Arial"/>
          <w:sz w:val="16"/>
          <w:szCs w:val="16"/>
          <w:color w:val="auto"/>
        </w:rPr>
        <w:t>In addition or as an alternative to spinal cord injury, Asterias may test the OPC1 cells in other alternative indications, including multiple sclerosis (MS), Canavan’s Disease, and stroke. Because of its functional properties, OPC1 is a candidate for the repair of central nervous system lesions found in subjects with MS. In these lesions, axons are “demyelinated,” meaning that they have lost the sheaths that provide insulation for nerve conduction. In many cases, lesions located in the spinal cord of patients with MS are responsible for progressive clinical deterioration and a loss of ambulatory function. OPC1 may have the potential to repair such spinal cord lesions and to reverse clinical deterioration associated with the lesions.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0" w:name="page21"/>
    <w:bookmarkEnd w:id="2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40" w:firstLine="567"/>
        <w:spacing w:after="0" w:line="257" w:lineRule="auto"/>
        <w:rPr>
          <w:sz w:val="20"/>
          <w:szCs w:val="20"/>
          <w:color w:val="auto"/>
        </w:rPr>
      </w:pPr>
      <w:r>
        <w:rPr>
          <w:rFonts w:ascii="Arial" w:cs="Arial" w:eastAsia="Arial" w:hAnsi="Arial"/>
          <w:sz w:val="16"/>
          <w:szCs w:val="16"/>
          <w:color w:val="auto"/>
        </w:rPr>
        <w:t>In Canavan’s Disease, a genetic mutation leads to the accumulation of toxic materials that result in the death of glial cells leading to consequent demyelination. OPC1 cells have been injected into a mouse model of Canavan’s Disease in which the cells were shown to survive and significantly improve rotation behavior after injection, thereby establishing the rationale to possibly extend OPC1 use into that genetic disease.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VAC2 and VAC1, Technology for Potential New Cancer Vaccines</w:t>
      </w:r>
    </w:p>
    <w:p>
      <w:pPr>
        <w:spacing w:after="0" w:line="218" w:lineRule="exact"/>
        <w:rPr>
          <w:sz w:val="20"/>
          <w:szCs w:val="20"/>
          <w:color w:val="auto"/>
        </w:rPr>
      </w:pPr>
    </w:p>
    <w:p>
      <w:pPr>
        <w:ind w:right="260" w:firstLine="567"/>
        <w:spacing w:after="0" w:line="296" w:lineRule="auto"/>
        <w:rPr>
          <w:sz w:val="20"/>
          <w:szCs w:val="20"/>
          <w:color w:val="auto"/>
        </w:rPr>
      </w:pPr>
      <w:r>
        <w:rPr>
          <w:rFonts w:ascii="Arial" w:cs="Arial" w:eastAsia="Arial" w:hAnsi="Arial"/>
          <w:sz w:val="14"/>
          <w:szCs w:val="14"/>
          <w:color w:val="auto"/>
        </w:rPr>
        <w:t>Asterias acquired from Geron two experimental therapeutic cancer vaccines designed to target cancer cells by targeting the cancer cell’s expression of telomerase. Telomerase is a ubiquitous cancer target, expressed at high levels in all human cancers but at very low levels or not at all, in normal human cells. The premise underlying these vaccines is to “teach” the patient’s own immune system to attack cancer cells while sparing other cells. This may be possible by repeatedly exposing the immune system to a substance (an antigen) that is either specifically expressed or over-expressed by cancer cells in a way that subsequently induces an immune response to any cells that express that antigen on their surface. Asterias believes that the characteristics of telomerase make it an ideal antigen for cancer vaccines.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VAC2: hES Cell Derived Dendritic Cells</w:t>
      </w:r>
    </w:p>
    <w:p>
      <w:pPr>
        <w:spacing w:after="0" w:line="218" w:lineRule="exact"/>
        <w:rPr>
          <w:sz w:val="20"/>
          <w:szCs w:val="20"/>
          <w:color w:val="auto"/>
        </w:rPr>
      </w:pPr>
    </w:p>
    <w:p>
      <w:pPr>
        <w:ind w:firstLine="567"/>
        <w:spacing w:after="0" w:line="267" w:lineRule="auto"/>
        <w:rPr>
          <w:sz w:val="20"/>
          <w:szCs w:val="20"/>
          <w:color w:val="auto"/>
        </w:rPr>
      </w:pPr>
      <w:r>
        <w:rPr>
          <w:rFonts w:ascii="Arial" w:cs="Arial" w:eastAsia="Arial" w:hAnsi="Arial"/>
          <w:sz w:val="15"/>
          <w:szCs w:val="15"/>
          <w:color w:val="auto"/>
        </w:rPr>
        <w:t>Dendritic cells can be likened to the quarterback of the immune system. They are antigen processing and presenting cells which are potent initiators of a cellular and humoral (antibody) immune response. Immature dendritic cells initiate an antigen specific suppressive response, such as would be required to terminate an abnormal autoimmune reaction as occurs in diseases like rheumatoid arthritis, and systemic lupus erythematosis. Mature dendritic cells, on the other hand, initiate active cellular and humoral immunity such as is required for immune targeting cancer and infectious disease. VAC2 is a dendritic cell population that is produced from human embryonic stem cells that can be modified with any antigen. VAC2 can be produced in the form of immature dendritic cells for antigen specific immune suppressive therapies, or in mature form to generate antigen restricted cytotoxic responses. There is a significant amount of global clinical literature that describes the use of dendritic cells isolated from peripheral blood samples and used in various vaccination schemes, especially in various cancers (see our discussion of VAC1, below). Although effective in generating an antigen specific immune response, and in several cases showing a significant clinical impact, the drawbacks of autologous peripheral blood-derived dendritic cell vaccination schemes such as VAC1 are the limited supply of cells, the high cost of production, the long production time, and high patient to patient variability.</w:t>
      </w:r>
    </w:p>
    <w:p>
      <w:pPr>
        <w:spacing w:after="0" w:line="187" w:lineRule="exact"/>
        <w:rPr>
          <w:sz w:val="20"/>
          <w:szCs w:val="20"/>
          <w:color w:val="auto"/>
        </w:rPr>
      </w:pPr>
    </w:p>
    <w:p>
      <w:pPr>
        <w:ind w:firstLine="567"/>
        <w:spacing w:after="0" w:line="250" w:lineRule="auto"/>
        <w:rPr>
          <w:sz w:val="20"/>
          <w:szCs w:val="20"/>
          <w:color w:val="auto"/>
        </w:rPr>
      </w:pPr>
      <w:r>
        <w:rPr>
          <w:rFonts w:ascii="Arial" w:cs="Arial" w:eastAsia="Arial" w:hAnsi="Arial"/>
          <w:sz w:val="16"/>
          <w:szCs w:val="16"/>
          <w:color w:val="auto"/>
        </w:rPr>
        <w:t>As a second generation dendritic cell technology, VAC2 is designed to specifically obviate theses drawbacks. VAC2 can be produced in large quantities, similar to the other hES cell-based therapeutic cells. Additionally, because VAC2 is an allogeneic cell, it is believed to be potentially more potent than an autologous dendritic cell, by means of partial antigen mismatch in the HLA system (Human Leukocyte Antigen – markers of immune system types, akin to blood types). The differentiation process for VAC2 has been optimized, the protocol is patent protected and clinically compliant (suitable for use in humans), and no serum or animal feeder cells are used. The production protocol is robust, achieving fully matured dendritic cells within 30 days with reliable process controls. The differentiation protocol is scalable to flasks in the near-term and suspended micro-beads in bioreactors in the medium-term.</w:t>
      </w:r>
    </w:p>
    <w:p>
      <w:pPr>
        <w:spacing w:after="0" w:line="197" w:lineRule="exact"/>
        <w:rPr>
          <w:sz w:val="20"/>
          <w:szCs w:val="20"/>
          <w:color w:val="auto"/>
        </w:rPr>
      </w:pPr>
    </w:p>
    <w:p>
      <w:pPr>
        <w:ind w:right="20" w:firstLine="567"/>
        <w:spacing w:after="0" w:line="287" w:lineRule="auto"/>
        <w:rPr>
          <w:sz w:val="20"/>
          <w:szCs w:val="20"/>
          <w:color w:val="auto"/>
        </w:rPr>
      </w:pPr>
      <w:r>
        <w:rPr>
          <w:rFonts w:ascii="Arial" w:cs="Arial" w:eastAsia="Arial" w:hAnsi="Arial"/>
          <w:sz w:val="14"/>
          <w:szCs w:val="14"/>
          <w:color w:val="auto"/>
        </w:rPr>
        <w:t xml:space="preserve">VAC2 cells have been extensively characterized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and have high migratory and antigen presenting functionality with limited phagocytic activity (ability to engulf other cells – not a characteristic of dendritic cells), as would be expected for mature dendritic cells. They express high levels of all the appropriate surface markers defining them as mature human dendritic cells. VAC2 cells are phenotypically similar to dendritic cells derived from peripheral blood mononuclear cells, further enabling them to be potentially used in lieu of peripheral blood derived dendritic cell vaccination protocols. VAC2 and peripheral blood monocyte derived dendritic cells produce similar cytokine profiles (patterns of biologically active proteins) before and after antigen stimulation. VAC2 has been shown to demonstrate functionality in chemotactic responses (cells are specifically attracted by certain molecules) and T-cell stimulation. VAC2 </w:t>
      </w:r>
      <w:r>
        <w:rPr>
          <w:rFonts w:ascii="Arial" w:cs="Arial" w:eastAsia="Arial" w:hAnsi="Arial"/>
          <w:sz w:val="14"/>
          <w:szCs w:val="14"/>
          <w:i w:val="1"/>
          <w:iCs w:val="1"/>
          <w:color w:val="auto"/>
        </w:rPr>
        <w:t>in-vitro</w:t>
      </w:r>
      <w:r>
        <w:rPr>
          <w:rFonts w:ascii="Arial" w:cs="Arial" w:eastAsia="Arial" w:hAnsi="Arial"/>
          <w:sz w:val="14"/>
          <w:szCs w:val="14"/>
          <w:color w:val="auto"/>
        </w:rPr>
        <w:t xml:space="preserve"> stimulates a TH-1 type cytokine production (T-helper 1 – a subtype of T cells) from lymphocytes in a mixed lymphocyte reaction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 test in which lymphocytes from two different individuals are mixed together to determine whether one individual "recognizes" the other's lymphocyte type) resulting in highly activated antigen restricted T-cell populations (lymphocytes that recognizes only one specific substance).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studies have demonstrated that a single HLA match between VAC2 cells and responding lymphocytes is required to stimulate antigen specific T-cell responses. VAC2 has been shown to retain antigen presentation functionally (ability to "present" antigen on its surface to induce an immune response in another cell) after cryo-preservation. Irradiation of VAC2 after introduction of antigen eliminates the proliferative capacity of the dendritic cells and removes any safety concerns due to the presence of any residual undifferentiated embryonic stem cells in the preparation. Irradiated and cryo-preserved VAC2 cells are fully capable of presenting antigen to T-cells, resulting in antigen specific T-cell activation.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 w:name="page22"/>
    <w:bookmarkEnd w:id="2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180" w:firstLine="567"/>
        <w:spacing w:after="0" w:line="255" w:lineRule="auto"/>
        <w:rPr>
          <w:sz w:val="20"/>
          <w:szCs w:val="20"/>
          <w:color w:val="auto"/>
        </w:rPr>
      </w:pPr>
      <w:r>
        <w:rPr>
          <w:rFonts w:ascii="Arial" w:cs="Arial" w:eastAsia="Arial" w:hAnsi="Arial"/>
          <w:sz w:val="16"/>
          <w:szCs w:val="16"/>
          <w:color w:val="auto"/>
        </w:rPr>
        <w:t>A clinical protocol for the potentially first-in-man safety study of VAC2 has been outlined for prostate cancer, although Asterias believes that other tumor targets, such as lung cancer and multiple myeloma, are possible. Telomerase, a ubiquitous tumor antigen, would be the first antigen to be used with VAC2. If Asterias proceeds with clinical development in prostate cancer, approximately 15-20 prostate cancer patients who have developed a biochemical (PSA) relapse after either local radical treatment or adjuvant hormonal therapy would be eligible to participate in the trial. Patients would initially be restricted to HLA-A 2.1 and would receive 6 vaccinations at two different doses (1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and 1 x 10</w:t>
      </w:r>
      <w:r>
        <w:rPr>
          <w:rFonts w:ascii="Arial" w:cs="Arial" w:eastAsia="Arial" w:hAnsi="Arial"/>
          <w:sz w:val="26"/>
          <w:szCs w:val="26"/>
          <w:color w:val="auto"/>
          <w:vertAlign w:val="superscript"/>
        </w:rPr>
        <w:t>7</w:t>
      </w:r>
      <w:r>
        <w:rPr>
          <w:rFonts w:ascii="Arial" w:cs="Arial" w:eastAsia="Arial" w:hAnsi="Arial"/>
          <w:sz w:val="16"/>
          <w:szCs w:val="16"/>
          <w:color w:val="auto"/>
        </w:rPr>
        <w:t>) at weeks 0, 1, 2, 3, 4, 8 and 16.</w:t>
      </w:r>
    </w:p>
    <w:p>
      <w:pPr>
        <w:spacing w:after="0" w:line="58" w:lineRule="exact"/>
        <w:rPr>
          <w:sz w:val="20"/>
          <w:szCs w:val="20"/>
          <w:color w:val="auto"/>
        </w:rPr>
      </w:pPr>
    </w:p>
    <w:p>
      <w:pPr>
        <w:ind w:right="20" w:firstLine="567"/>
        <w:spacing w:after="0" w:line="250" w:lineRule="auto"/>
        <w:rPr>
          <w:sz w:val="20"/>
          <w:szCs w:val="20"/>
          <w:color w:val="auto"/>
        </w:rPr>
      </w:pPr>
      <w:r>
        <w:rPr>
          <w:rFonts w:ascii="Arial" w:cs="Arial" w:eastAsia="Arial" w:hAnsi="Arial"/>
          <w:sz w:val="16"/>
          <w:szCs w:val="16"/>
          <w:color w:val="auto"/>
        </w:rPr>
        <w:t>In summary, VAC2, a second generation dendritic cell technology, has been demonstrated to exhibit a mature dendritic cell phenotype of reproducibly characterized cellular composition. The cells activate allogenic T-cells and migrate in response to chemokine stimulation. VAC2 stimulates a TH-1 type cytokine production and can present antigen delivered to the cells in either mRNA, or protein form. VAC2 can stimulate Class 1 and Class 2 antigen specific T-cells (two types of antigens - type 1 is within a cell, type 2 is outside the cell) and has been shown to prime and stimulate naive antigen restricted T-cells even with only a single HLA-antigen match. Lastly, the feasibility of cryo-presentation and irradiation without alteration of VAC2 function has been demonstrated. These attributes will potentially allow for a greater margin of safety in clinical studies utilizing VAC2 and reduce the number of additional preclinical studies required for an IND submission. Specifically, long-term cell survival and engraftment studies may not be required for a VAC2 IND submission.</w:t>
      </w:r>
    </w:p>
    <w:p>
      <w:pPr>
        <w:spacing w:after="0" w:line="195" w:lineRule="exact"/>
        <w:rPr>
          <w:sz w:val="20"/>
          <w:szCs w:val="20"/>
          <w:color w:val="auto"/>
        </w:rPr>
      </w:pPr>
    </w:p>
    <w:p>
      <w:pPr>
        <w:ind w:firstLine="567"/>
        <w:spacing w:after="0" w:line="257" w:lineRule="auto"/>
        <w:rPr>
          <w:sz w:val="20"/>
          <w:szCs w:val="20"/>
          <w:color w:val="auto"/>
        </w:rPr>
      </w:pPr>
      <w:r>
        <w:rPr>
          <w:rFonts w:ascii="Arial" w:cs="Arial" w:eastAsia="Arial" w:hAnsi="Arial"/>
          <w:sz w:val="16"/>
          <w:szCs w:val="16"/>
          <w:color w:val="auto"/>
        </w:rPr>
        <w:t>Asterias plans to scale up the manufacturing process for the VAC2 drug product and transition it to cGMP production to support the first in man clinical study of VAC2 cancer immunotherapy in lung or prostate cancer. Asterias also will need to develop the quality, purity and potency assays needed for clinical testing, and to transfer to clinical study sites the immunological monitoring assays that will be used to measure patient immune responses in the clinical trial.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Telomerase Therapeutic Vaccine (VAC1)</w:t>
      </w:r>
    </w:p>
    <w:p>
      <w:pPr>
        <w:spacing w:after="0" w:line="218" w:lineRule="exact"/>
        <w:rPr>
          <w:sz w:val="20"/>
          <w:szCs w:val="20"/>
          <w:color w:val="auto"/>
        </w:rPr>
      </w:pPr>
    </w:p>
    <w:p>
      <w:pPr>
        <w:ind w:right="80" w:firstLine="567"/>
        <w:spacing w:after="0" w:line="272" w:lineRule="auto"/>
        <w:rPr>
          <w:sz w:val="20"/>
          <w:szCs w:val="20"/>
          <w:color w:val="auto"/>
        </w:rPr>
      </w:pPr>
      <w:r>
        <w:rPr>
          <w:rFonts w:ascii="Arial" w:cs="Arial" w:eastAsia="Arial" w:hAnsi="Arial"/>
          <w:sz w:val="15"/>
          <w:szCs w:val="15"/>
          <w:color w:val="auto"/>
        </w:rPr>
        <w:t>Asterias acquired from Geron rights to its immunological cancer therapy product VAC1, including the IND for clinical trials conducted by Geron and the related drug master files. VAC1 is an autologous product (using cells that come from the treated patient) consisting of mature antigen-presenting dendritic cells pulsed with RNA for the protein component of human telomerase (“hTERT”) and a portion of a lysosomal targeting signal ("LAMP"). LAMP directs the telomerase RNA to the lysosome, the subcellular organelle that directs the RNA to a particular part of the cell membrane. VAC1 is injected into the patient’s skin; and from there the dendritic cells travel to the lymph nodes and instruct cytotoxic T-cells (T-cells that "kill" other cells) to kill tumor cells that express telomerase on their surface.</w:t>
      </w:r>
    </w:p>
    <w:p>
      <w:pPr>
        <w:spacing w:after="0" w:line="181" w:lineRule="exact"/>
        <w:rPr>
          <w:sz w:val="20"/>
          <w:szCs w:val="20"/>
          <w:color w:val="auto"/>
        </w:rPr>
      </w:pPr>
    </w:p>
    <w:p>
      <w:pPr>
        <w:jc w:val="both"/>
        <w:ind w:right="100" w:firstLine="567"/>
        <w:spacing w:after="0" w:line="253" w:lineRule="auto"/>
        <w:rPr>
          <w:sz w:val="20"/>
          <w:szCs w:val="20"/>
          <w:color w:val="auto"/>
        </w:rPr>
      </w:pPr>
      <w:r>
        <w:rPr>
          <w:rFonts w:ascii="Arial" w:cs="Arial" w:eastAsia="Arial" w:hAnsi="Arial"/>
          <w:sz w:val="16"/>
          <w:szCs w:val="16"/>
          <w:color w:val="auto"/>
        </w:rPr>
        <w:t>A Geron-sponsored Phase I/II clinical trial of VAC1 was conducted at six U.S. medical centers in patients with acute myelogenous leukemia (“AML”) in complete clinical remission. The trial examined the safety and feasibility of a prime-boost vaccination regimen (an initial injection ("prime") followed by multiple additional injections ("boost")) to generate and extend the duration of telomerase immunity. Geron evaluated the immune response to VAC1 and explored the effects of vaccination on minimal residual disease and relapse rates. This trial completed patient enrollment in December 2009.</w:t>
      </w:r>
    </w:p>
    <w:p>
      <w:pPr>
        <w:spacing w:after="0" w:line="193" w:lineRule="exact"/>
        <w:rPr>
          <w:sz w:val="20"/>
          <w:szCs w:val="20"/>
          <w:color w:val="auto"/>
        </w:rPr>
      </w:pPr>
    </w:p>
    <w:p>
      <w:pPr>
        <w:ind w:right="80" w:firstLine="567"/>
        <w:spacing w:after="0" w:line="250" w:lineRule="auto"/>
        <w:rPr>
          <w:sz w:val="20"/>
          <w:szCs w:val="20"/>
          <w:color w:val="auto"/>
        </w:rPr>
      </w:pPr>
      <w:r>
        <w:rPr>
          <w:rFonts w:ascii="Arial" w:cs="Arial" w:eastAsia="Arial" w:hAnsi="Arial"/>
          <w:sz w:val="16"/>
          <w:szCs w:val="16"/>
          <w:color w:val="auto"/>
        </w:rPr>
        <w:t>In the Phase I/II clinical trial, patients with AML entered the study in their first or second complete remission. Prior to or shortly after completing consolidation chemotherapy, patients underwent leukapheresis (collection of white blood cells) to harvest normal peripheral blood mononuclear (white blood) cells for vaccine manufacture. VAC1 was produced at a centralized manufacturing facility from the patient-specific leukapheresis harvests. Patient mononuclear cells were differentiated in culture to immature dendritic cells, which were transfected with messenger RNA encoding hTERT and LAMP. Transfected dendritic cells were matured, aliquoted and cryopreserved. VAC1 was released for patient dosing contingent on several product specifications that included identity of mature dendritic cells, confirmation of positive transfection with hTERT, number of viable cells per dose after thawing, and product sterility.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 w:name="page23"/>
    <w:bookmarkEnd w:id="2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60" w:firstLine="567"/>
        <w:spacing w:after="0" w:line="253" w:lineRule="auto"/>
        <w:rPr>
          <w:sz w:val="20"/>
          <w:szCs w:val="20"/>
          <w:color w:val="auto"/>
        </w:rPr>
      </w:pPr>
      <w:r>
        <w:rPr>
          <w:rFonts w:ascii="Arial" w:cs="Arial" w:eastAsia="Arial" w:hAnsi="Arial"/>
          <w:sz w:val="16"/>
          <w:szCs w:val="16"/>
          <w:color w:val="auto"/>
        </w:rPr>
        <w:t>VAC1 was successfully manufactured and released in 21 out of the 31 patients enrolled in the study. These results reflect the variability of patient derived starting material that is often associated with an autologous, patient-specific product. Patients were vaccinated weekly for six weeks with VAC1 administered intra-dermally, followed by a non-treatment period of four weeks, and then subsequent boost injections every other week for 12 weeks. Monthly extended boost injections were then administered until the vaccine product supply was depleted or the patient relapsed.</w:t>
      </w:r>
    </w:p>
    <w:p>
      <w:pPr>
        <w:spacing w:after="0" w:line="193" w:lineRule="exact"/>
        <w:rPr>
          <w:sz w:val="20"/>
          <w:szCs w:val="20"/>
          <w:color w:val="auto"/>
        </w:rPr>
      </w:pPr>
    </w:p>
    <w:p>
      <w:pPr>
        <w:ind w:right="20" w:firstLine="567"/>
        <w:spacing w:after="0" w:line="267" w:lineRule="auto"/>
        <w:rPr>
          <w:sz w:val="20"/>
          <w:szCs w:val="20"/>
          <w:color w:val="auto"/>
        </w:rPr>
      </w:pPr>
      <w:r>
        <w:rPr>
          <w:rFonts w:ascii="Arial" w:cs="Arial" w:eastAsia="Arial" w:hAnsi="Arial"/>
          <w:sz w:val="15"/>
          <w:szCs w:val="15"/>
          <w:color w:val="auto"/>
        </w:rPr>
        <w:t>Twenty-one patients received VAC1 in the study, including 19 in clinical remission and two in early relapse. Of the 19 patients in clinical remission, eight were considered at intermediate risk for relapse and eleven were at high risk for relapse as predicted by their cytogenetics (gene expression pattern in the AML cells), FAB type (French-American-British classification of AML into 8 subtypes), or because they were in second clinical remission. Thirteen out of 21 patients in the trial remained in clinical remission at a median duration of follow-up from first vaccination of 13.2 months. At 12 months after vaccination with VAC1, estimated disease-free survival was 81% for patients at high-risk of relapse (95% CI: 42-95%). The confidence interval (“CI”) of 95% means that the true value is between 42 and 95 with a probability of 95%. Previously published data on this patient population suggests that approximately 45% of patients would normally remain free from relapse at this stage. VAC1 was found to have a favorable safety and tolerability profile in this study over multiple vaccinations, with up to 32 serial vaccinations administered (median = 17). Idiopathic thrombocytopenic purpura (bleeding into the skin caused by low platelets in blood) (grade 3-4) was reported in one patient. Other toxicities (grade 1-2) included rash or headache. These data from the Phase I/II trial were presented at the December 2010 American Society of Hematology annual meeting.</w:t>
      </w:r>
    </w:p>
    <w:p>
      <w:pPr>
        <w:spacing w:after="0" w:line="187" w:lineRule="exact"/>
        <w:rPr>
          <w:sz w:val="20"/>
          <w:szCs w:val="20"/>
          <w:color w:val="auto"/>
        </w:rPr>
      </w:pPr>
    </w:p>
    <w:p>
      <w:pPr>
        <w:ind w:firstLine="567"/>
        <w:spacing w:after="0" w:line="293" w:lineRule="auto"/>
        <w:rPr>
          <w:sz w:val="20"/>
          <w:szCs w:val="20"/>
          <w:color w:val="auto"/>
        </w:rPr>
      </w:pPr>
      <w:r>
        <w:rPr>
          <w:rFonts w:ascii="Arial" w:cs="Arial" w:eastAsia="Arial" w:hAnsi="Arial"/>
          <w:sz w:val="14"/>
          <w:szCs w:val="14"/>
          <w:color w:val="auto"/>
        </w:rPr>
        <w:t>Expression of WT-1, a marker of minimal residual disease, was sequentially analyzed by qPCR (quantitative polymerase chain reaction - a method to identify DNA modules) in 21 patients. The 13 patients who remain in clinical remission remain negative for WT-1, while six of seven with clinical relapse were WT-1 positive. One patient was positive for WT-1 prior to vaccination with VAC1 and became WT-1 negative during the course of vaccination. This patient relapsed after 30 months. Asterias has begun follow-up data collection on the 21 patients treated in the study at the six participating U.S. medical centers to determine the long term effects, if any, of the VAC1 administration on remission duration and disease-free survival. Depending upon the results of that analysis, Asterias will then decide whether to continue VAC1 development in AML or another cancer indication ourselves or in conjunction with a development partner. Asterias expects the follow-up data collection to be completed in the first half of 2014.</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CHND1: Chondrocytes for Cartilage Disorders and Degenerative Disc Disease</w:t>
      </w:r>
    </w:p>
    <w:p>
      <w:pPr>
        <w:spacing w:after="0" w:line="194" w:lineRule="exact"/>
        <w:rPr>
          <w:sz w:val="20"/>
          <w:szCs w:val="20"/>
          <w:color w:val="auto"/>
        </w:rPr>
      </w:pPr>
    </w:p>
    <w:p>
      <w:pPr>
        <w:ind w:right="20" w:firstLine="567"/>
        <w:spacing w:after="0" w:line="270" w:lineRule="auto"/>
        <w:rPr>
          <w:sz w:val="20"/>
          <w:szCs w:val="20"/>
          <w:color w:val="auto"/>
        </w:rPr>
      </w:pPr>
      <w:r>
        <w:rPr>
          <w:rFonts w:ascii="Arial" w:cs="Arial" w:eastAsia="Arial" w:hAnsi="Arial"/>
          <w:sz w:val="15"/>
          <w:szCs w:val="15"/>
          <w:color w:val="auto"/>
        </w:rPr>
        <w:t>Articular cartilage is the shock absorber for joints. Cartilage is a complex tissue with multiple cell levels and is avascular (without blood vessels), and without neurons or lymphatics, and has very low cell division. Injury or chronic wear and tear can cause defects in cartilage in both joints and intervertebral discs that increase over time and leads to permanent disability due to the fact that damaged cartilage cannot generally regenerate itself in response to damage to the tissue. Current procedures for cartilage repair using adult-derived cells generally show less than ideal efficacy. The unmet medical need is for a source of reparative cells that can regenerate true articular cartilage and that does not require biopsy or multiple surgical procedures for installation. Pluripotent stem cell-derived chondrocytes have been shown in animal models of osteoarthritis to mature in situ (in place) and form stable articular cartilage for at least nine months in the knee joint.</w:t>
      </w:r>
    </w:p>
    <w:p>
      <w:pPr>
        <w:spacing w:after="0" w:line="159" w:lineRule="exact"/>
        <w:rPr>
          <w:sz w:val="20"/>
          <w:szCs w:val="20"/>
          <w:color w:val="auto"/>
        </w:rPr>
      </w:pPr>
    </w:p>
    <w:p>
      <w:pPr>
        <w:jc w:val="both"/>
        <w:ind w:right="120" w:firstLine="567"/>
        <w:spacing w:after="0" w:line="257" w:lineRule="auto"/>
        <w:rPr>
          <w:sz w:val="20"/>
          <w:szCs w:val="20"/>
          <w:color w:val="auto"/>
        </w:rPr>
      </w:pPr>
      <w:r>
        <w:rPr>
          <w:rFonts w:ascii="Arial" w:cs="Arial" w:eastAsia="Arial" w:hAnsi="Arial"/>
          <w:sz w:val="16"/>
          <w:szCs w:val="16"/>
          <w:color w:val="auto"/>
        </w:rPr>
        <w:t>The global market for surgical and pharmacological interventions for patients with osteo-arthritis is estimated to exceed $12 billion per year. The CDC has estimated that there are 27 million osteoarthritis sufferers in the U.S. alone, so a suitable supply of therapeutic cells for use in cartilage regeneration could potentially address a very large market. The market for degenerative disc disease is thought to be even larger.</w:t>
      </w:r>
    </w:p>
    <w:p>
      <w:pPr>
        <w:spacing w:after="0" w:line="165" w:lineRule="exact"/>
        <w:rPr>
          <w:sz w:val="20"/>
          <w:szCs w:val="20"/>
          <w:color w:val="auto"/>
        </w:rPr>
      </w:pPr>
    </w:p>
    <w:p>
      <w:pPr>
        <w:ind w:firstLine="567"/>
        <w:spacing w:after="0" w:line="251" w:lineRule="auto"/>
        <w:rPr>
          <w:sz w:val="20"/>
          <w:szCs w:val="20"/>
          <w:color w:val="auto"/>
        </w:rPr>
      </w:pPr>
      <w:r>
        <w:rPr>
          <w:rFonts w:ascii="Arial" w:cs="Arial" w:eastAsia="Arial" w:hAnsi="Arial"/>
          <w:sz w:val="16"/>
          <w:szCs w:val="16"/>
          <w:color w:val="auto"/>
        </w:rPr>
        <w:t>Asterias’ CHND1 cells are hES cell-derived human cartilage-forming cells. Sourced from large cGMP human embryonic stem cell banks, they can be potentially produced in large multi-dose production lots, quality controlled and cryo-preserved for shipping and storage to achieve an “off-the-shelf” product description. The differentiation process developed for CHND1 produces human cartilage forming cells that express the appropriate chondrocyte genes, including SOX9, COL2A1, COL9A1, and ACAN with embryonic stem cell markers undetectable in the final preparation. The chondrocytes produced by this methodology have undergone a significant degree of characterization and produce the appropriate markers of articular cartilage in vitro.</w:t>
      </w:r>
    </w:p>
    <w:p>
      <w:pPr>
        <w:spacing w:after="0" w:line="172" w:lineRule="exact"/>
        <w:rPr>
          <w:sz w:val="20"/>
          <w:szCs w:val="20"/>
          <w:color w:val="auto"/>
        </w:rPr>
      </w:pPr>
    </w:p>
    <w:p>
      <w:pPr>
        <w:ind w:right="40" w:firstLine="567"/>
        <w:spacing w:after="0" w:line="245" w:lineRule="auto"/>
        <w:rPr>
          <w:sz w:val="20"/>
          <w:szCs w:val="20"/>
          <w:color w:val="auto"/>
        </w:rPr>
      </w:pPr>
      <w:r>
        <w:rPr>
          <w:rFonts w:ascii="Arial" w:cs="Arial" w:eastAsia="Arial" w:hAnsi="Arial"/>
          <w:sz w:val="15"/>
          <w:szCs w:val="15"/>
          <w:color w:val="auto"/>
        </w:rPr>
        <w:t xml:space="preserve">The CHND1 cells have been tested in two animal models of osteoarthritis, in which a trochlear groove defect is made in the knee of immune-competent rats into which a single injection of CHND1 is implanted as a micromass into the articular defect without immune suppression. CHND1 cells have also been tested in a large sheep animal model of osteoarthritis in which an 8 millimeter defect was surgically created in the animal’s knee and CHND1 cells were implanted in the injured site under a nylon membrane. As in the rodent studies, no immune suppression was required. Defect repair was studied after 21 days in vivo in the sheep model as articular cartilage and repaired subchondral (beneath cartilage) bone. Further optimization will be required to enable full thickness, long-term cartilage regeneration in this large animal, weight bearing joint model. Asterias anticipates that the next steps for CHND1 product development would be to improve the surgical delivery and retention in the large, weight bearing sheep model by integrating their CHND1 cells with our </w:t>
      </w:r>
      <w:r>
        <w:rPr>
          <w:rFonts w:ascii="Arial" w:cs="Arial" w:eastAsia="Arial" w:hAnsi="Arial"/>
          <w:sz w:val="15"/>
          <w:szCs w:val="15"/>
          <w:i w:val="1"/>
          <w:iCs w:val="1"/>
          <w:color w:val="auto"/>
        </w:rPr>
        <w:t>HyStem</w:t>
      </w:r>
      <w:r>
        <w:rPr>
          <w:rFonts w:ascii="Arial" w:cs="Arial" w:eastAsia="Arial" w:hAnsi="Arial"/>
          <w:sz w:val="25"/>
          <w:szCs w:val="25"/>
          <w:i w:val="1"/>
          <w:iCs w:val="1"/>
          <w:color w:val="auto"/>
          <w:vertAlign w:val="superscript"/>
        </w:rPr>
        <w:t>®</w:t>
      </w:r>
      <w:r>
        <w:rPr>
          <w:rFonts w:ascii="Arial" w:cs="Arial" w:eastAsia="Arial" w:hAnsi="Arial"/>
          <w:sz w:val="15"/>
          <w:szCs w:val="15"/>
          <w:color w:val="auto"/>
        </w:rPr>
        <w:t xml:space="preserve"> hydrogel technology, and to continue scale-up and process optimization to enable the generation of animal data sufficient for an IND submission, which could potentially lead to a Phase I clinical trial in patients with osteoarthritis.</w:t>
      </w:r>
    </w:p>
    <w:p>
      <w:pPr>
        <w:spacing w:after="0" w:line="176" w:lineRule="exact"/>
        <w:rPr>
          <w:sz w:val="20"/>
          <w:szCs w:val="20"/>
          <w:color w:val="auto"/>
        </w:rPr>
      </w:pPr>
    </w:p>
    <w:p>
      <w:pPr>
        <w:ind w:right="240" w:firstLine="567"/>
        <w:spacing w:after="0" w:line="267" w:lineRule="auto"/>
        <w:rPr>
          <w:sz w:val="20"/>
          <w:szCs w:val="20"/>
          <w:color w:val="auto"/>
        </w:rPr>
      </w:pPr>
      <w:r>
        <w:rPr>
          <w:rFonts w:ascii="Arial" w:cs="Arial" w:eastAsia="Arial" w:hAnsi="Arial"/>
          <w:sz w:val="16"/>
          <w:szCs w:val="16"/>
          <w:color w:val="auto"/>
        </w:rPr>
        <w:t>Although Asterias has not yet tested CHND1 in models of degenerative disc disease (DDD) the pathology of DDD is similar to that of osteoarthritis and several groups, including our subsidiary OrthoCyte, have demonstrated disc repair in animals using chondrogenic cells similar to CHND1.</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23" w:name="page24"/>
    <w:bookmarkEnd w:id="2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60" w:firstLine="567"/>
        <w:spacing w:after="0" w:line="250" w:lineRule="auto"/>
        <w:rPr>
          <w:sz w:val="20"/>
          <w:szCs w:val="20"/>
          <w:color w:val="auto"/>
        </w:rPr>
      </w:pPr>
      <w:r>
        <w:rPr>
          <w:rFonts w:ascii="Arial" w:cs="Arial" w:eastAsia="Arial" w:hAnsi="Arial"/>
          <w:sz w:val="16"/>
          <w:szCs w:val="16"/>
          <w:color w:val="auto"/>
        </w:rPr>
        <w:t>An additional feature of Asterias' CHND1 program involves the integration of BioTime HyStem® hydrogel technology with CHND1. The hydrogel is essentially a covalently linked extra cellular matrix formulation that is mixed with cells just prior to injection while the gel is in the liquid phase. A cross linker is then added to the gel and cell mixture as the cells are injected into the tissue to be repaired. Depending upon the amount of cross linker added and other controllable characteristics of the hydrogel, the final gel and cell mixture can quickly congeal into a jello-like consistency with the cells imbedded in the gel, which is subsequently resorbed by the body over several weeks, or, on the other extreme, the gel can harden into a much firmer, fibrocartilage-like material with a retention in the body for many months. BioTime collaborators have demonstrated that chondrogenic cells are highly compatible with the hydrogel both in vitro and in vivo, providing the rationale for us to optimize the formulation of the hydrogel for application in both osteoarthritis and DDD.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Near-term Development Strategy for CHND1</w:t>
      </w:r>
    </w:p>
    <w:p>
      <w:pPr>
        <w:spacing w:after="0" w:line="210" w:lineRule="exact"/>
        <w:rPr>
          <w:sz w:val="20"/>
          <w:szCs w:val="20"/>
          <w:color w:val="auto"/>
        </w:rPr>
      </w:pPr>
    </w:p>
    <w:p>
      <w:pPr>
        <w:ind w:right="80" w:firstLine="567"/>
        <w:spacing w:after="0" w:line="258" w:lineRule="auto"/>
        <w:rPr>
          <w:sz w:val="20"/>
          <w:szCs w:val="20"/>
          <w:color w:val="auto"/>
        </w:rPr>
      </w:pPr>
      <w:r>
        <w:rPr>
          <w:rFonts w:ascii="Arial" w:cs="Arial" w:eastAsia="Arial" w:hAnsi="Arial"/>
          <w:sz w:val="14"/>
          <w:szCs w:val="14"/>
          <w:color w:val="auto"/>
        </w:rPr>
        <w:t xml:space="preserve">Asterias plans to develop a scalable manufacturing process for CHND1 and to optimize a formulation of our </w:t>
      </w:r>
      <w:r>
        <w:rPr>
          <w:rFonts w:ascii="Arial" w:cs="Arial" w:eastAsia="Arial" w:hAnsi="Arial"/>
          <w:sz w:val="14"/>
          <w:szCs w:val="14"/>
          <w:i w:val="1"/>
          <w:iCs w:val="1"/>
          <w:color w:val="auto"/>
        </w:rPr>
        <w:t>HyStem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hydrogel that will improve CHND1 retention after injection into weight-bearing joints or degenerating intervertebral discs of animal models. Asterias has identified the steps in the current process that need improvement or scale up and have identified cellular markers on CHND1 that can be used in the assay development work required to support clinical grade manufacturing of the product candidate for use in animal studies from which Asterias plans to acquire data to support an IND filing with the FDA. Asterias will also need to develop methods to cryopreserve CHND1 after manufacturing to enable long term storage, shipment to clinical trial sites and off the shelf availability for subjects in the planned trials.</w:t>
      </w:r>
    </w:p>
    <w:p>
      <w:pPr>
        <w:spacing w:after="0" w:line="190" w:lineRule="exact"/>
        <w:rPr>
          <w:sz w:val="20"/>
          <w:szCs w:val="20"/>
          <w:color w:val="auto"/>
        </w:rPr>
      </w:pPr>
    </w:p>
    <w:p>
      <w:pPr>
        <w:ind w:right="160" w:firstLine="567"/>
        <w:spacing w:after="0" w:line="257" w:lineRule="auto"/>
        <w:rPr>
          <w:sz w:val="20"/>
          <w:szCs w:val="20"/>
          <w:color w:val="auto"/>
        </w:rPr>
      </w:pPr>
      <w:r>
        <w:rPr>
          <w:rFonts w:ascii="Arial" w:cs="Arial" w:eastAsia="Arial" w:hAnsi="Arial"/>
          <w:sz w:val="16"/>
          <w:szCs w:val="16"/>
          <w:color w:val="auto"/>
        </w:rPr>
        <w:t>The hydrogel formulation will need to be optimized to ensure compatibility with CHND1 cells and to improve the retention of the cells after injection into weight bearing arthritic joints and degenerating intervertebral discs of animal models of these two conditions. Appropriate concentrations of various components of the hydrogel will need to be determined to maximize the viability and retention of the injected cells into the damaged joint or disc.</w:t>
      </w:r>
    </w:p>
    <w:p>
      <w:pPr>
        <w:spacing w:after="0" w:line="189" w:lineRule="exact"/>
        <w:rPr>
          <w:sz w:val="20"/>
          <w:szCs w:val="20"/>
          <w:color w:val="auto"/>
        </w:rPr>
      </w:pPr>
    </w:p>
    <w:p>
      <w:pPr>
        <w:ind w:right="220" w:firstLine="567"/>
        <w:spacing w:after="0" w:line="267" w:lineRule="auto"/>
        <w:rPr>
          <w:sz w:val="20"/>
          <w:szCs w:val="20"/>
          <w:color w:val="auto"/>
        </w:rPr>
      </w:pPr>
      <w:r>
        <w:rPr>
          <w:rFonts w:ascii="Arial" w:cs="Arial" w:eastAsia="Arial" w:hAnsi="Arial"/>
          <w:sz w:val="16"/>
          <w:szCs w:val="16"/>
          <w:color w:val="auto"/>
        </w:rPr>
        <w:t>Asterias has entered into a Material Transfer Agreement with us through which they may obtain BioTime hydrogel for research use, but Asterias will need to enter into a sublicense agreement with us in order to use the patented hydrogel technology with their CHND1 cells in humans.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Potential Development Collaboration for manufacture of CHND1</w:t>
      </w:r>
    </w:p>
    <w:p>
      <w:pPr>
        <w:spacing w:after="0" w:line="218" w:lineRule="exact"/>
        <w:rPr>
          <w:sz w:val="20"/>
          <w:szCs w:val="20"/>
          <w:color w:val="auto"/>
        </w:rPr>
      </w:pPr>
    </w:p>
    <w:p>
      <w:pPr>
        <w:ind w:firstLine="567"/>
        <w:spacing w:after="0" w:line="253" w:lineRule="auto"/>
        <w:rPr>
          <w:sz w:val="20"/>
          <w:szCs w:val="20"/>
          <w:color w:val="auto"/>
        </w:rPr>
      </w:pPr>
      <w:r>
        <w:rPr>
          <w:rFonts w:ascii="Arial" w:cs="Arial" w:eastAsia="Arial" w:hAnsi="Arial"/>
          <w:sz w:val="16"/>
          <w:szCs w:val="16"/>
          <w:color w:val="auto"/>
        </w:rPr>
        <w:t>Asterias is in early-stage discussions with a United Kingdom based technology innovation center seeking their support for the development of advanced manufacturing processes for CHND1. Methods developed at the technology innovation center would be incorporated in future commercial manufacturing processes for the product. An alliance with the technology innovation center would be on a specific project basis and would require multiple approvals from different committees and boards at the center. There can be no assurance that Asterias will reach an agreement with the center for this project.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CM1: Cell Therapy for Myocardial Disease</w:t>
      </w:r>
    </w:p>
    <w:p>
      <w:pPr>
        <w:spacing w:after="0" w:line="218" w:lineRule="exact"/>
        <w:rPr>
          <w:sz w:val="20"/>
          <w:szCs w:val="20"/>
          <w:color w:val="auto"/>
        </w:rPr>
      </w:pPr>
    </w:p>
    <w:p>
      <w:pPr>
        <w:ind w:right="120" w:firstLine="567"/>
        <w:spacing w:after="0" w:line="253" w:lineRule="auto"/>
        <w:rPr>
          <w:sz w:val="20"/>
          <w:szCs w:val="20"/>
          <w:color w:val="auto"/>
        </w:rPr>
      </w:pPr>
      <w:r>
        <w:rPr>
          <w:rFonts w:ascii="Arial" w:cs="Arial" w:eastAsia="Arial" w:hAnsi="Arial"/>
          <w:sz w:val="16"/>
          <w:szCs w:val="16"/>
          <w:color w:val="auto"/>
        </w:rPr>
        <w:t>In heart failure, ischemic injury to the myocardium, or heart, in the form of myocardial infarction leads to cell death and loss of contractility. In a process called pathological remodeling, progressive deterioration of tissue structure leads to further cell death and loss of contractility. Although heart failure is treatable by a wide variety of pharmacologic agents with varied success, no conventional drug or biologic can restore the damaged heart wall muscle structure. Therefore, there is an urgent, unmet medical need to restore contractile function and prevent pathological remodeling.</w:t>
      </w:r>
    </w:p>
    <w:p>
      <w:pPr>
        <w:spacing w:after="0" w:line="193" w:lineRule="exact"/>
        <w:rPr>
          <w:sz w:val="20"/>
          <w:szCs w:val="20"/>
          <w:color w:val="auto"/>
        </w:rPr>
      </w:pPr>
    </w:p>
    <w:p>
      <w:pPr>
        <w:ind w:firstLine="567"/>
        <w:spacing w:after="0" w:line="250" w:lineRule="auto"/>
        <w:rPr>
          <w:sz w:val="20"/>
          <w:szCs w:val="20"/>
          <w:color w:val="auto"/>
        </w:rPr>
      </w:pPr>
      <w:r>
        <w:rPr>
          <w:rFonts w:ascii="Arial" w:cs="Arial" w:eastAsia="Arial" w:hAnsi="Arial"/>
          <w:sz w:val="16"/>
          <w:szCs w:val="16"/>
          <w:color w:val="auto"/>
        </w:rPr>
        <w:t xml:space="preserve">CM1, hES cell-derived cardiomyocytes, have been extensively characterized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The product is predominantly composed of ventricular cardiomyocytes that have been shown to electrically and mechanically couple to the animal myocardium in which they are injected and contract in synchrony with the animal host ventricular cells. CM1 has been shown in animal studies to repopulate a scar with healthy cardiac tissue. The cells have shown to be completely responsive to all major classes of current cardiac pharmacologic agents, which is important because patients who may receive CM1 for heart failure will also concurrently be treated with existing drugs. It is therefore important that the injected tissue responds to cardiac drugs appropriately. Geron had optimized and validated a scalable production methodology to meet the volumes of product required for such a large medical market.</w:t>
      </w:r>
    </w:p>
    <w:p>
      <w:pPr>
        <w:spacing w:after="0" w:line="197" w:lineRule="exact"/>
        <w:rPr>
          <w:sz w:val="20"/>
          <w:szCs w:val="20"/>
          <w:color w:val="auto"/>
        </w:rPr>
      </w:pPr>
    </w:p>
    <w:p>
      <w:pPr>
        <w:ind w:right="20" w:firstLine="567"/>
        <w:spacing w:after="0" w:line="287" w:lineRule="auto"/>
        <w:rPr>
          <w:sz w:val="20"/>
          <w:szCs w:val="20"/>
          <w:color w:val="auto"/>
        </w:rPr>
      </w:pPr>
      <w:r>
        <w:rPr>
          <w:rFonts w:ascii="Arial" w:cs="Arial" w:eastAsia="Arial" w:hAnsi="Arial"/>
          <w:sz w:val="14"/>
          <w:szCs w:val="14"/>
          <w:color w:val="auto"/>
        </w:rPr>
        <w:t xml:space="preserve">CM1 cells have been subjected to extensive pharmacologic, electro-physiologic and molecular biological testing both in-house and in the laboratories of numerous academic collaborators. Extensive immuno-cytochemical analysis using antibodies that mark specific cell structures has shown that CM1 cells express cardiac sarcomeric and gap junction proteins (biochemical components of heart muscle cells) and appropriate transcription factors (molecules that allow the expression of a specific gene) to unequivocally identify them as human ventricular cardiac cells. Over 80% of cells in the CM1 preparation are ventricular cardiomyocytes with the appropriate electrophysiological de-polarization pattern and appropriate drug responses to HERG-channel blockers (drugs that block certain ion transport channels in heart cells), calcium channel blockers (drugs that block calcium transport into and out of heart cells) and other cardio-active agents. The cells display mature excitation contraction coupling properties, including the influx of external calcium ions through L-type calcium channels which are required for electro-chemical coupling. As is the case for OPC1, CM1 cells have been shown to not be susceptible to immune responses to genetically different human cells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The cells express HL-A B and C alleles, but not Class 2 alleles. These alleles are markers of human immune "types", akin to blood "types". Even after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treatment with interferon gamma, CM1 cells do not stimulate allogenic T-cells </w:t>
      </w:r>
      <w:r>
        <w:rPr>
          <w:rFonts w:ascii="Arial" w:cs="Arial" w:eastAsia="Arial" w:hAnsi="Arial"/>
          <w:sz w:val="14"/>
          <w:szCs w:val="14"/>
          <w:i w:val="1"/>
          <w:iCs w:val="1"/>
          <w:color w:val="auto"/>
        </w:rPr>
        <w:t>in vitro</w:t>
      </w:r>
      <w:r>
        <w:rPr>
          <w:rFonts w:ascii="Arial" w:cs="Arial" w:eastAsia="Arial" w:hAnsi="Arial"/>
          <w:sz w:val="14"/>
          <w:szCs w:val="14"/>
          <w:color w:val="auto"/>
        </w:rPr>
        <w:t>. The use of allogenic T-cells in the studies means that the T-cells came from an individual who is genetically different from the source of the CM1 cells. Furthermore, CM1 is resistant to human serum antibody mediated cyto-toxicity. These results suggest, as in the case of OPC1, the need for only transient, low-dose immune suppression in the immediate post-injection period.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4" w:name="page25"/>
    <w:bookmarkEnd w:id="2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40" w:firstLine="567"/>
        <w:spacing w:after="0" w:line="250" w:lineRule="auto"/>
        <w:rPr>
          <w:sz w:val="20"/>
          <w:szCs w:val="20"/>
          <w:color w:val="auto"/>
        </w:rPr>
      </w:pPr>
      <w:r>
        <w:rPr>
          <w:rFonts w:ascii="Arial" w:cs="Arial" w:eastAsia="Arial" w:hAnsi="Arial"/>
          <w:sz w:val="16"/>
          <w:szCs w:val="16"/>
          <w:color w:val="auto"/>
        </w:rPr>
        <w:t>CM1 cells have been tested in three animal models of myocardial infarction: the rat, the guinea pig and large pig. In all three animal models, CM1, after a single injection, forms long lasting cardiomyocyte grafts which form in the scar tissue into which they are injected. The cells induce host vascular proliferation which enables the long-term survival of the injected human cells. CM1 has been shown to couple electrically and mechanically with the host myocardium. The cells significantly improve ejection fraction (blood pumping efficiency) in both acute rat infarcts, and chronic infarcts in a large pig model. The rat ejection fraction improved from 45% to 50% (p=0.05); the pig ejection fraction improved by 12 percentage points (from 40% to 52%) (p=0.002). The P Value is the probability that the observed difference occurred by chance. P Values equal to or less than .05 are considered to be "significant" or unlikely to be due to chance alone.</w:t>
      </w:r>
    </w:p>
    <w:p>
      <w:pPr>
        <w:spacing w:after="0" w:line="197" w:lineRule="exact"/>
        <w:rPr>
          <w:sz w:val="20"/>
          <w:szCs w:val="20"/>
          <w:color w:val="auto"/>
        </w:rPr>
      </w:pPr>
    </w:p>
    <w:p>
      <w:pPr>
        <w:ind w:right="40" w:firstLine="567"/>
        <w:spacing w:after="0" w:line="268" w:lineRule="auto"/>
        <w:rPr>
          <w:sz w:val="20"/>
          <w:szCs w:val="20"/>
          <w:color w:val="auto"/>
        </w:rPr>
      </w:pPr>
      <w:r>
        <w:rPr>
          <w:rFonts w:ascii="Arial" w:cs="Arial" w:eastAsia="Arial" w:hAnsi="Arial"/>
          <w:sz w:val="15"/>
          <w:szCs w:val="15"/>
          <w:color w:val="auto"/>
        </w:rPr>
        <w:t>Toxicity studies have demonstrated a favorable safety profile for these cells. The cells did not increase arrhythmias in two of three animal models, even during the induction of an arrhythmia after injection. In one of the models (guinea pig) the frequency of induced arrhythmias was decreased in animals that have received the CM1 product, presumably because the CM1 product increases normal electrical conductivity across the infarct zone. In the large pig model, arrhythmias were observed, possibly due to the inflammation at the injection site due to incomplete immune suppression. Improved ejection fraction has been documented in two animal models using echo cardiography. The magnitude of the improvement in ejection fraction is clinically and statistically significant. We believe that CM1 is the only hES cell-based cardiomyocyte cell therapy for myocardial disease that has shown stable and durable engraftment with living functional cardiomyocytes after injection into animal models of myocardial disease. The beneficial effects in the animal models are likely due to the persistence of the injected cells rather than a transient effect produced by secretion factors of cells that do not persist after injection, such as injected bone marrow cells, or mesenchymal stem cells.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IC1: hES Cell-Derived Islets for the Treatment of Diabetes</w:t>
      </w:r>
    </w:p>
    <w:p>
      <w:pPr>
        <w:spacing w:after="0" w:line="218" w:lineRule="exact"/>
        <w:rPr>
          <w:sz w:val="20"/>
          <w:szCs w:val="20"/>
          <w:color w:val="auto"/>
        </w:rPr>
      </w:pPr>
    </w:p>
    <w:p>
      <w:pPr>
        <w:ind w:firstLine="567"/>
        <w:spacing w:after="0" w:line="267" w:lineRule="auto"/>
        <w:rPr>
          <w:sz w:val="20"/>
          <w:szCs w:val="20"/>
          <w:color w:val="auto"/>
        </w:rPr>
      </w:pPr>
      <w:r>
        <w:rPr>
          <w:rFonts w:ascii="Arial" w:cs="Arial" w:eastAsia="Arial" w:hAnsi="Arial"/>
          <w:sz w:val="15"/>
          <w:szCs w:val="15"/>
          <w:color w:val="auto"/>
        </w:rPr>
        <w:t xml:space="preserve">Approximately 26% of adult diabetic patients receive insulin therapy. Injected insulin, while effective at reducing hyperglycemic (high blood sugar) episodes, requires constant monitoring. Despite sophisticated pump systems and rapid glucose monitoring tests, changes in blood glucose levels still occur and exogenous insulin fails to prevent systemic complications of the disease. Proof of concept for cell therapy interventions in diabetes were provided by the cadaveric islet transplants performed according to the so-called Edmonton protocol. Although these cells reversed hypoglycemia (low blood sugar), the cadaveric islets have poor viability, differ widely in function and are often associated with a severe complication called portal hypertension (high blood pressure in the liver). The annual availability of cadaveric islets is less than 0.1% of the number of cases of Type 1 diabetes prevalent in North America. Therefore, a substantial unmet medical need exists for a consistent and scalable source of high quality human islet cells for transplantation. IC1 is a highly viable hES cell-derived islet progenitor population that potentially could satisfy that unmet medical need. Multiple animal studies have shown that IC1 cells, after injection, mature in the animal to express all islet hormones, process and release insulin in response to high glucose challenge, and reverse hyperglycemia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in rodent models of diabetes.</w:t>
      </w:r>
    </w:p>
    <w:p>
      <w:pPr>
        <w:spacing w:after="0" w:line="179" w:lineRule="exact"/>
        <w:rPr>
          <w:sz w:val="20"/>
          <w:szCs w:val="20"/>
          <w:color w:val="auto"/>
        </w:rPr>
      </w:pPr>
    </w:p>
    <w:p>
      <w:pPr>
        <w:ind w:right="40" w:firstLine="567"/>
        <w:spacing w:after="0"/>
        <w:rPr>
          <w:sz w:val="20"/>
          <w:szCs w:val="20"/>
          <w:color w:val="auto"/>
        </w:rPr>
      </w:pPr>
      <w:r>
        <w:rPr>
          <w:rFonts w:ascii="Arial" w:cs="Arial" w:eastAsia="Arial" w:hAnsi="Arial"/>
          <w:sz w:val="15"/>
          <w:szCs w:val="15"/>
          <w:color w:val="auto"/>
        </w:rPr>
        <w:t>The IC1 product profile is envisioned to require 10</w:t>
      </w:r>
      <w:r>
        <w:rPr>
          <w:rFonts w:ascii="Arial" w:cs="Arial" w:eastAsia="Arial" w:hAnsi="Arial"/>
          <w:sz w:val="25"/>
          <w:szCs w:val="25"/>
          <w:color w:val="auto"/>
          <w:vertAlign w:val="superscript"/>
        </w:rPr>
        <w:t>8</w:t>
      </w:r>
      <w:r>
        <w:rPr>
          <w:rFonts w:ascii="Arial" w:cs="Arial" w:eastAsia="Arial" w:hAnsi="Arial"/>
          <w:sz w:val="15"/>
          <w:szCs w:val="15"/>
          <w:color w:val="auto"/>
        </w:rPr>
        <w:t xml:space="preserve"> hES cell-derived islet cells for injection into an immuno-isolation device that would be implanted subcutaneously. The immuno-isolation device would prevent the patient’s autoimmune reaction, the hallmark of Type 1 Diabetes, from destroying or damaging the IC1 cell product. Additionally, the immuno-isolation device, with a rechargeable core, would enable the periodic re-injection of fresh IC1 cells to recharge the device, if necessary, on a yearly basis. This device is intended to avoid the requirement for any immune suppression. The prevalence of Type 1 Diabetes is nearly 2 million persons in the United States, most of whom require exogenous insulin and could therefore be potential candidates for the IC1 product. There are over 20 million Type 2 diabetics in the United States and about 20% of them also become insulin dependent, thereby creating a large potential market opportunity for the IC1 product.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5" w:name="page26"/>
    <w:bookmarkEnd w:id="2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firstLine="567"/>
        <w:spacing w:after="0" w:line="289" w:lineRule="auto"/>
        <w:rPr>
          <w:sz w:val="20"/>
          <w:szCs w:val="20"/>
          <w:color w:val="auto"/>
        </w:rPr>
      </w:pPr>
      <w:r>
        <w:rPr>
          <w:rFonts w:ascii="Arial" w:cs="Arial" w:eastAsia="Arial" w:hAnsi="Arial"/>
          <w:sz w:val="14"/>
          <w:szCs w:val="14"/>
          <w:color w:val="auto"/>
        </w:rPr>
        <w:t xml:space="preserve">The patented differentiation protocol generates islet progenitor cells in a manner that mimics the development path for that cell in the normal human embryo. The cells that are injected in the animal models of diabetes mature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over the course of several weeks into mature human islets that produce the three main islet hormones: C-peptide, glucagon and somatostatin, as well as characteristic transcription factors that identify them as human islet cells. After maturation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the injected IC1 cells are shown to express one hormone per cell type; alpha cells producing glucagon, beta cells producing insulin and C-peptide, and delta cells producing somatostatin. After injection into diabetic mice, the presence of human C-peptide is detectible in blood at physiologically relevant concentrations (amounts sufficient to produce significant changes in blood glucose). When IC1 treated mice are challenged with a glucose load, they appropriately increase their insulin level in response to the glucose challenge. Studied long-term, IC1 injected diabetic animals maintain normal glucose regulation for over 140 days, the length of the animal study. Their average blood glucose concentration is normal for humans, and slightly hypoglycemic for mice, indicating the complete take-over of glucose homeostasis by the human cells injected into the animal. Importantly, IC1 treated animals maintain mormoglycemic levels following an intra-peritoneal (in the belly cavity) glucose challenge, indicating the capacity of IC1 treated mice to maintain normoglycemia in the face of a glucose challenge.</w:t>
      </w:r>
    </w:p>
    <w:p>
      <w:pPr>
        <w:spacing w:after="0" w:line="170" w:lineRule="exact"/>
        <w:rPr>
          <w:sz w:val="20"/>
          <w:szCs w:val="20"/>
          <w:color w:val="auto"/>
        </w:rPr>
      </w:pPr>
    </w:p>
    <w:p>
      <w:pPr>
        <w:ind w:right="20" w:firstLine="567"/>
        <w:spacing w:after="0" w:line="250" w:lineRule="auto"/>
        <w:rPr>
          <w:sz w:val="20"/>
          <w:szCs w:val="20"/>
          <w:color w:val="auto"/>
        </w:rPr>
      </w:pPr>
      <w:r>
        <w:rPr>
          <w:rFonts w:ascii="Arial" w:cs="Arial" w:eastAsia="Arial" w:hAnsi="Arial"/>
          <w:sz w:val="16"/>
          <w:szCs w:val="16"/>
          <w:color w:val="auto"/>
        </w:rPr>
        <w:t>A definitive decision whether to develop IC1 will depend largely on the outcome of the appeal proceedings in the U.S. District Court for the Northern District of California (the “ViaCyte Appeal”) in which Asterias is appealing two adverse rulings in favor of ViaCyte, Inc. (“ViaCyte”) by the United States Patent and Trademark Office’s Board of Patent and Interference. These rulings related to interference proceedings involving patent filings relating to definitive endoderm cells. Geron had requested that the Board of Patent Appeals and Interferences declare this interference after ViaCyte was granted patent claims that conflicted with subject matter Geron filed in a patent application having an earlier priority date. Those Geron patent applications relate to IC1 are among the patent assets that Geron has contributed to us, and we have been substituted as a party in interest in the appeal in place of Geron.</w:t>
      </w:r>
    </w:p>
    <w:p>
      <w:pPr>
        <w:spacing w:after="0" w:line="197" w:lineRule="exact"/>
        <w:rPr>
          <w:sz w:val="20"/>
          <w:szCs w:val="20"/>
          <w:color w:val="auto"/>
        </w:rPr>
      </w:pPr>
    </w:p>
    <w:p>
      <w:pPr>
        <w:ind w:right="60" w:firstLine="567"/>
        <w:spacing w:after="0" w:line="276" w:lineRule="auto"/>
        <w:rPr>
          <w:sz w:val="20"/>
          <w:szCs w:val="20"/>
          <w:color w:val="auto"/>
        </w:rPr>
      </w:pPr>
      <w:r>
        <w:rPr>
          <w:rFonts w:ascii="Arial" w:cs="Arial" w:eastAsia="Arial" w:hAnsi="Arial"/>
          <w:sz w:val="15"/>
          <w:szCs w:val="15"/>
          <w:color w:val="auto"/>
        </w:rPr>
        <w:t>If Asterias is not successful in the ViaCyte Appeal, ViaCyte would retain its patent claims directed to definitive endoderm. Definitive endoderm is an early pre-cursor of numerous cell types including liver and β-cells of the pancreas that could potentially treat diabetes, and it is likely that the derivation of any of the endodermal lineage cells from embryonic stem cells would necessarily pass through the definitive endoderm stage. As a result, Asterias would be unable to develop and commercialize those cell types, including IC1, without a license from ViaCyte, which we may not be able to obtain at all or on terms acceptable to Asterias.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OrthoCyte: Osteochondral Progenitor Cells for Orthopedic Indications</w:t>
      </w:r>
    </w:p>
    <w:p>
      <w:pPr>
        <w:spacing w:after="0" w:line="222" w:lineRule="exact"/>
        <w:rPr>
          <w:sz w:val="20"/>
          <w:szCs w:val="20"/>
          <w:color w:val="auto"/>
        </w:rPr>
      </w:pPr>
    </w:p>
    <w:p>
      <w:pPr>
        <w:ind w:right="60" w:firstLine="567"/>
        <w:spacing w:after="0" w:line="227" w:lineRule="auto"/>
        <w:rPr>
          <w:sz w:val="20"/>
          <w:szCs w:val="20"/>
          <w:color w:val="auto"/>
        </w:rPr>
      </w:pPr>
      <w:r>
        <w:rPr>
          <w:rFonts w:ascii="Arial" w:cs="Arial" w:eastAsia="Arial" w:hAnsi="Arial"/>
          <w:sz w:val="15"/>
          <w:szCs w:val="15"/>
          <w:color w:val="auto"/>
        </w:rPr>
        <w:t xml:space="preserve">OrthoCyte is our wholly owned subsidiary developing cellular therapeutics for orthopedic disorders. OrthoCyte’s lead project is the development of hEPC to repair cartilage damaged by injury or disease, including osteoarthritis. OrthoCyte has identified several </w:t>
      </w:r>
      <w:r>
        <w:rPr>
          <w:rFonts w:ascii="Arial" w:cs="Arial" w:eastAsia="Arial" w:hAnsi="Arial"/>
          <w:sz w:val="15"/>
          <w:szCs w:val="15"/>
          <w:i w:val="1"/>
          <w:iCs w:val="1"/>
          <w:color w:val="auto"/>
        </w:rPr>
        <w:t>PureStem</w:t>
      </w:r>
      <w:r>
        <w:rPr>
          <w:rFonts w:ascii="Arial" w:cs="Arial" w:eastAsia="Arial" w:hAnsi="Arial"/>
          <w:sz w:val="23"/>
          <w:szCs w:val="23"/>
          <w:color w:val="auto"/>
          <w:vertAlign w:val="superscript"/>
        </w:rPr>
        <w:t>®</w:t>
      </w:r>
      <w:r>
        <w:rPr>
          <w:rFonts w:ascii="Arial" w:cs="Arial" w:eastAsia="Arial" w:hAnsi="Arial"/>
          <w:sz w:val="15"/>
          <w:szCs w:val="15"/>
          <w:color w:val="auto"/>
        </w:rPr>
        <w:t xml:space="preserve"> </w:t>
      </w:r>
      <w:r>
        <w:rPr>
          <w:rFonts w:ascii="Arial" w:cs="Arial" w:eastAsia="Arial" w:hAnsi="Arial"/>
          <w:sz w:val="14"/>
          <w:szCs w:val="14"/>
          <w:color w:val="auto"/>
        </w:rPr>
        <w:t>cell lines that display potential to differentiate into diverse types of</w:t>
      </w:r>
      <w:r>
        <w:rPr>
          <w:rFonts w:ascii="Arial" w:cs="Arial" w:eastAsia="Arial" w:hAnsi="Arial"/>
          <w:sz w:val="15"/>
          <w:szCs w:val="15"/>
          <w:color w:val="auto"/>
        </w:rPr>
        <w:t xml:space="preserve"> </w:t>
      </w:r>
      <w:r>
        <w:rPr>
          <w:rFonts w:ascii="Arial" w:cs="Arial" w:eastAsia="Arial" w:hAnsi="Arial"/>
          <w:sz w:val="14"/>
          <w:szCs w:val="14"/>
          <w:color w:val="auto"/>
        </w:rPr>
        <w:t xml:space="preserve">cartilage, and these lines are showing promising results in animal preclinical testing for effectiveness of cartilage repair. Our current goal is to demonstrate the safety and efficacy of the cells using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models of articular disease. OrthoCyte has compiled proprietary animal preclinical data on two therapeutic product candidates designated as OTX-CP03 and OTX-CP07, which are formulated in our </w:t>
      </w:r>
      <w:r>
        <w:rPr>
          <w:rFonts w:ascii="Arial" w:cs="Arial" w:eastAsia="Arial" w:hAnsi="Arial"/>
          <w:sz w:val="14"/>
          <w:szCs w:val="14"/>
          <w:i w:val="1"/>
          <w:iCs w:val="1"/>
          <w:color w:val="auto"/>
        </w:rPr>
        <w:t>HyStem</w:t>
      </w:r>
      <w:r>
        <w:rPr>
          <w:rFonts w:ascii="Arial" w:cs="Arial" w:eastAsia="Arial" w:hAnsi="Arial"/>
          <w:sz w:val="24"/>
          <w:szCs w:val="24"/>
          <w:color w:val="auto"/>
          <w:vertAlign w:val="superscript"/>
        </w:rPr>
        <w:t>®</w:t>
      </w:r>
      <w:r>
        <w:rPr>
          <w:rFonts w:ascii="Arial" w:cs="Arial" w:eastAsia="Arial" w:hAnsi="Arial"/>
          <w:sz w:val="14"/>
          <w:szCs w:val="14"/>
          <w:color w:val="auto"/>
        </w:rPr>
        <w:t xml:space="preserve"> </w:t>
      </w:r>
      <w:r>
        <w:rPr>
          <w:rFonts w:ascii="Arial" w:cs="Arial" w:eastAsia="Arial" w:hAnsi="Arial"/>
          <w:sz w:val="14"/>
          <w:szCs w:val="14"/>
          <w:color w:val="auto"/>
        </w:rPr>
        <w:t>hydrogel, and which showed initial evidence of safety and efficacy in animal models of joint disease. If follow on studies in large</w:t>
      </w:r>
      <w:r>
        <w:rPr>
          <w:rFonts w:ascii="Arial" w:cs="Arial" w:eastAsia="Arial" w:hAnsi="Arial"/>
          <w:sz w:val="14"/>
          <w:szCs w:val="14"/>
          <w:color w:val="auto"/>
        </w:rPr>
        <w:t xml:space="preserve"> </w:t>
      </w:r>
      <w:r>
        <w:rPr>
          <w:rFonts w:ascii="Arial" w:cs="Arial" w:eastAsia="Arial" w:hAnsi="Arial"/>
          <w:sz w:val="14"/>
          <w:szCs w:val="14"/>
          <w:color w:val="auto"/>
        </w:rPr>
        <w:t>animal models prove successful, we would plan to initiate an Investigational New Drug (“IND”) filing with the FDA for this application.</w:t>
      </w:r>
    </w:p>
    <w:p>
      <w:pPr>
        <w:spacing w:after="0" w:line="205" w:lineRule="exact"/>
        <w:rPr>
          <w:sz w:val="20"/>
          <w:szCs w:val="20"/>
          <w:color w:val="auto"/>
        </w:rPr>
      </w:pPr>
    </w:p>
    <w:p>
      <w:pPr>
        <w:ind w:right="20" w:firstLine="567"/>
        <w:spacing w:after="0" w:line="269" w:lineRule="auto"/>
        <w:rPr>
          <w:sz w:val="20"/>
          <w:szCs w:val="20"/>
          <w:color w:val="auto"/>
        </w:rPr>
      </w:pPr>
      <w:r>
        <w:rPr>
          <w:rFonts w:ascii="Arial" w:cs="Arial" w:eastAsia="Arial" w:hAnsi="Arial"/>
          <w:sz w:val="15"/>
          <w:szCs w:val="15"/>
          <w:color w:val="auto"/>
        </w:rPr>
        <w:t xml:space="preserve">Cartilage defects and disease affect our aging population. In particular osteoarthritis and spinal disc degeneration have a significant impact on the mobility and health of an aging population. Current non-surgical treatments tend to target the reduction of pain and inflammation, as opposed to the repair of tissue damage and reversal of deterioration. To date, the development of cell-based therapeutics to treat damaged cartilage has met with mixed success. Autologous chondrocytes have been tested as a means of providing cartilage-producing cells, but this approach is hampered by a multi-step process that first requires the harvesting of chondrocytes from donor tissues, followed by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culture expansion of the harvested cells. Primary chondrocytes have very limited capacity for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expansion and typically lose their biological characteristics within a short period of </w:t>
      </w:r>
      <w:r>
        <w:rPr>
          <w:rFonts w:ascii="Arial" w:cs="Arial" w:eastAsia="Arial" w:hAnsi="Arial"/>
          <w:sz w:val="15"/>
          <w:szCs w:val="15"/>
          <w:i w:val="1"/>
          <w:iCs w:val="1"/>
          <w:color w:val="auto"/>
        </w:rPr>
        <w:t>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vitro </w:t>
      </w:r>
      <w:r>
        <w:rPr>
          <w:rFonts w:ascii="Arial" w:cs="Arial" w:eastAsia="Arial" w:hAnsi="Arial"/>
          <w:sz w:val="15"/>
          <w:szCs w:val="15"/>
          <w:color w:val="auto"/>
        </w:rPr>
        <w:t>culture. Mesenchymal stem cells have also been tested extensively as a source of cellular therapeutics for cartilage treatment, but success has remained limited, partly as a</w:t>
      </w:r>
      <w:r>
        <w:rPr>
          <w:rFonts w:ascii="Arial" w:cs="Arial" w:eastAsia="Arial" w:hAnsi="Arial"/>
          <w:sz w:val="15"/>
          <w:szCs w:val="15"/>
          <w:i w:val="1"/>
          <w:iCs w:val="1"/>
          <w:color w:val="auto"/>
        </w:rPr>
        <w:t xml:space="preserve"> </w:t>
      </w:r>
      <w:r>
        <w:rPr>
          <w:rFonts w:ascii="Arial" w:cs="Arial" w:eastAsia="Arial" w:hAnsi="Arial"/>
          <w:sz w:val="15"/>
          <w:szCs w:val="15"/>
          <w:color w:val="auto"/>
        </w:rPr>
        <w:t>result of the hypertrophy of these cells inducing bone and fibrous tissue instead of permanent cartilage.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26" w:name="page27"/>
    <w:bookmarkEnd w:id="2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2" w:lineRule="exact"/>
        <w:rPr>
          <w:sz w:val="20"/>
          <w:szCs w:val="20"/>
          <w:color w:val="auto"/>
        </w:rPr>
      </w:pPr>
    </w:p>
    <w:p>
      <w:pPr>
        <w:ind w:firstLine="567"/>
        <w:spacing w:after="0" w:line="183" w:lineRule="auto"/>
        <w:rPr>
          <w:sz w:val="20"/>
          <w:szCs w:val="20"/>
          <w:color w:val="auto"/>
        </w:rPr>
      </w:pPr>
      <w:r>
        <w:rPr>
          <w:rFonts w:ascii="Arial" w:cs="Arial" w:eastAsia="Arial" w:hAnsi="Arial"/>
          <w:sz w:val="16"/>
          <w:szCs w:val="16"/>
          <w:color w:val="auto"/>
        </w:rPr>
        <w:t xml:space="preserve">Additional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suggests a wide range of possible applications for osteochondral </w:t>
      </w:r>
      <w:r>
        <w:rPr>
          <w:rFonts w:ascii="Arial" w:cs="Arial" w:eastAsia="Arial" w:hAnsi="Arial"/>
          <w:sz w:val="16"/>
          <w:szCs w:val="16"/>
          <w:i w:val="1"/>
          <w:iCs w:val="1"/>
          <w:color w:val="auto"/>
        </w:rPr>
        <w:t>PureStem</w:t>
      </w:r>
      <w:r>
        <w:rPr>
          <w:rFonts w:ascii="Arial" w:cs="Arial" w:eastAsia="Arial" w:hAnsi="Arial"/>
          <w:sz w:val="25"/>
          <w:szCs w:val="25"/>
          <w:color w:val="auto"/>
          <w:vertAlign w:val="superscript"/>
        </w:rPr>
        <w:t>®</w:t>
      </w:r>
      <w:r>
        <w:rPr>
          <w:rFonts w:ascii="Arial" w:cs="Arial" w:eastAsia="Arial" w:hAnsi="Arial"/>
          <w:sz w:val="16"/>
          <w:szCs w:val="16"/>
          <w:color w:val="auto"/>
        </w:rPr>
        <w:t xml:space="preserve"> </w:t>
      </w:r>
      <w:r>
        <w:rPr>
          <w:rFonts w:ascii="Arial" w:cs="Arial" w:eastAsia="Arial" w:hAnsi="Arial"/>
          <w:sz w:val="15"/>
          <w:szCs w:val="15"/>
          <w:color w:val="auto"/>
        </w:rPr>
        <w:t>cells. OrthoCyte is preparing to test the utility of various osteochondral</w:t>
      </w:r>
      <w:r>
        <w:rPr>
          <w:rFonts w:ascii="Arial" w:cs="Arial" w:eastAsia="Arial" w:hAnsi="Arial"/>
          <w:sz w:val="16"/>
          <w:szCs w:val="16"/>
          <w:color w:val="auto"/>
        </w:rPr>
        <w:t xml:space="preserve"> </w:t>
      </w:r>
      <w:r>
        <w:rPr>
          <w:rFonts w:ascii="Arial" w:cs="Arial" w:eastAsia="Arial" w:hAnsi="Arial"/>
          <w:sz w:val="16"/>
          <w:szCs w:val="16"/>
          <w:i w:val="1"/>
          <w:iCs w:val="1"/>
          <w:color w:val="auto"/>
        </w:rPr>
        <w:t>PureStem</w:t>
      </w:r>
      <w:r>
        <w:rPr>
          <w:rFonts w:ascii="Arial" w:cs="Arial" w:eastAsia="Arial" w:hAnsi="Arial"/>
          <w:sz w:val="25"/>
          <w:szCs w:val="25"/>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5"/>
          <w:szCs w:val="15"/>
          <w:color w:val="auto"/>
        </w:rPr>
        <w:t>cells that display potential to differentiate into bone and other types of cartilage-like tissues such as intervertebral disc tissue. In collaboration with world-renown academic</w:t>
      </w:r>
      <w:r>
        <w:rPr>
          <w:rFonts w:ascii="Arial" w:cs="Arial" w:eastAsia="Arial" w:hAnsi="Arial"/>
          <w:sz w:val="16"/>
          <w:szCs w:val="16"/>
          <w:i w:val="1"/>
          <w:iCs w:val="1"/>
          <w:color w:val="auto"/>
        </w:rPr>
        <w:t xml:space="preserve"> </w:t>
      </w:r>
      <w:r>
        <w:rPr>
          <w:rFonts w:ascii="Arial" w:cs="Arial" w:eastAsia="Arial" w:hAnsi="Arial"/>
          <w:sz w:val="15"/>
          <w:szCs w:val="15"/>
          <w:color w:val="auto"/>
        </w:rPr>
        <w:t xml:space="preserve">institutes in the field of degenerative disc disease and back pain, </w:t>
      </w:r>
      <w:r>
        <w:rPr>
          <w:rFonts w:ascii="Arial" w:cs="Arial" w:eastAsia="Arial" w:hAnsi="Arial"/>
          <w:sz w:val="15"/>
          <w:szCs w:val="15"/>
          <w:i w:val="1"/>
          <w:iCs w:val="1"/>
          <w:color w:val="auto"/>
        </w:rPr>
        <w:t>PureStem</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cells formulated in our </w:t>
      </w:r>
      <w:r>
        <w:rPr>
          <w:rFonts w:ascii="Arial" w:cs="Arial" w:eastAsia="Arial" w:hAnsi="Arial"/>
          <w:sz w:val="15"/>
          <w:szCs w:val="15"/>
          <w:i w:val="1"/>
          <w:iCs w:val="1"/>
          <w:color w:val="auto"/>
        </w:rPr>
        <w:t>HyStem</w:t>
      </w:r>
      <w:r>
        <w:rPr>
          <w:rFonts w:ascii="Arial" w:cs="Arial" w:eastAsia="Arial" w:hAnsi="Arial"/>
          <w:sz w:val="26"/>
          <w:szCs w:val="26"/>
          <w:color w:val="auto"/>
          <w:vertAlign w:val="superscript"/>
        </w:rPr>
        <w:t>®</w:t>
      </w:r>
      <w:r>
        <w:rPr>
          <w:rFonts w:ascii="Arial" w:cs="Arial" w:eastAsia="Arial" w:hAnsi="Arial"/>
          <w:sz w:val="15"/>
          <w:szCs w:val="15"/>
          <w:color w:val="auto"/>
        </w:rPr>
        <w:t xml:space="preserve"> hydrogel will be tested in spine disease animal models broadly recognized for their translation potential to clinical trial development. This screening phase should allow OrthoCyte to assess and potentially select a </w:t>
      </w:r>
      <w:r>
        <w:rPr>
          <w:rFonts w:ascii="Arial" w:cs="Arial" w:eastAsia="Arial" w:hAnsi="Arial"/>
          <w:sz w:val="15"/>
          <w:szCs w:val="15"/>
          <w:i w:val="1"/>
          <w:iCs w:val="1"/>
          <w:color w:val="auto"/>
        </w:rPr>
        <w:t>PureStem</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cell candidate for intervertebral disc repair and bone induction. We anticipate that successful selection of candidates would move our spine program to an optimization phase followed with a pre-IND meeting with FDA to discuss regulatory paths and additional expected pre-clinical requirements.</w:t>
      </w:r>
    </w:p>
    <w:p>
      <w:pPr>
        <w:spacing w:after="0" w:line="204" w:lineRule="exact"/>
        <w:rPr>
          <w:sz w:val="20"/>
          <w:szCs w:val="20"/>
          <w:color w:val="auto"/>
        </w:rPr>
      </w:pPr>
    </w:p>
    <w:p>
      <w:pPr>
        <w:ind w:right="140" w:firstLine="567"/>
        <w:spacing w:after="0" w:line="269" w:lineRule="auto"/>
        <w:rPr>
          <w:sz w:val="20"/>
          <w:szCs w:val="20"/>
          <w:color w:val="auto"/>
        </w:rPr>
      </w:pPr>
      <w:r>
        <w:rPr>
          <w:rFonts w:ascii="Arial" w:cs="Arial" w:eastAsia="Arial" w:hAnsi="Arial"/>
          <w:sz w:val="15"/>
          <w:szCs w:val="15"/>
          <w:color w:val="auto"/>
        </w:rPr>
        <w:t>Chronic back pain is one of the largest unmet health economic burdens in modern society. With more than 85% lifetime prevalence, nearly everyone is affected in their lifetime. In most cases, chronic back pain stems from the progressive degeneration of the avascular intervertebral disc tissue that cushions the vertebrae in the spinal column. This tissue is structurally and functionally similar to other cartilage tissues. Currently there are no treatment options for people suffering from degenerative disc disease other than risky invasive surgery to fuse the affected discs. A therapy that would slow down or reverse disc degeneration to delay or avoid surgery would have a great impact in the largest musculoskeletal unmet need. Various biologic approaches using growth factors or cells from different adult tissues are in various phases of preclinical and early clinical development, but so far none have proven to work effectively. The opportunity for OrthoCyte to screen, and select a candidate with the appropriate attributes to effectively impact the disease process is an important differentiating factor from other competing technologies.</w:t>
      </w:r>
    </w:p>
    <w:p>
      <w:pPr>
        <w:spacing w:after="0" w:line="183" w:lineRule="exact"/>
        <w:rPr>
          <w:sz w:val="20"/>
          <w:szCs w:val="20"/>
          <w:color w:val="auto"/>
        </w:rPr>
      </w:pPr>
    </w:p>
    <w:p>
      <w:pPr>
        <w:ind w:right="60" w:firstLine="567"/>
        <w:spacing w:after="0" w:line="282" w:lineRule="auto"/>
        <w:rPr>
          <w:sz w:val="20"/>
          <w:szCs w:val="20"/>
          <w:color w:val="auto"/>
        </w:rPr>
      </w:pPr>
      <w:r>
        <w:rPr>
          <w:rFonts w:ascii="Arial" w:cs="Arial" w:eastAsia="Arial" w:hAnsi="Arial"/>
          <w:sz w:val="15"/>
          <w:szCs w:val="15"/>
          <w:color w:val="auto"/>
        </w:rPr>
        <w:t>We presently own, directly and through our subsidiary Asterias, a 100% equity interest in OrthoCyte. We plan to provide additional equity capital to OrthoCyte or seek outside investors. OrthoCyte has adopted a stock option plan under which it may issue up to 4,000,000 shares of its common stock to officers, directors, employees, and consultants of OrthoCyte and BioTime. As of December 31, 2013, options to purchase 2,645,000 shares of OrthoCyte common stock had been granted.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Cell Cure Neurosciences: Therapies for Retinal and Neural Degenerative Diseases</w:t>
      </w:r>
    </w:p>
    <w:p>
      <w:pPr>
        <w:spacing w:after="0" w:line="222" w:lineRule="exact"/>
        <w:rPr>
          <w:sz w:val="20"/>
          <w:szCs w:val="20"/>
          <w:color w:val="auto"/>
        </w:rPr>
      </w:pPr>
    </w:p>
    <w:p>
      <w:pPr>
        <w:ind w:right="120" w:firstLine="567"/>
        <w:spacing w:after="0" w:line="267" w:lineRule="auto"/>
        <w:rPr>
          <w:sz w:val="20"/>
          <w:szCs w:val="20"/>
          <w:color w:val="auto"/>
        </w:rPr>
      </w:pPr>
      <w:r>
        <w:rPr>
          <w:rFonts w:ascii="Arial" w:cs="Arial" w:eastAsia="Arial" w:hAnsi="Arial"/>
          <w:sz w:val="16"/>
          <w:szCs w:val="16"/>
          <w:color w:val="auto"/>
        </w:rPr>
        <w:t>Cell Cure Neurosciences is developing cell therapies for retinal and neural degenerative diseases. Cell Cure Neurosciences is the neurological arm for BioTime’s program for the development of human embryonic stem cell-based therapies.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Cell Cure Neurosciences’ pipeline includes two major development programs at present:</w:t>
      </w:r>
    </w:p>
    <w:p>
      <w:pPr>
        <w:spacing w:after="0" w:line="210" w:lineRule="exact"/>
        <w:rPr>
          <w:sz w:val="20"/>
          <w:szCs w:val="20"/>
          <w:color w:val="auto"/>
        </w:rPr>
      </w:pPr>
    </w:p>
    <w:p>
      <w:pPr>
        <w:ind w:left="840" w:right="40" w:hanging="278"/>
        <w:spacing w:after="0" w:line="180" w:lineRule="auto"/>
        <w:tabs>
          <w:tab w:leader="none" w:pos="840" w:val="left"/>
        </w:tabs>
        <w:numPr>
          <w:ilvl w:val="0"/>
          <w:numId w:val="12"/>
        </w:numPr>
        <w:rPr>
          <w:rFonts w:ascii="Arial" w:cs="Arial" w:eastAsia="Arial" w:hAnsi="Arial"/>
          <w:sz w:val="17"/>
          <w:szCs w:val="17"/>
          <w:color w:val="auto"/>
        </w:rPr>
      </w:pPr>
      <w:r>
        <w:rPr>
          <w:rFonts w:ascii="Arial" w:cs="Arial" w:eastAsia="Arial" w:hAnsi="Arial"/>
          <w:sz w:val="16"/>
          <w:szCs w:val="16"/>
          <w:color w:val="auto"/>
        </w:rPr>
        <w:t xml:space="preserve">Retinal cell therapies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-Plus</w:t>
      </w:r>
      <w:r>
        <w:rPr>
          <w:rFonts w:ascii="Arial" w:cs="Arial" w:eastAsia="Arial" w:hAnsi="Arial"/>
          <w:sz w:val="16"/>
          <w:szCs w:val="16"/>
          <w:color w:val="auto"/>
        </w:rPr>
        <w:t xml:space="preserve"> are Cell Cure Neurosciences’ proprietary formulations of embryonic stem cell-derived retinal pigmented epithelial (“RPE”) cells developed to address the high, unmet medical needs of people suffering from age-related macular degeneration (“dry AMD”).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-Plus</w:t>
      </w:r>
      <w:r>
        <w:rPr>
          <w:rFonts w:ascii="Arial" w:cs="Arial" w:eastAsia="Arial" w:hAnsi="Arial"/>
          <w:sz w:val="16"/>
          <w:szCs w:val="16"/>
          <w:color w:val="auto"/>
        </w:rPr>
        <w:t xml:space="preserve"> is a formulation of RPE cells bound to a membrane.</w:t>
      </w:r>
    </w:p>
    <w:p>
      <w:pPr>
        <w:spacing w:after="0" w:line="201" w:lineRule="exact"/>
        <w:rPr>
          <w:rFonts w:ascii="Arial" w:cs="Arial" w:eastAsia="Arial" w:hAnsi="Arial"/>
          <w:sz w:val="17"/>
          <w:szCs w:val="17"/>
          <w:color w:val="auto"/>
        </w:rPr>
      </w:pPr>
    </w:p>
    <w:p>
      <w:pPr>
        <w:ind w:left="840" w:right="80" w:hanging="278"/>
        <w:spacing w:after="0" w:line="204" w:lineRule="auto"/>
        <w:tabs>
          <w:tab w:leader="none" w:pos="840" w:val="left"/>
        </w:tabs>
        <w:numPr>
          <w:ilvl w:val="0"/>
          <w:numId w:val="12"/>
        </w:numPr>
        <w:rPr>
          <w:rFonts w:ascii="Arial" w:cs="Arial" w:eastAsia="Arial" w:hAnsi="Arial"/>
          <w:sz w:val="17"/>
          <w:szCs w:val="17"/>
          <w:color w:val="auto"/>
        </w:rPr>
      </w:pPr>
      <w:r>
        <w:rPr>
          <w:rFonts w:ascii="Arial" w:cs="Arial" w:eastAsia="Arial" w:hAnsi="Arial"/>
          <w:sz w:val="16"/>
          <w:szCs w:val="16"/>
          <w:color w:val="auto"/>
        </w:rPr>
        <w:t xml:space="preserve">Cell therapy products for neurodegenerative diseases. Cell Cure Neurosciences is developing neural progenitor cells designed to replace the dopamine producing cells destroyed in Parkinson’s disease, and </w:t>
      </w:r>
      <w:r>
        <w:rPr>
          <w:rFonts w:ascii="Arial" w:cs="Arial" w:eastAsia="Arial" w:hAnsi="Arial"/>
          <w:sz w:val="16"/>
          <w:szCs w:val="16"/>
          <w:i w:val="1"/>
          <w:iCs w:val="1"/>
          <w:color w:val="auto"/>
        </w:rPr>
        <w:t>NeurArrest</w:t>
      </w:r>
      <w:r>
        <w:rPr>
          <w:rFonts w:ascii="Arial" w:cs="Arial" w:eastAsia="Arial" w:hAnsi="Arial"/>
          <w:sz w:val="26"/>
          <w:szCs w:val="26"/>
          <w:color w:val="auto"/>
          <w:vertAlign w:val="superscript"/>
        </w:rPr>
        <w:t>™</w:t>
      </w:r>
      <w:r>
        <w:rPr>
          <w:rFonts w:ascii="Arial" w:cs="Arial" w:eastAsia="Arial" w:hAnsi="Arial"/>
          <w:sz w:val="16"/>
          <w:szCs w:val="16"/>
          <w:color w:val="auto"/>
        </w:rPr>
        <w:t>, neural cells that target and modulate the immune system’s self-destruction of the myelin coating of nerve cells in multiple sclerosis.</w:t>
      </w:r>
    </w:p>
    <w:p>
      <w:pPr>
        <w:spacing w:after="0" w:line="203" w:lineRule="exact"/>
        <w:rPr>
          <w:sz w:val="20"/>
          <w:szCs w:val="20"/>
          <w:color w:val="auto"/>
        </w:rPr>
      </w:pPr>
    </w:p>
    <w:p>
      <w:pPr>
        <w:ind w:firstLine="567"/>
        <w:spacing w:after="0" w:line="293" w:lineRule="auto"/>
        <w:rPr>
          <w:sz w:val="20"/>
          <w:szCs w:val="20"/>
          <w:color w:val="auto"/>
        </w:rPr>
      </w:pPr>
      <w:r>
        <w:rPr>
          <w:rFonts w:ascii="Arial" w:cs="Arial" w:eastAsia="Arial" w:hAnsi="Arial"/>
          <w:sz w:val="14"/>
          <w:szCs w:val="14"/>
          <w:color w:val="auto"/>
        </w:rPr>
        <w:t>The U.S. Centers for Disease Control and Prevention estimate that about 1.8 million people in the U.S. have advanced-stage AMD, while another 7.3 million have an earlier stage of AMD and are at risk of vision impairment from the disease. Most people are afflicted with the dry form of the disease, for which there is currently no effective treatment. One of the most promising future therapies for age-related AMD is the replacement of the layer of damaged RPE cells that support and nourish the retina. In the past, RPE cells have been obtained from other regions of the diseased eye, or from fetal and adult donor tissue and various cell lines. However, the lack of a reliable and ample supply of healthy RPE cells has hindered the development of RPE transplantation as a therapeutic approach to AMD. RPE cells derived from hES cells may prove to be the best source of RPE cells for transplantation, provided the technology can be developed for producing RPE cells from hES cells in homogeneous, large quantities.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7" w:name="page28"/>
    <w:bookmarkEnd w:id="2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240" w:firstLine="567"/>
        <w:spacing w:after="0" w:line="282" w:lineRule="auto"/>
        <w:rPr>
          <w:sz w:val="20"/>
          <w:szCs w:val="20"/>
          <w:color w:val="auto"/>
        </w:rPr>
      </w:pPr>
      <w:r>
        <w:rPr>
          <w:rFonts w:ascii="Arial" w:cs="Arial" w:eastAsia="Arial" w:hAnsi="Arial"/>
          <w:sz w:val="15"/>
          <w:szCs w:val="15"/>
          <w:color w:val="auto"/>
        </w:rPr>
        <w:t>Cell Cure Neurosciences’ research and development is conducted at Hadassah University Hospital, through research and consulting agreements with HBL-Hadasit Bio-Holding’s (“HBL”) affiliate Hadasit Medical Research Services and Development, Ltd. (“Hadasit”), under the direction of Professor Benjamin E. Reubinoff, Cell Cure Neurosciences’ Chief Scientific Officer; Professor Eyal Banin, Cell Cure Neurosciences’ Director of Clinical Affairs; and Professor Tamir Ben Hur.</w:t>
      </w:r>
    </w:p>
    <w:p>
      <w:pPr>
        <w:spacing w:after="0" w:line="172" w:lineRule="exact"/>
        <w:rPr>
          <w:sz w:val="20"/>
          <w:szCs w:val="20"/>
          <w:color w:val="auto"/>
        </w:rPr>
      </w:pPr>
    </w:p>
    <w:p>
      <w:pPr>
        <w:ind w:right="80" w:firstLine="567"/>
        <w:spacing w:after="0" w:line="276" w:lineRule="auto"/>
        <w:rPr>
          <w:sz w:val="20"/>
          <w:szCs w:val="20"/>
          <w:color w:val="auto"/>
        </w:rPr>
      </w:pPr>
      <w:r>
        <w:rPr>
          <w:rFonts w:ascii="Arial" w:cs="Arial" w:eastAsia="Arial" w:hAnsi="Arial"/>
          <w:sz w:val="15"/>
          <w:szCs w:val="15"/>
          <w:color w:val="auto"/>
        </w:rPr>
        <w:t>Until now, researchers have had to rely on the spontaneous differentiation of hES cells into RPE cells, but that differentiation occurs in only a few hES cell lines. To achieve the full potential of hES cells for the production of RPE cells, a reliable, driven differentiation method is required. Cell Cure Neurosciences is using a new method developed by scientists at Hadassah University Hospital that drives the differentiation of hES cells into RPE cells. These researchers have shown in a small animal model of AMD that RPE cells produced using this method can preserve vision when the cells are transplanted in the subretinal space.</w:t>
      </w:r>
    </w:p>
    <w:p>
      <w:pPr>
        <w:spacing w:after="0" w:line="176" w:lineRule="exact"/>
        <w:rPr>
          <w:sz w:val="20"/>
          <w:szCs w:val="20"/>
          <w:color w:val="auto"/>
        </w:rPr>
      </w:pPr>
    </w:p>
    <w:p>
      <w:pPr>
        <w:ind w:right="320" w:firstLine="567"/>
        <w:spacing w:after="0" w:line="211" w:lineRule="auto"/>
        <w:rPr>
          <w:sz w:val="20"/>
          <w:szCs w:val="20"/>
          <w:color w:val="auto"/>
        </w:rPr>
      </w:pPr>
      <w:r>
        <w:rPr>
          <w:rFonts w:ascii="Arial" w:cs="Arial" w:eastAsia="Arial" w:hAnsi="Arial"/>
          <w:sz w:val="16"/>
          <w:szCs w:val="16"/>
          <w:color w:val="auto"/>
        </w:rPr>
        <w:t xml:space="preserve">In October 2010, we, along with Teva Pharmaceutical Industries, Ltd. (“Teva”) and HBL, invested $7.1 million in Cell Cure Neurosciences, primarily to fund the development of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At the same time, Cell Cure Neurosciences and Teva entered into a Research and Exclusive License Option Agreement (the “Teva License Option Agreement”) under which Teva obtained an option to acquire an exclusive worldwide license to complete the clinical development of, and to manufacture, distribute and sell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w:t>
      </w:r>
      <w:r>
        <w:rPr>
          <w:rFonts w:ascii="Arial" w:cs="Arial" w:eastAsia="Arial" w:hAnsi="Arial"/>
          <w:sz w:val="16"/>
          <w:szCs w:val="16"/>
          <w:i w:val="1"/>
          <w:iCs w:val="1"/>
          <w:color w:val="auto"/>
        </w:rPr>
        <w:t xml:space="preserve"> OpRegen</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-Plus</w:t>
      </w:r>
      <w:r>
        <w:rPr>
          <w:rFonts w:ascii="Arial" w:cs="Arial" w:eastAsia="Arial" w:hAnsi="Arial"/>
          <w:sz w:val="16"/>
          <w:szCs w:val="16"/>
          <w:color w:val="auto"/>
        </w:rPr>
        <w:t>.</w:t>
      </w:r>
      <w:r>
        <w:rPr>
          <w:rFonts w:ascii="Arial" w:cs="Arial" w:eastAsia="Arial" w:hAnsi="Arial"/>
          <w:sz w:val="16"/>
          <w:szCs w:val="16"/>
          <w:i w:val="1"/>
          <w:iCs w:val="1"/>
          <w:color w:val="auto"/>
        </w:rPr>
        <w:t xml:space="preserve"> OpRegen</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-Plus </w:t>
      </w:r>
      <w:r>
        <w:rPr>
          <w:rFonts w:ascii="Arial" w:cs="Arial" w:eastAsia="Arial" w:hAnsi="Arial"/>
          <w:sz w:val="16"/>
          <w:szCs w:val="16"/>
          <w:color w:val="auto"/>
        </w:rPr>
        <w:t>is another proprietary product that Cell Cure Neurosciences is developing for the treatment of age-related macular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degeneration, but in which the RPE cells are supported on or within a membrane instead of in suspension.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-Plus</w:t>
      </w:r>
      <w:r>
        <w:rPr>
          <w:rFonts w:ascii="Arial" w:cs="Arial" w:eastAsia="Arial" w:hAnsi="Arial"/>
          <w:sz w:val="16"/>
          <w:szCs w:val="16"/>
          <w:color w:val="auto"/>
        </w:rPr>
        <w:t xml:space="preserve"> is at an earlier stage of laboratory development than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p>
    <w:p>
      <w:pPr>
        <w:spacing w:after="0" w:line="73" w:lineRule="exact"/>
        <w:rPr>
          <w:sz w:val="20"/>
          <w:szCs w:val="20"/>
          <w:color w:val="auto"/>
        </w:rPr>
      </w:pPr>
    </w:p>
    <w:p>
      <w:pPr>
        <w:ind w:right="40" w:firstLine="567"/>
        <w:spacing w:after="0" w:line="230" w:lineRule="auto"/>
        <w:rPr>
          <w:sz w:val="20"/>
          <w:szCs w:val="20"/>
          <w:color w:val="auto"/>
        </w:rPr>
      </w:pPr>
      <w:r>
        <w:rPr>
          <w:rFonts w:ascii="Arial" w:cs="Arial" w:eastAsia="Arial" w:hAnsi="Arial"/>
          <w:sz w:val="15"/>
          <w:szCs w:val="15"/>
          <w:color w:val="auto"/>
        </w:rPr>
        <w:t xml:space="preserve">If Teva exercises the option, it will pay Cell Cure Neurosciences $1,000,000. Thereafter, Teva will bear all costs and expense of clinical trials and of obtaining regulatory approvals required to market the product. Teva will make the milestone payments to Cell Cure Neurosciences as the clinical development and commercialization of the product progress. Milestone payments will be made upon the first use of the product in a Phase II clinical trial; the first use of the product in a Phase III clinical trial; the first commercial sale of the product in the U.S., and the first commercial sale of the product in a European Union country. If all of the milestones are met, Cell Cure Neurosciences will receive a total of $28.5 million in milestone payments, in addition to the $1,000,000 option payment, for the first approved medical indication of </w:t>
      </w:r>
      <w:r>
        <w:rPr>
          <w:rFonts w:ascii="Arial" w:cs="Arial" w:eastAsia="Arial" w:hAnsi="Arial"/>
          <w:sz w:val="15"/>
          <w:szCs w:val="15"/>
          <w:i w:val="1"/>
          <w:iCs w:val="1"/>
          <w:color w:val="auto"/>
        </w:rPr>
        <w:t>OpRegen</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Cell Cure Neurosciences would be entitled to receive certain additional milestone payments upon the first commercial sale of </w:t>
      </w:r>
      <w:r>
        <w:rPr>
          <w:rFonts w:ascii="Arial" w:cs="Arial" w:eastAsia="Arial" w:hAnsi="Arial"/>
          <w:sz w:val="15"/>
          <w:szCs w:val="15"/>
          <w:i w:val="1"/>
          <w:iCs w:val="1"/>
          <w:color w:val="auto"/>
        </w:rPr>
        <w:t>OpRegen</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each additional medical indication in the U.S. or a European Union nation. In addition to milestone payments, Teva will pay Cell Cure Neurosciences royalties on the sale of the product, at rates ranging from 6% to 10% of the net sale price of </w:t>
      </w:r>
      <w:r>
        <w:rPr>
          <w:rFonts w:ascii="Arial" w:cs="Arial" w:eastAsia="Arial" w:hAnsi="Arial"/>
          <w:sz w:val="15"/>
          <w:szCs w:val="15"/>
          <w:i w:val="1"/>
          <w:iCs w:val="1"/>
          <w:color w:val="auto"/>
        </w:rPr>
        <w:t>OpRegen</w:t>
      </w:r>
      <w:r>
        <w:rPr>
          <w:rFonts w:ascii="Arial" w:cs="Arial" w:eastAsia="Arial" w:hAnsi="Arial"/>
          <w:sz w:val="25"/>
          <w:szCs w:val="25"/>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depending upon the total amount of annual sales. The royalty payments will be reduced by 50% with respect to sales in any country in which a generic equivalent</w:t>
      </w:r>
      <w:r>
        <w:rPr>
          <w:rFonts w:ascii="Arial" w:cs="Arial" w:eastAsia="Arial" w:hAnsi="Arial"/>
          <w:sz w:val="15"/>
          <w:szCs w:val="15"/>
          <w:i w:val="1"/>
          <w:iCs w:val="1"/>
          <w:color w:val="auto"/>
        </w:rPr>
        <w:t xml:space="preserve"> </w:t>
      </w:r>
      <w:r>
        <w:rPr>
          <w:rFonts w:ascii="Arial" w:cs="Arial" w:eastAsia="Arial" w:hAnsi="Arial"/>
          <w:sz w:val="15"/>
          <w:szCs w:val="15"/>
          <w:color w:val="auto"/>
        </w:rPr>
        <w:t>product is being sold by a third party unrelated to Teva.</w:t>
      </w:r>
    </w:p>
    <w:p>
      <w:pPr>
        <w:spacing w:after="0" w:line="198" w:lineRule="exact"/>
        <w:rPr>
          <w:sz w:val="20"/>
          <w:szCs w:val="20"/>
          <w:color w:val="auto"/>
        </w:rPr>
      </w:pPr>
    </w:p>
    <w:p>
      <w:pPr>
        <w:jc w:val="both"/>
        <w:ind w:firstLine="567"/>
        <w:spacing w:after="0" w:line="199" w:lineRule="auto"/>
        <w:rPr>
          <w:sz w:val="20"/>
          <w:szCs w:val="20"/>
          <w:color w:val="auto"/>
        </w:rPr>
      </w:pPr>
      <w:r>
        <w:rPr>
          <w:rFonts w:ascii="Arial" w:cs="Arial" w:eastAsia="Arial" w:hAnsi="Arial"/>
          <w:sz w:val="15"/>
          <w:szCs w:val="15"/>
          <w:color w:val="auto"/>
        </w:rPr>
        <w:t xml:space="preserve">If Teva exercises its option to license </w:t>
      </w:r>
      <w:r>
        <w:rPr>
          <w:rFonts w:ascii="Arial" w:cs="Arial" w:eastAsia="Arial" w:hAnsi="Arial"/>
          <w:sz w:val="15"/>
          <w:szCs w:val="15"/>
          <w:i w:val="1"/>
          <w:iCs w:val="1"/>
          <w:color w:val="auto"/>
        </w:rPr>
        <w:t>OpRegen</w:t>
      </w:r>
      <w:r>
        <w:rPr>
          <w:rFonts w:ascii="Arial" w:cs="Arial" w:eastAsia="Arial" w:hAnsi="Arial"/>
          <w:sz w:val="25"/>
          <w:szCs w:val="25"/>
          <w:color w:val="auto"/>
          <w:vertAlign w:val="superscript"/>
        </w:rPr>
        <w:t>®</w:t>
      </w:r>
      <w:r>
        <w:rPr>
          <w:rFonts w:ascii="Arial" w:cs="Arial" w:eastAsia="Arial" w:hAnsi="Arial"/>
          <w:sz w:val="15"/>
          <w:szCs w:val="15"/>
          <w:i w:val="1"/>
          <w:iCs w:val="1"/>
          <w:color w:val="auto"/>
        </w:rPr>
        <w:t>-Plus</w:t>
      </w:r>
      <w:r>
        <w:rPr>
          <w:rFonts w:ascii="Arial" w:cs="Arial" w:eastAsia="Arial" w:hAnsi="Arial"/>
          <w:sz w:val="15"/>
          <w:szCs w:val="15"/>
          <w:color w:val="auto"/>
        </w:rPr>
        <w:t xml:space="preserve">, Teva and Cell Cure Neurosciences would enter into an additional license agreement on substantially the same terms as the </w:t>
      </w:r>
      <w:r>
        <w:rPr>
          <w:rFonts w:ascii="Arial" w:cs="Arial" w:eastAsia="Arial" w:hAnsi="Arial"/>
          <w:sz w:val="15"/>
          <w:szCs w:val="15"/>
          <w:i w:val="1"/>
          <w:iCs w:val="1"/>
          <w:color w:val="auto"/>
        </w:rPr>
        <w:t>OpRegen</w:t>
      </w:r>
      <w:r>
        <w:rPr>
          <w:rFonts w:ascii="Arial" w:cs="Arial" w:eastAsia="Arial" w:hAnsi="Arial"/>
          <w:sz w:val="25"/>
          <w:szCs w:val="25"/>
          <w:color w:val="auto"/>
          <w:vertAlign w:val="superscript"/>
        </w:rPr>
        <w:t>®</w:t>
      </w:r>
      <w:r>
        <w:rPr>
          <w:rFonts w:ascii="Arial" w:cs="Arial" w:eastAsia="Arial" w:hAnsi="Arial"/>
          <w:sz w:val="15"/>
          <w:szCs w:val="15"/>
          <w:color w:val="auto"/>
        </w:rPr>
        <w:t xml:space="preserve"> license, including the milestone payments for the first medical indication of </w:t>
      </w:r>
      <w:r>
        <w:rPr>
          <w:rFonts w:ascii="Arial" w:cs="Arial" w:eastAsia="Arial" w:hAnsi="Arial"/>
          <w:sz w:val="15"/>
          <w:szCs w:val="15"/>
          <w:i w:val="1"/>
          <w:iCs w:val="1"/>
          <w:color w:val="auto"/>
        </w:rPr>
        <w:t>OpRegen</w:t>
      </w:r>
      <w:r>
        <w:rPr>
          <w:rFonts w:ascii="Arial" w:cs="Arial" w:eastAsia="Arial" w:hAnsi="Arial"/>
          <w:sz w:val="25"/>
          <w:szCs w:val="25"/>
          <w:color w:val="auto"/>
          <w:vertAlign w:val="superscript"/>
        </w:rPr>
        <w:t>®</w:t>
      </w:r>
      <w:r>
        <w:rPr>
          <w:rFonts w:ascii="Arial" w:cs="Arial" w:eastAsia="Arial" w:hAnsi="Arial"/>
          <w:sz w:val="15"/>
          <w:szCs w:val="15"/>
          <w:i w:val="1"/>
          <w:iCs w:val="1"/>
          <w:color w:val="auto"/>
        </w:rPr>
        <w:t>-Plus</w:t>
      </w:r>
      <w:r>
        <w:rPr>
          <w:rFonts w:ascii="Arial" w:cs="Arial" w:eastAsia="Arial" w:hAnsi="Arial"/>
          <w:sz w:val="15"/>
          <w:szCs w:val="15"/>
          <w:color w:val="auto"/>
        </w:rPr>
        <w:t xml:space="preserve">, and additional milestone payments for the first sale of the product for additional indications, royalties on net sales, and a share of any </w:t>
      </w:r>
      <w:r>
        <w:rPr>
          <w:rFonts w:ascii="Arial" w:cs="Arial" w:eastAsia="Arial" w:hAnsi="Arial"/>
          <w:sz w:val="15"/>
          <w:szCs w:val="15"/>
          <w:i w:val="1"/>
          <w:iCs w:val="1"/>
          <w:color w:val="auto"/>
        </w:rPr>
        <w:t>OpRegen</w:t>
      </w:r>
      <w:r>
        <w:rPr>
          <w:rFonts w:ascii="Arial" w:cs="Arial" w:eastAsia="Arial" w:hAnsi="Arial"/>
          <w:sz w:val="25"/>
          <w:szCs w:val="25"/>
          <w:color w:val="auto"/>
          <w:vertAlign w:val="superscript"/>
        </w:rPr>
        <w:t>®</w:t>
      </w:r>
      <w:r>
        <w:rPr>
          <w:rFonts w:ascii="Arial" w:cs="Arial" w:eastAsia="Arial" w:hAnsi="Arial"/>
          <w:sz w:val="15"/>
          <w:szCs w:val="15"/>
          <w:i w:val="1"/>
          <w:iCs w:val="1"/>
          <w:color w:val="auto"/>
        </w:rPr>
        <w:t>-Plus</w:t>
      </w:r>
      <w:r>
        <w:rPr>
          <w:rFonts w:ascii="Arial" w:cs="Arial" w:eastAsia="Arial" w:hAnsi="Arial"/>
          <w:sz w:val="15"/>
          <w:szCs w:val="15"/>
          <w:color w:val="auto"/>
        </w:rPr>
        <w:t xml:space="preserve"> sublicense payments that Teva might receive.</w:t>
      </w:r>
    </w:p>
    <w:p>
      <w:pPr>
        <w:spacing w:after="0" w:line="73" w:lineRule="exact"/>
        <w:rPr>
          <w:sz w:val="20"/>
          <w:szCs w:val="20"/>
          <w:color w:val="auto"/>
        </w:rPr>
      </w:pPr>
    </w:p>
    <w:p>
      <w:pPr>
        <w:ind w:right="80" w:firstLine="567"/>
        <w:spacing w:after="0" w:line="253" w:lineRule="auto"/>
        <w:rPr>
          <w:sz w:val="20"/>
          <w:szCs w:val="20"/>
          <w:color w:val="auto"/>
        </w:rPr>
      </w:pPr>
      <w:r>
        <w:rPr>
          <w:rFonts w:ascii="Arial" w:cs="Arial" w:eastAsia="Arial" w:hAnsi="Arial"/>
          <w:sz w:val="16"/>
          <w:szCs w:val="16"/>
          <w:color w:val="auto"/>
        </w:rPr>
        <w:t>If Teva sublicenses its rights to a third party, Teva will pay Cell Cure Neurosciences a share of any payments of cash or other consideration that Teva receives for the sublicense, excluding (i) gross receipts for commercial sales that are subject to royalty payments to Cell Cure Neurosciences, (ii) amounts received from a sublicensee solely to finance research and development activities to be performed by or on behalf of Teva, or (iii) payments received in reimbursement for patent expenses incurred after the grant of the sublicense.</w:t>
      </w:r>
    </w:p>
    <w:p>
      <w:pPr>
        <w:spacing w:after="0" w:line="193" w:lineRule="exact"/>
        <w:rPr>
          <w:sz w:val="20"/>
          <w:szCs w:val="20"/>
          <w:color w:val="auto"/>
        </w:rPr>
      </w:pPr>
    </w:p>
    <w:p>
      <w:pPr>
        <w:jc w:val="both"/>
        <w:ind w:right="200" w:firstLine="567"/>
        <w:spacing w:after="0" w:line="208" w:lineRule="auto"/>
        <w:rPr>
          <w:sz w:val="20"/>
          <w:szCs w:val="20"/>
          <w:color w:val="auto"/>
        </w:rPr>
      </w:pPr>
      <w:r>
        <w:rPr>
          <w:rFonts w:ascii="Arial" w:cs="Arial" w:eastAsia="Arial" w:hAnsi="Arial"/>
          <w:sz w:val="16"/>
          <w:szCs w:val="16"/>
          <w:color w:val="auto"/>
        </w:rPr>
        <w:t xml:space="preserve">A portion of milestone payments, royalties, and sublicensing payments received by Cell Cure Neurosciences would be shared with our subsidiary ESI and with Hadasit, which have licensed to Cell Cure Neurosciences certain patents and technology used in the development of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-Plus.</w:t>
      </w:r>
      <w:r>
        <w:rPr>
          <w:rFonts w:ascii="Arial" w:cs="Arial" w:eastAsia="Arial" w:hAnsi="Arial"/>
          <w:sz w:val="16"/>
          <w:szCs w:val="16"/>
          <w:color w:val="auto"/>
        </w:rPr>
        <w:t xml:space="preserve"> Those patents will be sublicensed to Teva under the Teva Option Agreement.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28" w:name="page29"/>
    <w:bookmarkEnd w:id="2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29" w:lineRule="exact"/>
        <w:rPr>
          <w:sz w:val="20"/>
          <w:szCs w:val="20"/>
          <w:color w:val="auto"/>
        </w:rPr>
      </w:pPr>
    </w:p>
    <w:p>
      <w:pPr>
        <w:ind w:right="80" w:firstLine="567"/>
        <w:spacing w:after="0" w:line="201" w:lineRule="auto"/>
        <w:rPr>
          <w:sz w:val="20"/>
          <w:szCs w:val="20"/>
          <w:color w:val="auto"/>
        </w:rPr>
      </w:pPr>
      <w:r>
        <w:rPr>
          <w:rFonts w:ascii="Arial" w:cs="Arial" w:eastAsia="Arial" w:hAnsi="Arial"/>
          <w:sz w:val="16"/>
          <w:szCs w:val="16"/>
          <w:color w:val="auto"/>
        </w:rPr>
        <w:t xml:space="preserve">If Teva exercises its option and commercializes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-Plus</w:t>
      </w:r>
      <w:r>
        <w:rPr>
          <w:rFonts w:ascii="Arial" w:cs="Arial" w:eastAsia="Arial" w:hAnsi="Arial"/>
          <w:sz w:val="16"/>
          <w:szCs w:val="16"/>
          <w:color w:val="auto"/>
        </w:rPr>
        <w:t xml:space="preserve">, its obligation to pay royalties on sales of those products will expire on a country by country and indication by indication basis with respect to a product on the later of (i) fifteen (15) years after the first commercial sale of the product for the applicable indication for use in that country, or (ii) the expiration in that country of all valid patent claims covering the applicable indication for use of the product. The patent expiration dates cannot be presently determined with certainty, but certain patents licensed to Cell Cure Neurosciences by ESI and Hadasit for use in the development of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-Plus</w:t>
      </w:r>
      <w:r>
        <w:rPr>
          <w:rFonts w:ascii="Arial" w:cs="Arial" w:eastAsia="Arial" w:hAnsi="Arial"/>
          <w:sz w:val="16"/>
          <w:szCs w:val="16"/>
          <w:color w:val="auto"/>
        </w:rPr>
        <w:t xml:space="preserve"> will expire in 2023 and 2022, respectively.</w:t>
      </w:r>
    </w:p>
    <w:p>
      <w:pPr>
        <w:spacing w:after="0" w:line="203" w:lineRule="exact"/>
        <w:rPr>
          <w:sz w:val="20"/>
          <w:szCs w:val="20"/>
          <w:color w:val="auto"/>
        </w:rPr>
      </w:pPr>
    </w:p>
    <w:p>
      <w:pPr>
        <w:ind w:right="160" w:firstLine="567"/>
        <w:spacing w:after="0" w:line="296" w:lineRule="auto"/>
        <w:rPr>
          <w:sz w:val="20"/>
          <w:szCs w:val="20"/>
          <w:color w:val="auto"/>
        </w:rPr>
      </w:pPr>
      <w:r>
        <w:rPr>
          <w:rFonts w:ascii="Arial" w:cs="Arial" w:eastAsia="Arial" w:hAnsi="Arial"/>
          <w:sz w:val="14"/>
          <w:szCs w:val="14"/>
          <w:color w:val="auto"/>
        </w:rPr>
        <w:t>The Teva License Option Agreement will terminate if (a) Teva does not exercise its option within 60 days after an IND application filed by Cell Cure Neurosciences becomes effective for a Phase I clinical trial of a product covered by the Teva License Option Agreement, or (b) Teva determines not to continue funding of the research and development of a product after Cell Cure Neurosciences has expended its designated budget plus certain cost over-runs. Teva may also terminate the Teva License Option Agreement at any time by giving Cell Cure Neurosciences 30-day notice. Either party may terminate the license if the other party commits a material breach of its obligations and fails to cure the breach within 45 days after notice from the other party, or if the other party becomes subject to bankruptcy, insolvency, liquidation, or receivership proceedings.</w:t>
      </w:r>
    </w:p>
    <w:p>
      <w:pPr>
        <w:spacing w:after="0" w:line="165" w:lineRule="exact"/>
        <w:rPr>
          <w:sz w:val="20"/>
          <w:szCs w:val="20"/>
          <w:color w:val="auto"/>
        </w:rPr>
      </w:pPr>
    </w:p>
    <w:p>
      <w:pPr>
        <w:ind w:right="180" w:firstLine="567"/>
        <w:spacing w:after="0" w:line="208" w:lineRule="auto"/>
        <w:rPr>
          <w:sz w:val="20"/>
          <w:szCs w:val="20"/>
          <w:color w:val="auto"/>
        </w:rPr>
      </w:pPr>
      <w:r>
        <w:rPr>
          <w:rFonts w:ascii="Arial" w:cs="Arial" w:eastAsia="Arial" w:hAnsi="Arial"/>
          <w:sz w:val="16"/>
          <w:szCs w:val="16"/>
          <w:color w:val="auto"/>
        </w:rPr>
        <w:t xml:space="preserve">Cell Cure Neurosciences’ cell therapy products under development for the treatment of neurodegenerative diseases include (a) neural progenitor cells designed to replace the dopamine producing cells destroyed in Parkinson’s disease, and (b) Cell Cure Neurosciences’ </w:t>
      </w:r>
      <w:r>
        <w:rPr>
          <w:rFonts w:ascii="Arial" w:cs="Arial" w:eastAsia="Arial" w:hAnsi="Arial"/>
          <w:sz w:val="16"/>
          <w:szCs w:val="16"/>
          <w:i w:val="1"/>
          <w:iCs w:val="1"/>
          <w:color w:val="auto"/>
        </w:rPr>
        <w:t>NeurArrest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neural cells that target and modulate the immune system’s self-destruction of the myelin coating of nerve cells in multiple sclerosis.</w:t>
      </w:r>
    </w:p>
    <w:p>
      <w:pPr>
        <w:spacing w:after="0" w:line="202" w:lineRule="exact"/>
        <w:rPr>
          <w:sz w:val="20"/>
          <w:szCs w:val="20"/>
          <w:color w:val="auto"/>
        </w:rPr>
      </w:pPr>
    </w:p>
    <w:p>
      <w:pPr>
        <w:ind w:right="160" w:firstLine="567"/>
        <w:spacing w:after="0" w:line="282" w:lineRule="auto"/>
        <w:rPr>
          <w:sz w:val="20"/>
          <w:szCs w:val="20"/>
          <w:color w:val="auto"/>
        </w:rPr>
      </w:pPr>
      <w:r>
        <w:rPr>
          <w:rFonts w:ascii="Arial" w:cs="Arial" w:eastAsia="Arial" w:hAnsi="Arial"/>
          <w:sz w:val="15"/>
          <w:szCs w:val="15"/>
          <w:color w:val="auto"/>
        </w:rPr>
        <w:t>Parkinson’s is an age-related disease caused by the loss of a certain type of cell in the brain. According to the Parkinson's Disease Foundation, Parkinson's disease affects approximately 1 million people in the U.S. and more than 4 million people worldwide. The median age for the onset of all forms of Parkinson’s disease is 62, and the number of new cases is rising rapidly with the aging of the baby-boomer population. There is currently no cure for the disease.</w:t>
      </w:r>
    </w:p>
    <w:p>
      <w:pPr>
        <w:spacing w:after="0" w:line="172" w:lineRule="exact"/>
        <w:rPr>
          <w:sz w:val="20"/>
          <w:szCs w:val="20"/>
          <w:color w:val="auto"/>
        </w:rPr>
      </w:pPr>
    </w:p>
    <w:p>
      <w:pPr>
        <w:ind w:right="60" w:firstLine="567"/>
        <w:spacing w:after="0" w:line="267" w:lineRule="auto"/>
        <w:rPr>
          <w:sz w:val="20"/>
          <w:szCs w:val="20"/>
          <w:color w:val="auto"/>
        </w:rPr>
      </w:pPr>
      <w:r>
        <w:rPr>
          <w:rFonts w:ascii="Arial" w:cs="Arial" w:eastAsia="Arial" w:hAnsi="Arial"/>
          <w:sz w:val="16"/>
          <w:szCs w:val="16"/>
          <w:color w:val="auto"/>
        </w:rPr>
        <w:t>While not a classic age-related disease, multiple sclerosis is also on the rise and the National Multiple Sclerosis Society estimates that there are about 400,000 persons with multiple sclerosis in the U.S. Most people are diagnosed with the disease between the ages of 20 and 50.</w:t>
      </w:r>
    </w:p>
    <w:p>
      <w:pPr>
        <w:spacing w:after="0" w:line="181" w:lineRule="exact"/>
        <w:rPr>
          <w:sz w:val="20"/>
          <w:szCs w:val="20"/>
          <w:color w:val="auto"/>
        </w:rPr>
      </w:pPr>
    </w:p>
    <w:p>
      <w:pPr>
        <w:ind w:right="40" w:firstLine="567"/>
        <w:spacing w:after="0" w:line="270" w:lineRule="auto"/>
        <w:rPr>
          <w:sz w:val="20"/>
          <w:szCs w:val="20"/>
          <w:color w:val="auto"/>
        </w:rPr>
      </w:pPr>
      <w:r>
        <w:rPr>
          <w:rFonts w:ascii="Arial" w:cs="Arial" w:eastAsia="Arial" w:hAnsi="Arial"/>
          <w:sz w:val="15"/>
          <w:szCs w:val="15"/>
          <w:color w:val="auto"/>
        </w:rPr>
        <w:t>To advance its programs for the development of treatments for neurodegenerative diseases such as Parkinson’s disease and multiple sclerosis, Cell Cure Neurosciences has entered into an Additional Research Agreement with Hadasit pursuant to which Hadasit will perform research services for Cell Cure Neurosciences over a period of five years. Cell Cure Neurosciences will pay Hadasit $300,000 per year for the research services over the course of the five-year term of the Additional Research Agreement. Hadasit will be entitled to receive a royalty on the sale of any products developed under the agreement and commercialized by Cell Cure Neurosciences. The amount of the royalty will be determined by future agreement between Hadasit and Cell Cure Neurosciences, taking into consideration their respective contributions to the development of the product, or if they fail to agree, the royalty terms will be determined by a third-party expert.</w:t>
      </w:r>
    </w:p>
    <w:p>
      <w:pPr>
        <w:spacing w:after="0" w:line="183" w:lineRule="exact"/>
        <w:rPr>
          <w:sz w:val="20"/>
          <w:szCs w:val="20"/>
          <w:color w:val="auto"/>
        </w:rPr>
      </w:pPr>
    </w:p>
    <w:p>
      <w:pPr>
        <w:ind w:firstLine="567"/>
        <w:spacing w:after="0" w:line="296" w:lineRule="auto"/>
        <w:rPr>
          <w:sz w:val="20"/>
          <w:szCs w:val="20"/>
          <w:color w:val="auto"/>
        </w:rPr>
      </w:pPr>
      <w:r>
        <w:rPr>
          <w:rFonts w:ascii="Arial" w:cs="Arial" w:eastAsia="Arial" w:hAnsi="Arial"/>
          <w:sz w:val="14"/>
          <w:szCs w:val="14"/>
          <w:color w:val="auto"/>
        </w:rPr>
        <w:t>We have entered into a Third Amended and Restated Shareholders Agreement with Cell Cure Neurosciences, Teva, HBL, and ESI pertaining to certain corporate governance matters and rights of first refusal among the shareholders to purchase on a pro rata basis any additional shares that Cell Cure Neurosciences may issue. Under the agreement, the shareholders also granted each other a right of first refusal to purchase any Cell Cure Neurosciences shares that they may determine to sell or otherwise transfer in the future. The number of members on the Cell Cure Neurosciences board of directors will be set at seven, whereby we will be entitled to elect four directors, HBL will be entitled to elect two directors, and Teva will be entitled to elect one director. These provisions were also included in an amendment to Cell Cure Neurosciences’ Articles of Association.</w:t>
      </w:r>
    </w:p>
    <w:p>
      <w:pPr>
        <w:spacing w:after="0" w:line="165" w:lineRule="exact"/>
        <w:rPr>
          <w:sz w:val="20"/>
          <w:szCs w:val="20"/>
          <w:color w:val="auto"/>
        </w:rPr>
      </w:pPr>
    </w:p>
    <w:p>
      <w:pPr>
        <w:ind w:right="80" w:firstLine="567"/>
        <w:spacing w:after="0" w:line="253" w:lineRule="auto"/>
        <w:rPr>
          <w:sz w:val="20"/>
          <w:szCs w:val="20"/>
          <w:color w:val="auto"/>
        </w:rPr>
      </w:pPr>
      <w:r>
        <w:rPr>
          <w:rFonts w:ascii="Arial" w:cs="Arial" w:eastAsia="Arial" w:hAnsi="Arial"/>
          <w:sz w:val="16"/>
          <w:szCs w:val="16"/>
          <w:color w:val="auto"/>
        </w:rPr>
        <w:t>In November 2012, we entered into a share purchase agreement with Cell Cure Neurosciences through which we increased our ownership interest in that subsidiary. Pursuant to that agreement, we purchased 87,456 additional Cell Cure Neurosciences ordinary shares in exchange for 906,735 BioTime common shares. As a result of the share purchase, which closed in January, 2013, we now own, directly and through our subsidiaries ESI and Asterias, approximately 62.5% of the outstanding ordinary shares of Cell Cure Neurosciences.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9" w:name="page30"/>
    <w:bookmarkEnd w:id="2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ReCyte Therapeutics—Treatment of Vascular Disorders</w:t>
      </w:r>
    </w:p>
    <w:p>
      <w:pPr>
        <w:spacing w:after="0" w:line="222"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ReCyte Therapeutics focuses on developing treatments for vascular disorders, including both age-related diseases and injuries. The company was founded in January 2011 as a subsidiary of BioTime, Inc. with investments by private shareholders and by us.</w:t>
      </w:r>
    </w:p>
    <w:p>
      <w:pPr>
        <w:spacing w:after="0" w:line="158" w:lineRule="exact"/>
        <w:rPr>
          <w:sz w:val="20"/>
          <w:szCs w:val="20"/>
          <w:color w:val="auto"/>
        </w:rPr>
      </w:pPr>
    </w:p>
    <w:p>
      <w:pPr>
        <w:ind w:right="80" w:firstLine="567"/>
        <w:spacing w:after="0" w:line="301" w:lineRule="auto"/>
        <w:rPr>
          <w:sz w:val="20"/>
          <w:szCs w:val="20"/>
          <w:color w:val="auto"/>
        </w:rPr>
      </w:pPr>
      <w:r>
        <w:rPr>
          <w:rFonts w:ascii="Arial" w:cs="Arial" w:eastAsia="Arial" w:hAnsi="Arial"/>
          <w:sz w:val="14"/>
          <w:szCs w:val="14"/>
          <w:color w:val="auto"/>
        </w:rPr>
        <w:t>The therapeutic indications targeted by ReCyte Therapeutics products include age-related cardiovascular diseases such as coronary artery disease, heart failure, and peripheral artery disease. Therapeutics for age-related vascular disease represent some of the largest, fastest-growing actual and potential markets in the U.S. due to the aging baby boom generation. Cardiovascular disease is among the leading causes of death and disability in the U.S., and they consume a major and every-increasing proportion of health care costs. The National Academy of Sciences has estimated that a potential 58 million Americans are currently afflicted with cardiovascular disease.</w:t>
      </w:r>
    </w:p>
    <w:p>
      <w:pPr>
        <w:spacing w:after="0" w:line="138" w:lineRule="exact"/>
        <w:rPr>
          <w:sz w:val="20"/>
          <w:szCs w:val="20"/>
          <w:color w:val="auto"/>
        </w:rPr>
      </w:pPr>
    </w:p>
    <w:p>
      <w:pPr>
        <w:ind w:right="140" w:firstLine="567"/>
        <w:spacing w:after="0" w:line="267" w:lineRule="auto"/>
        <w:rPr>
          <w:sz w:val="20"/>
          <w:szCs w:val="20"/>
          <w:color w:val="auto"/>
        </w:rPr>
      </w:pPr>
      <w:r>
        <w:rPr>
          <w:rFonts w:ascii="Arial" w:cs="Arial" w:eastAsia="Arial" w:hAnsi="Arial"/>
          <w:sz w:val="16"/>
          <w:szCs w:val="16"/>
          <w:color w:val="auto"/>
        </w:rPr>
        <w:t>ReCyte Therapeutics is working to produce novel first-in-class therapies for the unmet needs of these patients. Its products in development include vascular cells derived from hES and iPS cell sources.</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60"/>
          </w:cols>
          <w:pgMar w:left="240" w:top="124" w:right="299" w:bottom="1440" w:gutter="0" w:footer="0" w:header="0"/>
        </w:sectPr>
      </w:pPr>
    </w:p>
    <w:bookmarkStart w:id="30" w:name="page31"/>
    <w:bookmarkEnd w:id="3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1" w:lineRule="exact"/>
        <w:rPr>
          <w:sz w:val="20"/>
          <w:szCs w:val="20"/>
          <w:color w:val="auto"/>
        </w:rPr>
      </w:pPr>
    </w:p>
    <w:p>
      <w:pPr>
        <w:ind w:right="140" w:firstLine="567"/>
        <w:spacing w:after="0" w:line="238" w:lineRule="auto"/>
        <w:rPr>
          <w:sz w:val="20"/>
          <w:szCs w:val="20"/>
          <w:color w:val="auto"/>
        </w:rPr>
      </w:pPr>
      <w:r>
        <w:rPr>
          <w:rFonts w:ascii="Arial" w:cs="Arial" w:eastAsia="Arial" w:hAnsi="Arial"/>
          <w:sz w:val="19"/>
          <w:szCs w:val="19"/>
          <w:color w:val="auto"/>
        </w:rPr>
        <w:t>During August 2011, BioTime entered into a License Agreement with Cornell University for the worldwide development and commercialization of technology developed invented by Dr. Shahin Rafii and co-workers at Weill Cornell Medical College for the differentiation of hES cells into vascular endothelial cells. This technology may help to provide an improved means of generating vascular endothelial cells on an industrial scale and with stronger intellectual property protection. This technology could be utilized by ReCyte in diverse products, including those under development at ReCyte Therapeutics to treat age-related vascular diseases and injuries, and in products being developed at OncoCyte targeting the delivery of toxic payloads to cancerous tumors.</w:t>
      </w:r>
    </w:p>
    <w:p>
      <w:pPr>
        <w:spacing w:after="0" w:line="190" w:lineRule="exact"/>
        <w:rPr>
          <w:sz w:val="20"/>
          <w:szCs w:val="20"/>
          <w:color w:val="auto"/>
        </w:rPr>
      </w:pPr>
    </w:p>
    <w:p>
      <w:pPr>
        <w:ind w:right="100" w:firstLine="567"/>
        <w:spacing w:after="0" w:line="200" w:lineRule="auto"/>
        <w:rPr>
          <w:sz w:val="20"/>
          <w:szCs w:val="20"/>
          <w:color w:val="auto"/>
        </w:rPr>
      </w:pPr>
      <w:r>
        <w:rPr>
          <w:rFonts w:ascii="Arial" w:cs="Arial" w:eastAsia="Arial" w:hAnsi="Arial"/>
          <w:sz w:val="16"/>
          <w:szCs w:val="16"/>
          <w:color w:val="auto"/>
        </w:rPr>
        <w:t xml:space="preserve">ReCyte Therapeutics has used the Cornell technology in combination with the </w:t>
      </w:r>
      <w:r>
        <w:rPr>
          <w:rFonts w:ascii="Arial" w:cs="Arial" w:eastAsia="Arial" w:hAnsi="Arial"/>
          <w:sz w:val="16"/>
          <w:szCs w:val="16"/>
          <w:i w:val="1"/>
          <w:iCs w:val="1"/>
          <w:color w:val="auto"/>
        </w:rPr>
        <w:t>PureStem</w:t>
      </w:r>
      <w:r>
        <w:rPr>
          <w:rFonts w:ascii="Arial" w:cs="Arial" w:eastAsia="Arial" w:hAnsi="Arial"/>
          <w:sz w:val="25"/>
          <w:szCs w:val="25"/>
          <w:color w:val="auto"/>
          <w:vertAlign w:val="superscript"/>
        </w:rPr>
        <w:t>®</w:t>
      </w:r>
      <w:r>
        <w:rPr>
          <w:rFonts w:ascii="Arial" w:cs="Arial" w:eastAsia="Arial" w:hAnsi="Arial"/>
          <w:sz w:val="16"/>
          <w:szCs w:val="16"/>
          <w:color w:val="auto"/>
        </w:rPr>
        <w:t xml:space="preserve"> </w:t>
      </w:r>
      <w:r>
        <w:rPr>
          <w:rFonts w:ascii="Arial" w:cs="Arial" w:eastAsia="Arial" w:hAnsi="Arial"/>
          <w:sz w:val="15"/>
          <w:szCs w:val="15"/>
          <w:color w:val="auto"/>
        </w:rPr>
        <w:t>technology to produce highly purified monoclonal embryonic vascular endothelial</w:t>
      </w:r>
      <w:r>
        <w:rPr>
          <w:rFonts w:ascii="Arial" w:cs="Arial" w:eastAsia="Arial" w:hAnsi="Arial"/>
          <w:sz w:val="16"/>
          <w:szCs w:val="16"/>
          <w:color w:val="auto"/>
        </w:rPr>
        <w:t xml:space="preserve"> </w:t>
      </w:r>
      <w:r>
        <w:rPr>
          <w:rFonts w:ascii="Arial" w:cs="Arial" w:eastAsia="Arial" w:hAnsi="Arial"/>
          <w:sz w:val="15"/>
          <w:szCs w:val="15"/>
          <w:color w:val="auto"/>
        </w:rPr>
        <w:t>progenitor stem cells.</w:t>
      </w:r>
    </w:p>
    <w:p>
      <w:pPr>
        <w:spacing w:after="0" w:line="203" w:lineRule="exact"/>
        <w:rPr>
          <w:sz w:val="20"/>
          <w:szCs w:val="20"/>
          <w:color w:val="auto"/>
        </w:rPr>
      </w:pPr>
    </w:p>
    <w:p>
      <w:pPr>
        <w:ind w:firstLine="567"/>
        <w:spacing w:after="0" w:line="221" w:lineRule="auto"/>
        <w:rPr>
          <w:sz w:val="20"/>
          <w:szCs w:val="20"/>
          <w:color w:val="auto"/>
        </w:rPr>
      </w:pPr>
      <w:r>
        <w:rPr>
          <w:rFonts w:ascii="Arial" w:cs="Arial" w:eastAsia="Arial" w:hAnsi="Arial"/>
          <w:sz w:val="16"/>
          <w:szCs w:val="16"/>
          <w:color w:val="auto"/>
        </w:rPr>
        <w:t xml:space="preserve">In conjunction with the Cornell License Agreement, during August 2011, we also entered into a three year Sponsored Research Agreement under which scientists at Weill Cornell Medical College, led by Dr. Sina Rabbany, are conducting research with the goals of (1) verifying the ability of progenitor cells, derived by ReCyte Therapeutics, to generate stable populations of vascular endothelial cells, (2) testing the functionality and transplantability of the vascular endothelial cells in animal models to see if the transplanted cells generate new vascular tissue, and (3) using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hydrogels, produced by our subsidiary OrthoCyte, and other materials as “scaffolds” for the three-dimensional propagation of vascular endothelial cells into vascular tissues suitable for transplantation.</w:t>
      </w:r>
    </w:p>
    <w:p>
      <w:pPr>
        <w:spacing w:after="0" w:line="205" w:lineRule="exact"/>
        <w:rPr>
          <w:sz w:val="20"/>
          <w:szCs w:val="20"/>
          <w:color w:val="auto"/>
        </w:rPr>
      </w:pPr>
    </w:p>
    <w:p>
      <w:pPr>
        <w:jc w:val="both"/>
        <w:ind w:right="160" w:firstLine="567"/>
        <w:spacing w:after="0" w:line="311" w:lineRule="auto"/>
        <w:rPr>
          <w:sz w:val="20"/>
          <w:szCs w:val="20"/>
          <w:color w:val="auto"/>
        </w:rPr>
      </w:pPr>
      <w:r>
        <w:rPr>
          <w:rFonts w:ascii="Arial" w:cs="Arial" w:eastAsia="Arial" w:hAnsi="Arial"/>
          <w:sz w:val="14"/>
          <w:szCs w:val="14"/>
          <w:color w:val="auto"/>
        </w:rPr>
        <w:t>We presently own 94.8% of the ReCyte Therapeutics common stock outstanding. The other shares of ReCyte Therapeutics common stock outstanding are owned by two private investors. ReCyte Therapeutics has adopted a stock option plan under which it may issue up to 4,000,000 shares of its common stock to officers, directors, employees, and consultants of ReCyte Therapeutics and BioTime. As of December 31, 2013, options to purchase 1,290,000 shares of ReCyte Therapeutics common stock had been granted.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1" w:name="page32"/>
    <w:bookmarkEnd w:id="3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LifeMap Sciences: On-Line Data Bases for Genetic, Stem Cell, and Disease Research</w:t>
      </w:r>
    </w:p>
    <w:p>
      <w:pPr>
        <w:spacing w:after="0" w:line="214" w:lineRule="exact"/>
        <w:rPr>
          <w:sz w:val="20"/>
          <w:szCs w:val="20"/>
          <w:color w:val="auto"/>
        </w:rPr>
      </w:pPr>
    </w:p>
    <w:p>
      <w:pPr>
        <w:ind w:right="300" w:firstLine="567"/>
        <w:spacing w:after="0" w:line="192" w:lineRule="auto"/>
        <w:rPr>
          <w:sz w:val="20"/>
          <w:szCs w:val="20"/>
          <w:color w:val="auto"/>
        </w:rPr>
      </w:pPr>
      <w:r>
        <w:rPr>
          <w:rFonts w:ascii="Arial" w:cs="Arial" w:eastAsia="Arial" w:hAnsi="Arial"/>
          <w:sz w:val="16"/>
          <w:szCs w:val="16"/>
          <w:color w:val="auto"/>
        </w:rPr>
        <w:t xml:space="preserve">LifeMap Sciences markets </w:t>
      </w:r>
      <w:r>
        <w:rPr>
          <w:rFonts w:ascii="Arial" w:cs="Arial" w:eastAsia="Arial" w:hAnsi="Arial"/>
          <w:sz w:val="16"/>
          <w:szCs w:val="16"/>
          <w:i w:val="1"/>
          <w:iCs w:val="1"/>
          <w:color w:val="auto"/>
        </w:rPr>
        <w:t>GeneCards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the leading human gene database, as part of an integrated database suite that includes </w:t>
      </w:r>
      <w:r>
        <w:rPr>
          <w:rFonts w:ascii="Arial" w:cs="Arial" w:eastAsia="Arial" w:hAnsi="Arial"/>
          <w:sz w:val="16"/>
          <w:szCs w:val="16"/>
          <w:i w:val="1"/>
          <w:iCs w:val="1"/>
          <w:color w:val="auto"/>
        </w:rPr>
        <w:t>LifeMap Discovery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the database of embryonic development, stem cell research and regenerative medicine; and </w:t>
      </w:r>
      <w:r>
        <w:rPr>
          <w:rFonts w:ascii="Arial" w:cs="Arial" w:eastAsia="Arial" w:hAnsi="Arial"/>
          <w:sz w:val="16"/>
          <w:szCs w:val="16"/>
          <w:i w:val="1"/>
          <w:iCs w:val="1"/>
          <w:color w:val="auto"/>
        </w:rPr>
        <w:t>MalaCards</w:t>
      </w:r>
      <w:r>
        <w:rPr>
          <w:rFonts w:ascii="Arial" w:cs="Arial" w:eastAsia="Arial" w:hAnsi="Arial"/>
          <w:sz w:val="16"/>
          <w:szCs w:val="16"/>
          <w:color w:val="auto"/>
        </w:rPr>
        <w:t>, the human disease database. LifeMap Sciences makes its databases available for use by stem cell researchers at pharmaceutical and biotechnology companies and other institutions through paid subscriptions or on a fee per use basis. Academic institutions have free access to use the databases.</w:t>
      </w:r>
    </w:p>
    <w:p>
      <w:pPr>
        <w:spacing w:after="0" w:line="204" w:lineRule="exact"/>
        <w:rPr>
          <w:sz w:val="20"/>
          <w:szCs w:val="20"/>
          <w:color w:val="auto"/>
        </w:rPr>
      </w:pPr>
    </w:p>
    <w:p>
      <w:pPr>
        <w:ind w:right="60" w:firstLine="567"/>
        <w:spacing w:after="0" w:line="201" w:lineRule="auto"/>
        <w:rPr>
          <w:sz w:val="20"/>
          <w:szCs w:val="20"/>
          <w:color w:val="auto"/>
        </w:rPr>
      </w:pPr>
      <w:r>
        <w:rPr>
          <w:rFonts w:ascii="Arial" w:cs="Arial" w:eastAsia="Arial" w:hAnsi="Arial"/>
          <w:sz w:val="16"/>
          <w:szCs w:val="16"/>
          <w:color w:val="auto"/>
        </w:rPr>
        <w:t xml:space="preserve">LifeMap Sciences is also offering our research products for sale, utilizing its databases as part of its strategy for marketing our research products online to reach life sciences researchers at biotech and pharmaceutical companies and at academic institutions and research hospitals worldwide. The </w:t>
      </w:r>
      <w:r>
        <w:rPr>
          <w:rFonts w:ascii="Arial" w:cs="Arial" w:eastAsia="Arial" w:hAnsi="Arial"/>
          <w:sz w:val="16"/>
          <w:szCs w:val="16"/>
          <w:i w:val="1"/>
          <w:iCs w:val="1"/>
          <w:color w:val="auto"/>
        </w:rPr>
        <w:t>LifeMap Discovery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data base provides access to available cell-related information and resources necessary to improve stem cell research and development of therapeutics based on regenerative medicine and may promote the sale of our </w:t>
      </w:r>
      <w:r>
        <w:rPr>
          <w:rFonts w:ascii="Arial" w:cs="Arial" w:eastAsia="Arial" w:hAnsi="Arial"/>
          <w:sz w:val="16"/>
          <w:szCs w:val="16"/>
          <w:i w:val="1"/>
          <w:iCs w:val="1"/>
          <w:color w:val="auto"/>
        </w:rPr>
        <w:t>PureStem</w:t>
      </w:r>
      <w:r>
        <w:rPr>
          <w:rFonts w:ascii="Arial" w:cs="Arial" w:eastAsia="Arial" w:hAnsi="Arial"/>
          <w:sz w:val="25"/>
          <w:szCs w:val="25"/>
          <w:color w:val="auto"/>
          <w:vertAlign w:val="superscript"/>
        </w:rPr>
        <w:t>®</w:t>
      </w:r>
      <w:r>
        <w:rPr>
          <w:rFonts w:ascii="Arial" w:cs="Arial" w:eastAsia="Arial" w:hAnsi="Arial"/>
          <w:sz w:val="16"/>
          <w:szCs w:val="16"/>
          <w:color w:val="auto"/>
        </w:rPr>
        <w:t xml:space="preserve"> hEPC by permitting data base users to follow the development of hES cell lines to the purified hEPC state. This platform will also be utilized by us and our subsidiaries for internal and collaborative efforts.</w:t>
      </w:r>
    </w:p>
    <w:p>
      <w:pPr>
        <w:spacing w:after="0" w:line="205" w:lineRule="exact"/>
        <w:rPr>
          <w:sz w:val="20"/>
          <w:szCs w:val="20"/>
          <w:color w:val="auto"/>
        </w:rPr>
      </w:pPr>
    </w:p>
    <w:p>
      <w:pPr>
        <w:ind w:firstLine="567"/>
        <w:spacing w:after="0" w:line="253" w:lineRule="auto"/>
        <w:rPr>
          <w:sz w:val="20"/>
          <w:szCs w:val="20"/>
          <w:color w:val="auto"/>
        </w:rPr>
      </w:pPr>
      <w:r>
        <w:rPr>
          <w:rFonts w:ascii="Arial" w:cs="Arial" w:eastAsia="Arial" w:hAnsi="Arial"/>
          <w:sz w:val="16"/>
          <w:szCs w:val="16"/>
          <w:color w:val="auto"/>
        </w:rPr>
        <w:t>We presently own 73.2% of the LifeMap Sciences common stock outstanding. The other shares of LifeMap Sciences common stock outstanding are owned by certain officers and directors of LifeMap Sciences and by other investors. LifeMap Sciences has adopted a stock option plan under which it may issue up to 2,342,269 shares of its common stock to officers, directors, employees, and consultants of LifeMap Sciences and BioTime. As of December 31, 2013, options to purchase 1,928,768 shares of LifeMap Sciences common stock had been granted.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Stem Cells and Related Products for Regenerative Medicine Research</w:t>
      </w:r>
    </w:p>
    <w:p>
      <w:pPr>
        <w:spacing w:after="0" w:line="222" w:lineRule="exact"/>
        <w:rPr>
          <w:sz w:val="20"/>
          <w:szCs w:val="20"/>
          <w:color w:val="auto"/>
        </w:rPr>
      </w:pPr>
    </w:p>
    <w:p>
      <w:pPr>
        <w:ind w:right="80" w:firstLine="567"/>
        <w:spacing w:after="0" w:line="251" w:lineRule="auto"/>
        <w:rPr>
          <w:sz w:val="20"/>
          <w:szCs w:val="20"/>
          <w:color w:val="auto"/>
        </w:rPr>
      </w:pPr>
      <w:r>
        <w:rPr>
          <w:rFonts w:ascii="Arial" w:cs="Arial" w:eastAsia="Arial" w:hAnsi="Arial"/>
          <w:sz w:val="16"/>
          <w:szCs w:val="16"/>
          <w:color w:val="auto"/>
        </w:rPr>
        <w:t>We have consolidated the marketing of our existing research products and will be launching all new research products through ESI BIO. During 2014, we will be building the ESI BIO brand to create a single well-recognized brand and outlet for our current and future research products. One focus of ESI BIO’s research product offering will be to provide products that can be offered at both a less expensive research grade and also at a “clinical grade” if needed by our customers. This two-tiered grade and price approach will give our customers an easier transition from their therapeutic research to clinical applications and also will provide future therapeutic out-licensing opportunities for our research products and technologies.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Human Embryonic Stem Cell Lines for Research Use</w:t>
      </w:r>
    </w:p>
    <w:p>
      <w:pPr>
        <w:spacing w:after="0" w:line="218" w:lineRule="exact"/>
        <w:rPr>
          <w:sz w:val="20"/>
          <w:szCs w:val="20"/>
          <w:color w:val="auto"/>
        </w:rPr>
      </w:pPr>
    </w:p>
    <w:p>
      <w:pPr>
        <w:ind w:right="60" w:firstLine="567"/>
        <w:spacing w:after="0" w:line="257" w:lineRule="auto"/>
        <w:rPr>
          <w:sz w:val="20"/>
          <w:szCs w:val="20"/>
          <w:color w:val="auto"/>
        </w:rPr>
      </w:pPr>
      <w:r>
        <w:rPr>
          <w:rFonts w:ascii="Arial" w:cs="Arial" w:eastAsia="Arial" w:hAnsi="Arial"/>
          <w:sz w:val="16"/>
          <w:szCs w:val="16"/>
          <w:color w:val="auto"/>
        </w:rPr>
        <w:t>Because hES and iPS cells have the ability to transform into any cell type in the human body, they may provide a means of producing a host of new products of interest to medical researchers. It is likely that hES and iPS cells could be used to develop new cell lines designed to rebuild cell and tissue function otherwise lost due to degenerative disease or injury.</w:t>
      </w:r>
    </w:p>
    <w:p>
      <w:pPr>
        <w:spacing w:after="0" w:line="189" w:lineRule="exact"/>
        <w:rPr>
          <w:sz w:val="20"/>
          <w:szCs w:val="20"/>
          <w:color w:val="auto"/>
        </w:rPr>
      </w:pPr>
    </w:p>
    <w:p>
      <w:pPr>
        <w:ind w:firstLine="567"/>
        <w:spacing w:after="0" w:line="282" w:lineRule="auto"/>
        <w:rPr>
          <w:sz w:val="20"/>
          <w:szCs w:val="20"/>
          <w:color w:val="auto"/>
        </w:rPr>
      </w:pPr>
      <w:r>
        <w:rPr>
          <w:rFonts w:ascii="Arial" w:cs="Arial" w:eastAsia="Arial" w:hAnsi="Arial"/>
          <w:sz w:val="15"/>
          <w:szCs w:val="15"/>
          <w:color w:val="auto"/>
        </w:rPr>
        <w:t>In 2007, ESI announced the world's first hES cell lines derived according to cGMP principles, i.e. the detailed procedures for all aspects of production that could potentially exert an impact on the safety and quality of a product. The FDA enforces cGMP regulations with respect to the manufacturing of human therapeutics for use in the U.S., and virtually every country across the globe maintains some analogous standards for quality control in the manufacture of therapeutic products for humans.</w:t>
      </w:r>
    </w:p>
    <w:p>
      <w:pPr>
        <w:spacing w:after="0" w:line="172" w:lineRule="exact"/>
        <w:rPr>
          <w:sz w:val="20"/>
          <w:szCs w:val="20"/>
          <w:color w:val="auto"/>
        </w:rPr>
      </w:pPr>
    </w:p>
    <w:p>
      <w:pPr>
        <w:jc w:val="both"/>
        <w:ind w:right="120" w:firstLine="567"/>
        <w:spacing w:after="0" w:line="284" w:lineRule="auto"/>
        <w:rPr>
          <w:sz w:val="20"/>
          <w:szCs w:val="20"/>
          <w:color w:val="auto"/>
        </w:rPr>
      </w:pPr>
      <w:r>
        <w:rPr>
          <w:rFonts w:ascii="Arial" w:cs="Arial" w:eastAsia="Arial" w:hAnsi="Arial"/>
          <w:sz w:val="14"/>
          <w:szCs w:val="14"/>
          <w:color w:val="auto"/>
        </w:rPr>
        <w:t xml:space="preserve">ESI and scientists from Sydney IVF, Australia's leading center for infertility and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fertilization ("IVF") treatment, also published a scientific report, “The Generation of Six Clinical-Grade Human Embryonic Stem Cell Lines” (Cell Stem Cell 1: 490-494). The paper outlined the procedures used to document the production of clinical-grade hES cell lines derived on human feeder cells obtained from an FDA approved source, produced in a licensed cGMP facility, with donor consent and medical screening of donors.</w:t>
      </w:r>
    </w:p>
    <w:p>
      <w:pPr>
        <w:spacing w:after="0" w:line="1" w:lineRule="exact"/>
        <w:rPr>
          <w:sz w:val="20"/>
          <w:szCs w:val="20"/>
          <w:color w:val="auto"/>
        </w:rPr>
      </w:pPr>
    </w:p>
    <w:p>
      <w:pPr>
        <w:ind w:right="60"/>
        <w:spacing w:after="0" w:line="210" w:lineRule="auto"/>
        <w:rPr>
          <w:sz w:val="20"/>
          <w:szCs w:val="20"/>
          <w:color w:val="auto"/>
        </w:rPr>
      </w:pPr>
      <w:r>
        <w:rPr>
          <w:rFonts w:ascii="Arial" w:cs="Arial" w:eastAsia="Arial" w:hAnsi="Arial"/>
          <w:sz w:val="16"/>
          <w:szCs w:val="16"/>
          <w:color w:val="auto"/>
        </w:rPr>
        <w:t xml:space="preserve">Combined with our </w:t>
      </w:r>
      <w:r>
        <w:rPr>
          <w:rFonts w:ascii="Arial" w:cs="Arial" w:eastAsia="Arial" w:hAnsi="Arial"/>
          <w:sz w:val="16"/>
          <w:szCs w:val="16"/>
          <w:i w:val="1"/>
          <w:iCs w:val="1"/>
          <w:color w:val="auto"/>
        </w:rPr>
        <w:t>PureStem</w:t>
      </w:r>
      <w:r>
        <w:rPr>
          <w:rFonts w:ascii="Arial" w:cs="Arial" w:eastAsia="Arial" w:hAnsi="Arial"/>
          <w:sz w:val="30"/>
          <w:szCs w:val="30"/>
          <w:color w:val="auto"/>
          <w:vertAlign w:val="superscript"/>
        </w:rPr>
        <w:t>®</w:t>
      </w:r>
      <w:r>
        <w:rPr>
          <w:rFonts w:ascii="Arial" w:cs="Arial" w:eastAsia="Arial" w:hAnsi="Arial"/>
          <w:sz w:val="16"/>
          <w:szCs w:val="16"/>
          <w:color w:val="auto"/>
        </w:rPr>
        <w:t xml:space="preserve"> technology that allows for the derivation of a wide array of hEPCs with high levels of purity and scalability, and site-specific homeobox gene expression, we believe that ESI's clinical-grade master cell banks may be used to generate clonal clinical-grade embryonic progenitor cells of great interest to the biopharmaceutical industry. We expect that the acquisition of ESI's clinical-grade hES cell bank will save years of development time and thereby accelerate the development of clinical-grade progenitor cells for potential use as research and therapeutic products.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2" w:name="page33"/>
    <w:bookmarkEnd w:id="3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100" w:firstLine="567"/>
        <w:spacing w:after="0" w:line="267" w:lineRule="auto"/>
        <w:rPr>
          <w:sz w:val="20"/>
          <w:szCs w:val="20"/>
          <w:color w:val="auto"/>
        </w:rPr>
      </w:pPr>
      <w:r>
        <w:rPr>
          <w:rFonts w:ascii="Arial" w:cs="Arial" w:eastAsia="Arial" w:hAnsi="Arial"/>
          <w:sz w:val="16"/>
          <w:szCs w:val="16"/>
          <w:color w:val="auto"/>
        </w:rPr>
        <w:t>ESI’s six cGMP hES cell lines have been approved by the NIH for inclusion in the Human Embryonic Stem Cell Registry, which renders those cell lines eligible for use in federally funded research.</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The ESI hES cell lines are available for purchase through </w:t>
      </w:r>
      <w:r>
        <w:rPr>
          <w:rFonts w:ascii="Arial" w:cs="Arial" w:eastAsia="Arial" w:hAnsi="Arial"/>
          <w:sz w:val="15"/>
          <w:szCs w:val="15"/>
          <w:i w:val="1"/>
          <w:iCs w:val="1"/>
          <w:color w:val="auto"/>
        </w:rPr>
        <w:t>http://bioreagents.lifemapsc.com/collections/human-embryonic-stem-cells</w:t>
      </w:r>
      <w:r>
        <w:rPr>
          <w:rFonts w:ascii="Arial" w:cs="Arial" w:eastAsia="Arial" w:hAnsi="Arial"/>
          <w:sz w:val="15"/>
          <w:szCs w:val="15"/>
          <w:color w:val="auto"/>
        </w:rPr>
        <w:t xml:space="preserve"> and </w:t>
      </w:r>
      <w:r>
        <w:rPr>
          <w:rFonts w:ascii="Arial" w:cs="Arial" w:eastAsia="Arial" w:hAnsi="Arial"/>
          <w:sz w:val="15"/>
          <w:szCs w:val="15"/>
          <w:i w:val="1"/>
          <w:iCs w:val="1"/>
          <w:color w:val="auto"/>
        </w:rPr>
        <w:t>http://esibio.com/products/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-3175</wp:posOffset>
            </wp:positionV>
            <wp:extent cx="2476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765" cy="7620"/>
                    </a:xfrm>
                    <a:prstGeom prst="rect">
                      <a:avLst/>
                    </a:prstGeom>
                    <a:noFill/>
                  </pic:spPr>
                </pic:pic>
              </a:graphicData>
            </a:graphic>
          </wp:anchor>
        </w:drawing>
      </w:r>
    </w:p>
    <w:p>
      <w:pPr>
        <w:spacing w:after="0" w:line="209" w:lineRule="exact"/>
        <w:rPr>
          <w:sz w:val="20"/>
          <w:szCs w:val="20"/>
          <w:color w:val="auto"/>
        </w:rPr>
      </w:pPr>
    </w:p>
    <w:p>
      <w:pPr>
        <w:ind w:right="20" w:firstLine="567"/>
        <w:spacing w:after="0" w:line="251" w:lineRule="auto"/>
        <w:rPr>
          <w:sz w:val="20"/>
          <w:szCs w:val="20"/>
          <w:color w:val="auto"/>
        </w:rPr>
      </w:pPr>
      <w:r>
        <w:rPr>
          <w:rFonts w:ascii="Arial" w:cs="Arial" w:eastAsia="Arial" w:hAnsi="Arial"/>
          <w:sz w:val="16"/>
          <w:szCs w:val="16"/>
          <w:color w:val="auto"/>
        </w:rPr>
        <w:t>We have derived the complete genome sequence of five of the ESI hES cell lines to facilitate the development of products derived from these cell lines. We have made these cGMP-grade cell lines, along with certain documentation and complete genomic DNA sequence information, available for sale. We will charge a price for the cGMP-grade cell lines that covers our production and delivery costs. Although no royalties will be payable to us by researchers who acquire the cell lines for research use, researchers who desire to use the cGMP cell lines for therapeutic or diagnostic products, or for any other commercial purposes, may do so only after signing commercialization agreements acceptable to us..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PureStem</w:t>
      </w:r>
      <w:r>
        <w:rPr>
          <w:rFonts w:ascii="Arial" w:cs="Arial" w:eastAsia="Arial" w:hAnsi="Arial"/>
          <w:sz w:val="25"/>
          <w:szCs w:val="25"/>
          <w:color w:val="auto"/>
          <w:vertAlign w:val="superscript"/>
        </w:rPr>
        <w:t>®</w:t>
      </w:r>
      <w:r>
        <w:rPr>
          <w:rFonts w:ascii="Arial" w:cs="Arial" w:eastAsia="Arial" w:hAnsi="Arial"/>
          <w:sz w:val="16"/>
          <w:szCs w:val="16"/>
          <w:b w:val="1"/>
          <w:bCs w:val="1"/>
          <w:i w:val="1"/>
          <w:iCs w:val="1"/>
          <w:color w:val="auto"/>
        </w:rPr>
        <w:t xml:space="preserve"> Human Embryonic Progenitor Cells</w:t>
      </w:r>
    </w:p>
    <w:p>
      <w:pPr>
        <w:spacing w:after="0" w:line="114" w:lineRule="exact"/>
        <w:rPr>
          <w:sz w:val="20"/>
          <w:szCs w:val="20"/>
          <w:color w:val="auto"/>
        </w:rPr>
      </w:pPr>
    </w:p>
    <w:p>
      <w:pPr>
        <w:ind w:right="20" w:firstLine="567"/>
        <w:spacing w:after="0" w:line="209" w:lineRule="auto"/>
        <w:rPr>
          <w:sz w:val="20"/>
          <w:szCs w:val="20"/>
          <w:color w:val="auto"/>
        </w:rPr>
      </w:pPr>
      <w:r>
        <w:rPr>
          <w:rFonts w:ascii="Arial" w:cs="Arial" w:eastAsia="Arial" w:hAnsi="Arial"/>
          <w:sz w:val="16"/>
          <w:szCs w:val="16"/>
          <w:color w:val="auto"/>
        </w:rPr>
        <w:t xml:space="preserve">We acquired a license from Advanced Cell Technology to make and sell hEPCs using </w:t>
      </w:r>
      <w:r>
        <w:rPr>
          <w:rFonts w:ascii="Arial" w:cs="Arial" w:eastAsia="Arial" w:hAnsi="Arial"/>
          <w:sz w:val="16"/>
          <w:szCs w:val="16"/>
          <w:i w:val="1"/>
          <w:iCs w:val="1"/>
          <w:color w:val="auto"/>
        </w:rPr>
        <w:t>PureStem</w:t>
      </w:r>
      <w:r>
        <w:rPr>
          <w:rFonts w:ascii="Arial" w:cs="Arial" w:eastAsia="Arial" w:hAnsi="Arial"/>
          <w:sz w:val="25"/>
          <w:szCs w:val="25"/>
          <w:color w:val="auto"/>
          <w:vertAlign w:val="superscript"/>
        </w:rPr>
        <w:t>®</w:t>
      </w:r>
      <w:r>
        <w:rPr>
          <w:rFonts w:ascii="Arial" w:cs="Arial" w:eastAsia="Arial" w:hAnsi="Arial"/>
          <w:sz w:val="16"/>
          <w:szCs w:val="16"/>
          <w:color w:val="auto"/>
        </w:rPr>
        <w:t xml:space="preserve"> </w:t>
      </w:r>
      <w:r>
        <w:rPr>
          <w:rFonts w:ascii="Arial" w:cs="Arial" w:eastAsia="Arial" w:hAnsi="Arial"/>
          <w:sz w:val="15"/>
          <w:szCs w:val="15"/>
          <w:color w:val="auto"/>
        </w:rPr>
        <w:t>technology. This technology allows the rapid isolation of novel, highly</w:t>
      </w:r>
      <w:r>
        <w:rPr>
          <w:rFonts w:ascii="Arial" w:cs="Arial" w:eastAsia="Arial" w:hAnsi="Arial"/>
          <w:sz w:val="16"/>
          <w:szCs w:val="16"/>
          <w:color w:val="auto"/>
        </w:rPr>
        <w:t xml:space="preserve"> </w:t>
      </w:r>
      <w:r>
        <w:rPr>
          <w:rFonts w:ascii="Arial" w:cs="Arial" w:eastAsia="Arial" w:hAnsi="Arial"/>
          <w:sz w:val="15"/>
          <w:szCs w:val="15"/>
          <w:color w:val="auto"/>
        </w:rPr>
        <w:t xml:space="preserve">purified progenitors, which are cells that are intermediate in the developmental process between embryonic stem cells and fully differentiated cells. Using the </w:t>
      </w:r>
      <w:r>
        <w:rPr>
          <w:rFonts w:ascii="Arial" w:cs="Arial" w:eastAsia="Arial" w:hAnsi="Arial"/>
          <w:sz w:val="15"/>
          <w:szCs w:val="15"/>
          <w:i w:val="1"/>
          <w:iCs w:val="1"/>
          <w:color w:val="auto"/>
        </w:rPr>
        <w:t>PureStem</w:t>
      </w:r>
      <w:r>
        <w:rPr>
          <w:rFonts w:ascii="Arial" w:cs="Arial" w:eastAsia="Arial" w:hAnsi="Arial"/>
          <w:sz w:val="25"/>
          <w:szCs w:val="25"/>
          <w:color w:val="auto"/>
          <w:vertAlign w:val="superscript"/>
        </w:rPr>
        <w:t>®</w:t>
      </w:r>
      <w:r>
        <w:rPr>
          <w:rFonts w:ascii="Arial" w:cs="Arial" w:eastAsia="Arial" w:hAnsi="Arial"/>
          <w:sz w:val="15"/>
          <w:szCs w:val="15"/>
          <w:color w:val="auto"/>
        </w:rPr>
        <w:t xml:space="preserve"> technology we derived more than 200 progenitors and are marketing a subset of these cells to the research community. Not only do </w:t>
      </w:r>
      <w:r>
        <w:rPr>
          <w:rFonts w:ascii="Arial" w:cs="Arial" w:eastAsia="Arial" w:hAnsi="Arial"/>
          <w:sz w:val="15"/>
          <w:szCs w:val="15"/>
          <w:i w:val="1"/>
          <w:iCs w:val="1"/>
          <w:color w:val="auto"/>
        </w:rPr>
        <w:t>PureStem</w:t>
      </w:r>
      <w:r>
        <w:rPr>
          <w:rFonts w:ascii="Arial" w:cs="Arial" w:eastAsia="Arial" w:hAnsi="Arial"/>
          <w:sz w:val="25"/>
          <w:szCs w:val="25"/>
          <w:color w:val="auto"/>
          <w:vertAlign w:val="superscript"/>
        </w:rPr>
        <w:t>®</w:t>
      </w:r>
      <w:r>
        <w:rPr>
          <w:rFonts w:ascii="Arial" w:cs="Arial" w:eastAsia="Arial" w:hAnsi="Arial"/>
          <w:sz w:val="15"/>
          <w:szCs w:val="15"/>
          <w:color w:val="auto"/>
        </w:rPr>
        <w:t xml:space="preserve"> hEPCs possess the ability to become a wide array of cell types with potential applications in research, drug discovery, and human regenerative stem cell therapies, they are relatively easy to manufacture on a large scale and in a purified state, which may make it more advantageous to work with them than directly with hES or iPS cells.</w:t>
      </w:r>
    </w:p>
    <w:p>
      <w:pPr>
        <w:spacing w:after="0" w:line="197" w:lineRule="exact"/>
        <w:rPr>
          <w:sz w:val="20"/>
          <w:szCs w:val="20"/>
          <w:color w:val="auto"/>
        </w:rPr>
      </w:pPr>
    </w:p>
    <w:p>
      <w:pPr>
        <w:ind w:firstLine="567"/>
        <w:spacing w:after="0" w:line="186" w:lineRule="auto"/>
        <w:rPr>
          <w:sz w:val="20"/>
          <w:szCs w:val="20"/>
          <w:color w:val="auto"/>
        </w:rPr>
      </w:pPr>
      <w:r>
        <w:rPr>
          <w:rFonts w:ascii="Arial" w:cs="Arial" w:eastAsia="Arial" w:hAnsi="Arial"/>
          <w:sz w:val="14"/>
          <w:szCs w:val="14"/>
          <w:color w:val="auto"/>
        </w:rPr>
        <w:t xml:space="preserve">We now offer 12 </w:t>
      </w:r>
      <w:r>
        <w:rPr>
          <w:rFonts w:ascii="Arial" w:cs="Arial" w:eastAsia="Arial" w:hAnsi="Arial"/>
          <w:sz w:val="14"/>
          <w:szCs w:val="14"/>
          <w:i w:val="1"/>
          <w:iCs w:val="1"/>
          <w:color w:val="auto"/>
        </w:rPr>
        <w:t>PureStem</w:t>
      </w:r>
      <w:r>
        <w:rPr>
          <w:rFonts w:ascii="Arial" w:cs="Arial" w:eastAsia="Arial" w:hAnsi="Arial"/>
          <w:sz w:val="21"/>
          <w:szCs w:val="21"/>
          <w:color w:val="auto"/>
          <w:vertAlign w:val="superscript"/>
        </w:rPr>
        <w:t>®</w:t>
      </w:r>
      <w:r>
        <w:rPr>
          <w:rFonts w:ascii="Arial" w:cs="Arial" w:eastAsia="Arial" w:hAnsi="Arial"/>
          <w:sz w:val="14"/>
          <w:szCs w:val="14"/>
          <w:color w:val="auto"/>
        </w:rPr>
        <w:t xml:space="preserve"> hEPC for purchase at </w:t>
      </w:r>
      <w:r>
        <w:rPr>
          <w:rFonts w:ascii="Arial" w:cs="Arial" w:eastAsia="Arial" w:hAnsi="Arial"/>
          <w:sz w:val="14"/>
          <w:szCs w:val="14"/>
          <w:i w:val="1"/>
          <w:iCs w:val="1"/>
          <w:color w:val="auto"/>
        </w:rPr>
        <w:t>http://esibio.com/products/,</w:t>
      </w:r>
      <w:r>
        <w:rPr>
          <w:rFonts w:ascii="Arial" w:cs="Arial" w:eastAsia="Arial" w:hAnsi="Arial"/>
          <w:sz w:val="14"/>
          <w:szCs w:val="14"/>
          <w:color w:val="auto"/>
        </w:rPr>
        <w:t xml:space="preserve"> and </w:t>
      </w:r>
      <w:r>
        <w:rPr>
          <w:rFonts w:ascii="Arial" w:cs="Arial" w:eastAsia="Arial" w:hAnsi="Arial"/>
          <w:sz w:val="14"/>
          <w:szCs w:val="14"/>
          <w:i w:val="1"/>
          <w:iCs w:val="1"/>
          <w:color w:val="auto"/>
        </w:rPr>
        <w:t>http://bioreagents.lifemapsc.com.</w:t>
      </w:r>
      <w:r>
        <w:rPr>
          <w:rFonts w:ascii="Arial" w:cs="Arial" w:eastAsia="Arial" w:hAnsi="Arial"/>
          <w:sz w:val="14"/>
          <w:szCs w:val="14"/>
          <w:color w:val="auto"/>
        </w:rPr>
        <w:t xml:space="preserve"> We anticipate adding additional </w:t>
      </w:r>
      <w:r>
        <w:rPr>
          <w:rFonts w:ascii="Arial" w:cs="Arial" w:eastAsia="Arial" w:hAnsi="Arial"/>
          <w:sz w:val="14"/>
          <w:szCs w:val="14"/>
          <w:i w:val="1"/>
          <w:iCs w:val="1"/>
          <w:color w:val="auto"/>
        </w:rPr>
        <w:t>PureStem</w:t>
      </w:r>
      <w:r>
        <w:rPr>
          <w:rFonts w:ascii="Arial" w:cs="Arial" w:eastAsia="Arial" w:hAnsi="Arial"/>
          <w:sz w:val="21"/>
          <w:szCs w:val="21"/>
          <w:color w:val="auto"/>
          <w:vertAlign w:val="superscript"/>
        </w:rPr>
        <w:t>®</w:t>
      </w:r>
      <w:r>
        <w:rPr>
          <w:rFonts w:ascii="Arial" w:cs="Arial" w:eastAsia="Arial" w:hAnsi="Arial"/>
          <w:sz w:val="14"/>
          <w:szCs w:val="14"/>
          <w:color w:val="auto"/>
        </w:rPr>
        <w:t xml:space="preserve"> hEPC and related </w:t>
      </w:r>
      <w:r>
        <w:rPr>
          <w:rFonts w:ascii="Arial" w:cs="Arial" w:eastAsia="Arial" w:hAnsi="Arial"/>
          <w:sz w:val="14"/>
          <w:szCs w:val="14"/>
          <w:i w:val="1"/>
          <w:iCs w:val="1"/>
          <w:color w:val="auto"/>
        </w:rPr>
        <w:t>ESpan</w:t>
      </w:r>
      <w:r>
        <w:rPr>
          <w:rFonts w:ascii="Arial" w:cs="Arial" w:eastAsia="Arial" w:hAnsi="Arial"/>
          <w:sz w:val="22"/>
          <w:szCs w:val="22"/>
          <w:color w:val="auto"/>
          <w:vertAlign w:val="superscript"/>
        </w:rPr>
        <w:t>™</w:t>
      </w:r>
      <w:r>
        <w:rPr>
          <w:rFonts w:ascii="Arial" w:cs="Arial" w:eastAsia="Arial" w:hAnsi="Arial"/>
          <w:sz w:val="14"/>
          <w:szCs w:val="14"/>
          <w:color w:val="auto"/>
        </w:rPr>
        <w:t xml:space="preserve"> growth media and differentiation kits over time. LifeMap Sciences is also undertaking new efforts to provide online biomedical database services through</w:t>
      </w:r>
    </w:p>
    <w:p>
      <w:pPr>
        <w:spacing w:after="0" w:line="2" w:lineRule="exact"/>
        <w:rPr>
          <w:sz w:val="20"/>
          <w:szCs w:val="20"/>
          <w:color w:val="auto"/>
        </w:rPr>
      </w:pPr>
    </w:p>
    <w:p>
      <w:pPr>
        <w:ind w:right="160"/>
        <w:spacing w:after="0" w:line="210" w:lineRule="auto"/>
        <w:rPr>
          <w:sz w:val="20"/>
          <w:szCs w:val="20"/>
          <w:color w:val="auto"/>
        </w:rPr>
      </w:pPr>
      <w:r>
        <w:rPr>
          <w:rFonts w:ascii="Arial" w:cs="Arial" w:eastAsia="Arial" w:hAnsi="Arial"/>
          <w:sz w:val="16"/>
          <w:szCs w:val="16"/>
          <w:color w:val="auto"/>
        </w:rPr>
        <w:t xml:space="preserve">its </w:t>
      </w:r>
      <w:r>
        <w:rPr>
          <w:rFonts w:ascii="Arial" w:cs="Arial" w:eastAsia="Arial" w:hAnsi="Arial"/>
          <w:sz w:val="16"/>
          <w:szCs w:val="16"/>
          <w:i w:val="1"/>
          <w:iCs w:val="1"/>
          <w:color w:val="auto"/>
        </w:rPr>
        <w:t>LifeMap Discovery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database to increase awareness of molecular markers and diverse cell types comprising our </w:t>
      </w:r>
      <w:r>
        <w:rPr>
          <w:rFonts w:ascii="Arial" w:cs="Arial" w:eastAsia="Arial" w:hAnsi="Arial"/>
          <w:sz w:val="16"/>
          <w:szCs w:val="16"/>
          <w:i w:val="1"/>
          <w:iCs w:val="1"/>
          <w:color w:val="auto"/>
        </w:rPr>
        <w:t>PureStem</w:t>
      </w:r>
      <w:r>
        <w:rPr>
          <w:rFonts w:ascii="Arial" w:cs="Arial" w:eastAsia="Arial" w:hAnsi="Arial"/>
          <w:sz w:val="25"/>
          <w:szCs w:val="25"/>
          <w:color w:val="auto"/>
          <w:vertAlign w:val="superscript"/>
        </w:rPr>
        <w:t>®</w:t>
      </w:r>
      <w:r>
        <w:rPr>
          <w:rFonts w:ascii="Arial" w:cs="Arial" w:eastAsia="Arial" w:hAnsi="Arial"/>
          <w:sz w:val="16"/>
          <w:szCs w:val="16"/>
          <w:color w:val="auto"/>
        </w:rPr>
        <w:t xml:space="preserve"> hEPCs. Through our current inventory of over 200 hEPCs, we plan to continually add additional </w:t>
      </w:r>
      <w:r>
        <w:rPr>
          <w:rFonts w:ascii="Arial" w:cs="Arial" w:eastAsia="Arial" w:hAnsi="Arial"/>
          <w:sz w:val="16"/>
          <w:szCs w:val="16"/>
          <w:i w:val="1"/>
          <w:iCs w:val="1"/>
          <w:color w:val="auto"/>
        </w:rPr>
        <w:t>PureStem</w:t>
      </w:r>
      <w:r>
        <w:rPr>
          <w:rFonts w:ascii="Arial" w:cs="Arial" w:eastAsia="Arial" w:hAnsi="Arial"/>
          <w:sz w:val="25"/>
          <w:szCs w:val="25"/>
          <w:color w:val="auto"/>
          <w:vertAlign w:val="superscript"/>
        </w:rPr>
        <w:t>®</w:t>
      </w:r>
      <w:r>
        <w:rPr>
          <w:rFonts w:ascii="Arial" w:cs="Arial" w:eastAsia="Arial" w:hAnsi="Arial"/>
          <w:sz w:val="16"/>
          <w:szCs w:val="16"/>
          <w:color w:val="auto"/>
        </w:rPr>
        <w:t xml:space="preserve"> cells to our product offering.</w:t>
      </w:r>
    </w:p>
    <w:p>
      <w:pPr>
        <w:spacing w:after="0" w:line="76" w:lineRule="exact"/>
        <w:rPr>
          <w:sz w:val="20"/>
          <w:szCs w:val="20"/>
          <w:color w:val="auto"/>
        </w:rPr>
      </w:pPr>
    </w:p>
    <w:p>
      <w:pPr>
        <w:ind w:right="60" w:firstLine="567"/>
        <w:spacing w:after="0" w:line="242" w:lineRule="auto"/>
        <w:rPr>
          <w:sz w:val="20"/>
          <w:szCs w:val="20"/>
          <w:color w:val="auto"/>
        </w:rPr>
      </w:pPr>
      <w:r>
        <w:rPr>
          <w:rFonts w:ascii="Arial" w:cs="Arial" w:eastAsia="Arial" w:hAnsi="Arial"/>
          <w:sz w:val="15"/>
          <w:szCs w:val="15"/>
          <w:color w:val="auto"/>
        </w:rPr>
        <w:t xml:space="preserve">We have been awarded a SBIR Phase 1 Small Business Grant from the National Institute of General Medical Sciences at the National Institutes of Health (NIH) for a project aimed at developing a simple cell culture additive that will reduce the risk of contamination of therapeutic stem cell formulations by residual pluripotent stem cells. Unlike our </w:t>
      </w:r>
      <w:r>
        <w:rPr>
          <w:rFonts w:ascii="Arial" w:cs="Arial" w:eastAsia="Arial" w:hAnsi="Arial"/>
          <w:sz w:val="15"/>
          <w:szCs w:val="15"/>
          <w:i w:val="1"/>
          <w:iCs w:val="1"/>
          <w:color w:val="auto"/>
        </w:rPr>
        <w:t>PureStem</w:t>
      </w:r>
      <w:r>
        <w:rPr>
          <w:rFonts w:ascii="Arial" w:cs="Arial" w:eastAsia="Arial" w:hAnsi="Arial"/>
          <w:sz w:val="25"/>
          <w:szCs w:val="25"/>
          <w:color w:val="auto"/>
          <w:vertAlign w:val="superscript"/>
        </w:rPr>
        <w:t>®</w:t>
      </w:r>
      <w:r>
        <w:rPr>
          <w:rFonts w:ascii="Arial" w:cs="Arial" w:eastAsia="Arial" w:hAnsi="Arial"/>
          <w:sz w:val="15"/>
          <w:szCs w:val="15"/>
          <w:color w:val="auto"/>
        </w:rPr>
        <w:t xml:space="preserve"> technology, first generation protocols used in many laboratories to manufacture cell types from pluripotent stem cells can be contaminated with undesired cell types. Under the grant, we will work to develop reagents that selectively identify and kill residual pluripotent cells while leaving the intended therapeutic stem cells unharmed. Any products that may be developed may be marketed to the stem cell research community and to cell therapy companies that are developing pluripotent stem cell derived products without our </w:t>
      </w:r>
      <w:r>
        <w:rPr>
          <w:rFonts w:ascii="Arial" w:cs="Arial" w:eastAsia="Arial" w:hAnsi="Arial"/>
          <w:sz w:val="15"/>
          <w:szCs w:val="15"/>
          <w:i w:val="1"/>
          <w:iCs w:val="1"/>
          <w:color w:val="auto"/>
        </w:rPr>
        <w:t>PureStem</w:t>
      </w:r>
      <w:r>
        <w:rPr>
          <w:rFonts w:ascii="Arial" w:cs="Arial" w:eastAsia="Arial" w:hAnsi="Arial"/>
          <w:sz w:val="25"/>
          <w:szCs w:val="25"/>
          <w:color w:val="auto"/>
          <w:vertAlign w:val="superscript"/>
        </w:rPr>
        <w:t>®</w:t>
      </w:r>
      <w:r>
        <w:rPr>
          <w:rFonts w:ascii="Arial" w:cs="Arial" w:eastAsia="Arial" w:hAnsi="Arial"/>
          <w:sz w:val="15"/>
          <w:szCs w:val="15"/>
          <w:color w:val="auto"/>
        </w:rPr>
        <w:t xml:space="preserve"> technology, for the treatment of degenerative diseases and injury.</w:t>
      </w:r>
    </w:p>
    <w:p>
      <w:pPr>
        <w:spacing w:after="0" w:line="67" w:lineRule="exact"/>
        <w:rPr>
          <w:sz w:val="20"/>
          <w:szCs w:val="20"/>
          <w:color w:val="auto"/>
        </w:rPr>
      </w:pPr>
    </w:p>
    <w:p>
      <w:pPr>
        <w:ind w:right="80" w:firstLine="567"/>
        <w:spacing w:after="0" w:line="217" w:lineRule="auto"/>
        <w:rPr>
          <w:sz w:val="20"/>
          <w:szCs w:val="20"/>
          <w:color w:val="auto"/>
        </w:rPr>
      </w:pPr>
      <w:r>
        <w:rPr>
          <w:rFonts w:ascii="Arial" w:cs="Arial" w:eastAsia="Arial" w:hAnsi="Arial"/>
          <w:sz w:val="16"/>
          <w:szCs w:val="16"/>
          <w:color w:val="auto"/>
        </w:rPr>
        <w:t xml:space="preserve">We have also begun the </w:t>
      </w:r>
      <w:r>
        <w:rPr>
          <w:rFonts w:ascii="Arial" w:cs="Arial" w:eastAsia="Arial" w:hAnsi="Arial"/>
          <w:sz w:val="16"/>
          <w:szCs w:val="16"/>
          <w:i w:val="1"/>
          <w:iCs w:val="1"/>
          <w:color w:val="auto"/>
        </w:rPr>
        <w:t>PureStem</w:t>
      </w:r>
      <w:r>
        <w:rPr>
          <w:rFonts w:ascii="Arial" w:cs="Arial" w:eastAsia="Arial" w:hAnsi="Arial"/>
          <w:sz w:val="25"/>
          <w:szCs w:val="25"/>
          <w:color w:val="auto"/>
          <w:vertAlign w:val="superscript"/>
        </w:rPr>
        <w:t>®</w:t>
      </w:r>
      <w:r>
        <w:rPr>
          <w:rFonts w:ascii="Arial" w:cs="Arial" w:eastAsia="Arial" w:hAnsi="Arial"/>
          <w:sz w:val="16"/>
          <w:szCs w:val="16"/>
          <w:color w:val="auto"/>
        </w:rPr>
        <w:t xml:space="preserve"> </w:t>
      </w:r>
      <w:r>
        <w:rPr>
          <w:rFonts w:ascii="Arial" w:cs="Arial" w:eastAsia="Arial" w:hAnsi="Arial"/>
          <w:sz w:val="15"/>
          <w:szCs w:val="15"/>
          <w:color w:val="auto"/>
        </w:rPr>
        <w:t>grant program which will award a $100,000 grant in 2014 to a winning applicant who offers the most innovative research plan to BioTime</w:t>
      </w:r>
      <w:r>
        <w:rPr>
          <w:rFonts w:ascii="Arial" w:cs="Arial" w:eastAsia="Arial" w:hAnsi="Arial"/>
          <w:sz w:val="16"/>
          <w:szCs w:val="16"/>
          <w:color w:val="auto"/>
        </w:rPr>
        <w:t xml:space="preserve"> </w:t>
      </w:r>
      <w:r>
        <w:rPr>
          <w:rFonts w:ascii="Arial" w:cs="Arial" w:eastAsia="Arial" w:hAnsi="Arial"/>
          <w:sz w:val="15"/>
          <w:szCs w:val="15"/>
          <w:color w:val="auto"/>
        </w:rPr>
        <w:t xml:space="preserve">that utilizes one of our </w:t>
      </w:r>
      <w:r>
        <w:rPr>
          <w:rFonts w:ascii="Arial" w:cs="Arial" w:eastAsia="Arial" w:hAnsi="Arial"/>
          <w:sz w:val="15"/>
          <w:szCs w:val="15"/>
          <w:i w:val="1"/>
          <w:iCs w:val="1"/>
          <w:color w:val="auto"/>
        </w:rPr>
        <w:t>PureStem</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progenitors.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hES Cells Carrying Genetic Diseases</w:t>
      </w:r>
    </w:p>
    <w:p>
      <w:pPr>
        <w:spacing w:after="0" w:line="218" w:lineRule="exact"/>
        <w:rPr>
          <w:sz w:val="20"/>
          <w:szCs w:val="20"/>
          <w:color w:val="auto"/>
        </w:rPr>
      </w:pPr>
    </w:p>
    <w:p>
      <w:pPr>
        <w:ind w:right="160" w:firstLine="567"/>
        <w:spacing w:after="0" w:line="253" w:lineRule="auto"/>
        <w:rPr>
          <w:sz w:val="20"/>
          <w:szCs w:val="20"/>
          <w:color w:val="auto"/>
        </w:rPr>
      </w:pPr>
      <w:r>
        <w:rPr>
          <w:rFonts w:ascii="Arial" w:cs="Arial" w:eastAsia="Arial" w:hAnsi="Arial"/>
          <w:sz w:val="16"/>
          <w:szCs w:val="16"/>
          <w:color w:val="auto"/>
        </w:rPr>
        <w:t>We plan to add to our product line novel muscle progenitor cells produced from five hES cell lines carrying genes for Duchenne muscular dystrophy, Emery-Dreifuss muscular dystrophy, spinal muscular atrophy Type I, facioscapulohumeral muscular dystrophy 1A, and Becker muscular dystrophy. We have a contract to obtain the diseased hES cell lines from Reproductive Genetics Institute (“RGI”). Our goal is to produce highly purified and characterized progenitor cell types useful to the research community for applications such as drug screening for the development of therapies for these devastating diseases.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3" w:name="page34"/>
    <w:bookmarkEnd w:id="3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ESpan</w:t>
      </w:r>
      <w:r>
        <w:rPr>
          <w:rFonts w:ascii="Arial" w:cs="Arial" w:eastAsia="Arial" w:hAnsi="Arial"/>
          <w:sz w:val="26"/>
          <w:szCs w:val="26"/>
          <w:b w:val="1"/>
          <w:bCs w:val="1"/>
          <w:color w:val="auto"/>
          <w:vertAlign w:val="superscript"/>
        </w:rPr>
        <w:t>™</w:t>
      </w:r>
      <w:r>
        <w:rPr>
          <w:rFonts w:ascii="Arial" w:cs="Arial" w:eastAsia="Arial" w:hAnsi="Arial"/>
          <w:sz w:val="16"/>
          <w:szCs w:val="16"/>
          <w:b w:val="1"/>
          <w:bCs w:val="1"/>
          <w:i w:val="1"/>
          <w:iCs w:val="1"/>
          <w:color w:val="auto"/>
        </w:rPr>
        <w:t xml:space="preserve"> Cell Growth Media</w:t>
      </w:r>
    </w:p>
    <w:p>
      <w:pPr>
        <w:spacing w:after="0" w:line="115" w:lineRule="exact"/>
        <w:rPr>
          <w:sz w:val="20"/>
          <w:szCs w:val="20"/>
          <w:color w:val="auto"/>
        </w:rPr>
      </w:pPr>
    </w:p>
    <w:p>
      <w:pPr>
        <w:ind w:right="20" w:firstLine="567"/>
        <w:spacing w:after="0" w:line="301" w:lineRule="auto"/>
        <w:rPr>
          <w:sz w:val="20"/>
          <w:szCs w:val="20"/>
          <w:color w:val="auto"/>
        </w:rPr>
      </w:pPr>
      <w:r>
        <w:rPr>
          <w:rFonts w:ascii="Arial" w:cs="Arial" w:eastAsia="Arial" w:hAnsi="Arial"/>
          <w:sz w:val="14"/>
          <w:szCs w:val="14"/>
          <w:color w:val="auto"/>
        </w:rPr>
        <w:t>Cell lines derived from hES and iPS cells that display novel cell signaling pathways (which are cell signals that regulate cell proliferation) may be used in screening assays for the discovery of new drugs. Since embryonic stem cells can now be derived through the use of iPS technology from patients with particular degenerative diseases, stem cells are increasingly likely to be utilized in a wide array of future research programs aimed to model disease processes in the laboratory and to restore the function of organs and tissues damaged by degenerative diseases such as heart failure, stroke, Parkinson’s disease, macular degeneration, and diabetes, as well as many other chronic conditions.</w:t>
      </w:r>
    </w:p>
    <w:p>
      <w:pPr>
        <w:spacing w:after="0" w:line="153" w:lineRule="exact"/>
        <w:rPr>
          <w:sz w:val="20"/>
          <w:szCs w:val="20"/>
          <w:color w:val="auto"/>
        </w:rPr>
      </w:pPr>
    </w:p>
    <w:p>
      <w:pPr>
        <w:ind w:right="40" w:firstLine="567"/>
        <w:spacing w:after="0" w:line="218" w:lineRule="auto"/>
        <w:rPr>
          <w:sz w:val="20"/>
          <w:szCs w:val="20"/>
          <w:color w:val="auto"/>
        </w:rPr>
      </w:pPr>
      <w:r>
        <w:rPr>
          <w:rFonts w:ascii="Arial" w:cs="Arial" w:eastAsia="Arial" w:hAnsi="Arial"/>
          <w:sz w:val="16"/>
          <w:szCs w:val="16"/>
          <w:color w:val="auto"/>
        </w:rPr>
        <w:t xml:space="preserve">We are marketing a line of cell-growth media products called </w:t>
      </w:r>
      <w:r>
        <w:rPr>
          <w:rFonts w:ascii="Arial" w:cs="Arial" w:eastAsia="Arial" w:hAnsi="Arial"/>
          <w:sz w:val="16"/>
          <w:szCs w:val="16"/>
          <w:i w:val="1"/>
          <w:iCs w:val="1"/>
          <w:color w:val="auto"/>
        </w:rPr>
        <w:t>ESpan</w:t>
      </w:r>
      <w:r>
        <w:rPr>
          <w:rFonts w:ascii="Arial" w:cs="Arial" w:eastAsia="Arial" w:hAnsi="Arial"/>
          <w:sz w:val="26"/>
          <w:szCs w:val="26"/>
          <w:color w:val="auto"/>
          <w:vertAlign w:val="superscript"/>
        </w:rPr>
        <w:t>™</w:t>
      </w:r>
      <w:r>
        <w:rPr>
          <w:rFonts w:ascii="Arial" w:cs="Arial" w:eastAsia="Arial" w:hAnsi="Arial"/>
          <w:sz w:val="16"/>
          <w:szCs w:val="16"/>
          <w:color w:val="auto"/>
        </w:rPr>
        <w:t>. These growth media are optimized for the growth of hEPC types. Cells need to be propagated in liquid media, in both the laboratory setting, where basic research on stem cells is performed, and in the commercial sector where stem cells will be scaled up for the manufacture of cell-based therapies or for the discovery of new drugs. We expect that rather than propagating hES cells in large quantities, many end users will instead propagate cells using media optimized for the propagation of hEPCs created from hES cells.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ESpy</w:t>
      </w:r>
      <w:r>
        <w:rPr>
          <w:rFonts w:ascii="Arial" w:cs="Arial" w:eastAsia="Arial" w:hAnsi="Arial"/>
          <w:sz w:val="26"/>
          <w:szCs w:val="26"/>
          <w:b w:val="1"/>
          <w:bCs w:val="1"/>
          <w:color w:val="auto"/>
          <w:vertAlign w:val="superscript"/>
        </w:rPr>
        <w:t>®</w:t>
      </w:r>
      <w:r>
        <w:rPr>
          <w:rFonts w:ascii="Arial" w:cs="Arial" w:eastAsia="Arial" w:hAnsi="Arial"/>
          <w:sz w:val="16"/>
          <w:szCs w:val="16"/>
          <w:b w:val="1"/>
          <w:bCs w:val="1"/>
          <w:i w:val="1"/>
          <w:iCs w:val="1"/>
          <w:color w:val="auto"/>
        </w:rPr>
        <w:t xml:space="preserve"> Cell Lines</w:t>
      </w:r>
    </w:p>
    <w:p>
      <w:pPr>
        <w:spacing w:after="0" w:line="107" w:lineRule="exact"/>
        <w:rPr>
          <w:sz w:val="20"/>
          <w:szCs w:val="20"/>
          <w:color w:val="auto"/>
        </w:rPr>
      </w:pPr>
    </w:p>
    <w:p>
      <w:pPr>
        <w:ind w:right="40" w:firstLine="567"/>
        <w:spacing w:after="0" w:line="212" w:lineRule="auto"/>
        <w:rPr>
          <w:sz w:val="20"/>
          <w:szCs w:val="20"/>
          <w:color w:val="auto"/>
        </w:rPr>
      </w:pPr>
      <w:r>
        <w:rPr>
          <w:rFonts w:ascii="Arial" w:cs="Arial" w:eastAsia="Arial" w:hAnsi="Arial"/>
          <w:sz w:val="16"/>
          <w:szCs w:val="16"/>
          <w:color w:val="auto"/>
        </w:rPr>
        <w:t xml:space="preserve">Additional new products that we have targeted for launch in 2014 are </w:t>
      </w:r>
      <w:r>
        <w:rPr>
          <w:rFonts w:ascii="Arial" w:cs="Arial" w:eastAsia="Arial" w:hAnsi="Arial"/>
          <w:sz w:val="16"/>
          <w:szCs w:val="16"/>
          <w:i w:val="1"/>
          <w:iCs w:val="1"/>
          <w:color w:val="auto"/>
        </w:rPr>
        <w:t>ESpy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cell lines, which will be derivatives of hES cells and will emit beacons of light. The ability of the </w:t>
      </w:r>
      <w:r>
        <w:rPr>
          <w:rFonts w:ascii="Arial" w:cs="Arial" w:eastAsia="Arial" w:hAnsi="Arial"/>
          <w:sz w:val="16"/>
          <w:szCs w:val="16"/>
          <w:i w:val="1"/>
          <w:iCs w:val="1"/>
          <w:color w:val="auto"/>
        </w:rPr>
        <w:t>ESpy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cells to emit light will allow researchers to track the location and distribution of the cells in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HyStem</w:t>
      </w:r>
      <w:r>
        <w:rPr>
          <w:rFonts w:ascii="Arial" w:cs="Arial" w:eastAsia="Arial" w:hAnsi="Arial"/>
          <w:sz w:val="26"/>
          <w:szCs w:val="26"/>
          <w:b w:val="1"/>
          <w:bCs w:val="1"/>
          <w:color w:val="auto"/>
          <w:vertAlign w:val="superscript"/>
        </w:rPr>
        <w:t>®</w:t>
      </w:r>
      <w:r>
        <w:rPr>
          <w:rFonts w:ascii="Arial" w:cs="Arial" w:eastAsia="Arial" w:hAnsi="Arial"/>
          <w:sz w:val="16"/>
          <w:szCs w:val="16"/>
          <w:b w:val="1"/>
          <w:bCs w:val="1"/>
          <w:i w:val="1"/>
          <w:iCs w:val="1"/>
          <w:color w:val="auto"/>
        </w:rPr>
        <w:t xml:space="preserve"> Hydrogels</w:t>
      </w:r>
    </w:p>
    <w:p>
      <w:pPr>
        <w:spacing w:after="0" w:line="115" w:lineRule="exact"/>
        <w:rPr>
          <w:sz w:val="20"/>
          <w:szCs w:val="20"/>
          <w:color w:val="auto"/>
        </w:rPr>
      </w:pPr>
    </w:p>
    <w:p>
      <w:pPr>
        <w:ind w:right="220" w:firstLine="567"/>
        <w:spacing w:after="0" w:line="253" w:lineRule="auto"/>
        <w:rPr>
          <w:sz w:val="20"/>
          <w:szCs w:val="20"/>
          <w:color w:val="auto"/>
        </w:rPr>
      </w:pPr>
      <w:r>
        <w:rPr>
          <w:rFonts w:ascii="Arial" w:cs="Arial" w:eastAsia="Arial" w:hAnsi="Arial"/>
          <w:sz w:val="16"/>
          <w:szCs w:val="16"/>
          <w:color w:val="auto"/>
        </w:rPr>
        <w:t>We offer hydrogel cell culture matrix products for our customers to grow ESI BIO stem cells and differentiated derivatives in a three-dimentional matrix that mimics the environment that is found in a living animal. The market is recognizing the need to culture cells in an environment that is similar to a living model, and since these hydrogel products can be provided at a research grade and at a clinical grade, they fit well within the ESI BIO product family of products that allow an easier transition from the research laboratory into the clinic.</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Products for Differentiating and Reprogramming Cells</w:t>
      </w:r>
    </w:p>
    <w:p>
      <w:pPr>
        <w:spacing w:after="0" w:line="218" w:lineRule="exact"/>
        <w:rPr>
          <w:sz w:val="20"/>
          <w:szCs w:val="20"/>
          <w:color w:val="auto"/>
        </w:rPr>
      </w:pPr>
    </w:p>
    <w:p>
      <w:pPr>
        <w:ind w:firstLine="567"/>
        <w:spacing w:after="0" w:line="253" w:lineRule="auto"/>
        <w:rPr>
          <w:sz w:val="20"/>
          <w:szCs w:val="20"/>
          <w:color w:val="auto"/>
        </w:rPr>
      </w:pPr>
      <w:r>
        <w:rPr>
          <w:rFonts w:ascii="Arial" w:cs="Arial" w:eastAsia="Arial" w:hAnsi="Arial"/>
          <w:sz w:val="16"/>
          <w:szCs w:val="16"/>
          <w:color w:val="auto"/>
        </w:rPr>
        <w:t>We plan to develop and launch a new line of research products to reprogram, differentiate, expand and characterize cells. These products will be designed to utilize technologies and materials that are more likely to be compliant with regulatory requirements for translation to the clinic, such as products that do not utilize animal-derived components or viruses. These products will continue our strategy of providing our customers cell based research products that are more likely to translate to therapeutic applications and that provide outlicensing opportunities for use of ESI BIO products in various therapeutic fields.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Licensed Stem Cell Technology and Stem Cell Product Development Agreements</w:t>
      </w:r>
    </w:p>
    <w:p>
      <w:pPr>
        <w:spacing w:after="0" w:line="222" w:lineRule="exact"/>
        <w:rPr>
          <w:sz w:val="20"/>
          <w:szCs w:val="20"/>
          <w:color w:val="auto"/>
        </w:rPr>
      </w:pPr>
    </w:p>
    <w:p>
      <w:pPr>
        <w:ind w:right="240" w:firstLine="567"/>
        <w:spacing w:after="0" w:line="267" w:lineRule="auto"/>
        <w:rPr>
          <w:sz w:val="20"/>
          <w:szCs w:val="20"/>
          <w:color w:val="auto"/>
        </w:rPr>
      </w:pPr>
      <w:r>
        <w:rPr>
          <w:rFonts w:ascii="Arial" w:cs="Arial" w:eastAsia="Arial" w:hAnsi="Arial"/>
          <w:sz w:val="16"/>
          <w:szCs w:val="16"/>
          <w:color w:val="auto"/>
        </w:rPr>
        <w:t>We have obtained the right to use stem cell technology that we believe has great potential in our product development efforts, and that may be useful to other companies that are engaged in the research and development of stem cell products for human therapeutic and diagnostic use.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Wisconsin Alumni Research Foundation—Research Products</w:t>
      </w:r>
    </w:p>
    <w:p>
      <w:pPr>
        <w:spacing w:after="0" w:line="218" w:lineRule="exact"/>
        <w:rPr>
          <w:sz w:val="20"/>
          <w:szCs w:val="20"/>
          <w:color w:val="auto"/>
        </w:rPr>
      </w:pPr>
    </w:p>
    <w:p>
      <w:pPr>
        <w:ind w:right="260" w:firstLine="567"/>
        <w:spacing w:after="0" w:line="296" w:lineRule="auto"/>
        <w:rPr>
          <w:sz w:val="20"/>
          <w:szCs w:val="20"/>
          <w:color w:val="auto"/>
        </w:rPr>
      </w:pPr>
      <w:r>
        <w:rPr>
          <w:rFonts w:ascii="Arial" w:cs="Arial" w:eastAsia="Arial" w:hAnsi="Arial"/>
          <w:sz w:val="14"/>
          <w:szCs w:val="14"/>
          <w:color w:val="auto"/>
        </w:rPr>
        <w:t>We have entered into a Commercial License and Option Agreement with Wisconsin Alumni Research Foundation (“WARF”). The WARF license permits us and our subsidiaries to use certain patented and patent pending technology belonging to WARF, as well as certain stem cell materials, for research and development purposes, and for the production and marketing of “research products” and “related products.” “Research products” are products used as research tools, including in drug discovery and development. “Related products” are products other than research products, diagnostic products, or therapeutic products. “Diagnostic products” are products or services used in the diagnosis, prognosis, screening or detection of disease in humans. “Therapeutic products” are products or services used in the treatment of disease in humans.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4" w:name="page35"/>
    <w:bookmarkEnd w:id="3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firstLine="567"/>
        <w:spacing w:after="0" w:line="257" w:lineRule="auto"/>
        <w:rPr>
          <w:sz w:val="20"/>
          <w:szCs w:val="20"/>
          <w:color w:val="auto"/>
        </w:rPr>
      </w:pPr>
      <w:r>
        <w:rPr>
          <w:rFonts w:ascii="Arial" w:cs="Arial" w:eastAsia="Arial" w:hAnsi="Arial"/>
          <w:sz w:val="16"/>
          <w:szCs w:val="16"/>
          <w:color w:val="auto"/>
        </w:rPr>
        <w:t>Under the WARF license agreement, we paid WARF a license fee of $225,000 in cash and $70,000 worth of our common shares. A maintenance fee of $25,000 will be due annually on March 2 of each year during the term of the WARF license beginning March 2, 2010. We also paid WARF $25,000 toward reimbursement of the costs associated with preparing, filing, and maintaining the licensed WARF patents.</w:t>
      </w:r>
    </w:p>
    <w:p>
      <w:pPr>
        <w:spacing w:after="0" w:line="189" w:lineRule="exact"/>
        <w:rPr>
          <w:sz w:val="20"/>
          <w:szCs w:val="20"/>
          <w:color w:val="auto"/>
        </w:rPr>
      </w:pPr>
    </w:p>
    <w:p>
      <w:pPr>
        <w:ind w:right="80" w:firstLine="567"/>
        <w:spacing w:after="0" w:line="257" w:lineRule="auto"/>
        <w:rPr>
          <w:sz w:val="20"/>
          <w:szCs w:val="20"/>
          <w:color w:val="auto"/>
        </w:rPr>
      </w:pPr>
      <w:r>
        <w:rPr>
          <w:rFonts w:ascii="Arial" w:cs="Arial" w:eastAsia="Arial" w:hAnsi="Arial"/>
          <w:sz w:val="16"/>
          <w:szCs w:val="16"/>
          <w:color w:val="auto"/>
        </w:rPr>
        <w:t>We will pay WARF royalties on the sale of products and services under the WARF license. The royalty will be 4% on the sale of research products and 2% on the sale of related products. The royalty is payable on sales by us or by any sublicensee. The royalty rate is subject to certain reductions if we also become obligated to pay royalties to a third party in order to sell a product.</w:t>
      </w:r>
    </w:p>
    <w:p>
      <w:pPr>
        <w:spacing w:after="0" w:line="189" w:lineRule="exact"/>
        <w:rPr>
          <w:sz w:val="20"/>
          <w:szCs w:val="20"/>
          <w:color w:val="auto"/>
        </w:rPr>
      </w:pPr>
    </w:p>
    <w:p>
      <w:pPr>
        <w:ind w:right="60" w:firstLine="567"/>
        <w:spacing w:after="0" w:line="282" w:lineRule="auto"/>
        <w:rPr>
          <w:sz w:val="20"/>
          <w:szCs w:val="20"/>
          <w:color w:val="auto"/>
        </w:rPr>
      </w:pPr>
      <w:r>
        <w:rPr>
          <w:rFonts w:ascii="Arial" w:cs="Arial" w:eastAsia="Arial" w:hAnsi="Arial"/>
          <w:sz w:val="15"/>
          <w:szCs w:val="15"/>
          <w:color w:val="auto"/>
        </w:rPr>
        <w:t>We have an option to negotiate with WARF to obtain a license to manufacture and market therapeutic products, excluding products in certain fields of use. The issuance of a license for therapeutic products would depend upon our submission and WARF’s acceptance of a product development plan, and our reaching agreement with WARF on the commercial terms of the license such as a license fee, royalties, patent reimbursement fees, and other contractual matters.</w:t>
      </w:r>
    </w:p>
    <w:p>
      <w:pPr>
        <w:spacing w:after="0" w:line="172" w:lineRule="exact"/>
        <w:rPr>
          <w:sz w:val="20"/>
          <w:szCs w:val="20"/>
          <w:color w:val="auto"/>
        </w:rPr>
      </w:pPr>
    </w:p>
    <w:p>
      <w:pPr>
        <w:ind w:right="40" w:firstLine="567"/>
        <w:spacing w:after="0" w:line="250" w:lineRule="auto"/>
        <w:rPr>
          <w:sz w:val="20"/>
          <w:szCs w:val="20"/>
          <w:color w:val="auto"/>
        </w:rPr>
      </w:pPr>
      <w:r>
        <w:rPr>
          <w:rFonts w:ascii="Arial" w:cs="Arial" w:eastAsia="Arial" w:hAnsi="Arial"/>
          <w:sz w:val="16"/>
          <w:szCs w:val="16"/>
          <w:color w:val="auto"/>
        </w:rPr>
        <w:t>The WARF license shall remain in effect until the expiration of the latest expiration date of the licensed patents. However, we may terminate the WARF license prior to the expiration date by giving WARF at least 90 days written notice, and WARF may terminate the WARF license if we fail to make any payment to WARF, fail to submit any required report to WARF, or commit any breach of any other covenant in the WARF license, and we fail to remedy the breach or default within 90 days after written notice from WARF. The WARF license may also be terminated by WARF if we commit any act of bankruptcy, become insolvent, are unable to pay our debts as they become due, file a petition under any bankruptcy or insolvency act, or have any such petition filed against us which is not dismissed within 60 days, or if we offer our creditors any component of the patents or materials covered by the WARF license.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Wisconsin Alumni Research Foundation License to Asterias—Therapeutic Products, Diagnostic and Research Products</w:t>
      </w:r>
    </w:p>
    <w:p>
      <w:pPr>
        <w:spacing w:after="0" w:line="218" w:lineRule="exact"/>
        <w:rPr>
          <w:sz w:val="20"/>
          <w:szCs w:val="20"/>
          <w:color w:val="auto"/>
        </w:rPr>
      </w:pPr>
    </w:p>
    <w:p>
      <w:pPr>
        <w:ind w:right="80" w:firstLine="567"/>
        <w:spacing w:after="0" w:line="253" w:lineRule="auto"/>
        <w:rPr>
          <w:sz w:val="20"/>
          <w:szCs w:val="20"/>
          <w:color w:val="auto"/>
        </w:rPr>
      </w:pPr>
      <w:r>
        <w:rPr>
          <w:rFonts w:ascii="Arial" w:cs="Arial" w:eastAsia="Arial" w:hAnsi="Arial"/>
          <w:sz w:val="16"/>
          <w:szCs w:val="16"/>
          <w:color w:val="auto"/>
        </w:rPr>
        <w:t>Asterias has entered into a Non-Exclusive License Agreement with WARF under which Asterias was granted a worldwide non-exclusive license under certain WARF patents and WARF-owned embryonic stem cell lines to develop and commercialize therapeutic, diagnostic and research products. The licensed patents include patents covering primate embryonic stem cells as compositions of matter, as well as methods for growth and differentiation of primate embryonic stem cells. The licensed stem cell lines include the H1, H7, H9, H13 and H14 human embryonic stem cell lines.</w:t>
      </w:r>
    </w:p>
    <w:p>
      <w:pPr>
        <w:spacing w:after="0" w:line="193" w:lineRule="exact"/>
        <w:rPr>
          <w:sz w:val="20"/>
          <w:szCs w:val="20"/>
          <w:color w:val="auto"/>
        </w:rPr>
      </w:pPr>
    </w:p>
    <w:p>
      <w:pPr>
        <w:ind w:right="20" w:firstLine="567"/>
        <w:spacing w:after="0" w:line="257" w:lineRule="auto"/>
        <w:rPr>
          <w:sz w:val="20"/>
          <w:szCs w:val="20"/>
          <w:color w:val="auto"/>
        </w:rPr>
      </w:pPr>
      <w:r>
        <w:rPr>
          <w:rFonts w:ascii="Arial" w:cs="Arial" w:eastAsia="Arial" w:hAnsi="Arial"/>
          <w:sz w:val="16"/>
          <w:szCs w:val="16"/>
          <w:color w:val="auto"/>
        </w:rPr>
        <w:t>In consideration of the rights licensed, Asterias has agreed to pay WARF an upfront license fee, payments upon the attainment of specified clinical development milestones, royalties on sales of commercialized products, and, subject to certain exclusions, a percentage of any payments that Asterias may receive from any sublicenses that it may grant to use the licensed patents or stem cell lines.</w:t>
      </w:r>
    </w:p>
    <w:p>
      <w:pPr>
        <w:spacing w:after="0" w:line="189" w:lineRule="exact"/>
        <w:rPr>
          <w:sz w:val="20"/>
          <w:szCs w:val="20"/>
          <w:color w:val="auto"/>
        </w:rPr>
      </w:pPr>
    </w:p>
    <w:p>
      <w:pPr>
        <w:ind w:right="40" w:firstLine="567"/>
        <w:spacing w:after="0" w:line="276" w:lineRule="auto"/>
        <w:rPr>
          <w:sz w:val="20"/>
          <w:szCs w:val="20"/>
          <w:color w:val="auto"/>
        </w:rPr>
      </w:pPr>
      <w:r>
        <w:rPr>
          <w:rFonts w:ascii="Arial" w:cs="Arial" w:eastAsia="Arial" w:hAnsi="Arial"/>
          <w:sz w:val="15"/>
          <w:szCs w:val="15"/>
          <w:color w:val="auto"/>
        </w:rPr>
        <w:t>The license agreement will terminate with respect to licensed patents upon the expiration of the last licensed patent to expire. Asterias may terminate the license agreement at any time by giving WARF prior written notice. WARF may terminate the license agreement if payments of earned royalties, once begun, cease for a specified period of time or if Asterias and any third parties collaborating or cooperating with Asterias in the development of products using the licensed patents or stem cell lines fail to spend a specified minimum amount on research and development of products relating to the licensed patents or stem cell lines for a specified period of time.</w:t>
      </w:r>
    </w:p>
    <w:p>
      <w:pPr>
        <w:spacing w:after="0" w:line="176" w:lineRule="exact"/>
        <w:rPr>
          <w:sz w:val="20"/>
          <w:szCs w:val="20"/>
          <w:color w:val="auto"/>
        </w:rPr>
      </w:pPr>
    </w:p>
    <w:p>
      <w:pPr>
        <w:ind w:right="100" w:firstLine="567"/>
        <w:spacing w:after="0" w:line="267" w:lineRule="auto"/>
        <w:rPr>
          <w:sz w:val="20"/>
          <w:szCs w:val="20"/>
          <w:color w:val="auto"/>
        </w:rPr>
      </w:pPr>
      <w:r>
        <w:rPr>
          <w:rFonts w:ascii="Arial" w:cs="Arial" w:eastAsia="Arial" w:hAnsi="Arial"/>
          <w:sz w:val="16"/>
          <w:szCs w:val="16"/>
          <w:color w:val="auto"/>
        </w:rPr>
        <w:t>WARF also has the right to terminate the license agreement if Asterias breaches the license agreement or becomes bankrupt or insolvent or if any of the licensed patents or stem cell lines are offered to creditors.</w:t>
      </w:r>
    </w:p>
    <w:p>
      <w:pPr>
        <w:spacing w:after="0" w:line="181" w:lineRule="exact"/>
        <w:rPr>
          <w:sz w:val="20"/>
          <w:szCs w:val="20"/>
          <w:color w:val="auto"/>
        </w:rPr>
      </w:pPr>
    </w:p>
    <w:p>
      <w:pPr>
        <w:ind w:right="140" w:firstLine="567"/>
        <w:spacing w:after="0" w:line="257" w:lineRule="auto"/>
        <w:rPr>
          <w:sz w:val="20"/>
          <w:szCs w:val="20"/>
          <w:color w:val="auto"/>
        </w:rPr>
      </w:pPr>
      <w:r>
        <w:rPr>
          <w:rFonts w:ascii="Arial" w:cs="Arial" w:eastAsia="Arial" w:hAnsi="Arial"/>
          <w:sz w:val="16"/>
          <w:szCs w:val="16"/>
          <w:color w:val="auto"/>
        </w:rPr>
        <w:t>Asterias will indemnify WARF and certain other designated affiliated entities from liability arising out of or relating to the death or injury of any person or damage to property due to the sale, marketing, use, or manufacture of products that are covered by the licensed patents, or licensed stem cells, or inventions or materials developed or derived from the licensed patents or stem cell lines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5" w:name="page36"/>
    <w:bookmarkEnd w:id="3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PureStem</w:t>
      </w:r>
      <w:r>
        <w:rPr>
          <w:rFonts w:ascii="Arial" w:cs="Arial" w:eastAsia="Arial" w:hAnsi="Arial"/>
          <w:sz w:val="25"/>
          <w:szCs w:val="25"/>
          <w:b w:val="1"/>
          <w:bCs w:val="1"/>
          <w:i w:val="1"/>
          <w:iCs w:val="1"/>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5"/>
          <w:szCs w:val="15"/>
          <w:b w:val="1"/>
          <w:bCs w:val="1"/>
          <w:i w:val="1"/>
          <w:iCs w:val="1"/>
          <w:color w:val="auto"/>
        </w:rPr>
        <w:t>Technology</w:t>
      </w:r>
    </w:p>
    <w:p>
      <w:pPr>
        <w:spacing w:after="0" w:line="119" w:lineRule="exact"/>
        <w:rPr>
          <w:sz w:val="20"/>
          <w:szCs w:val="20"/>
          <w:color w:val="auto"/>
        </w:rPr>
      </w:pPr>
    </w:p>
    <w:p>
      <w:pPr>
        <w:ind w:right="160" w:firstLine="567"/>
        <w:spacing w:after="0" w:line="280" w:lineRule="auto"/>
        <w:rPr>
          <w:sz w:val="20"/>
          <w:szCs w:val="20"/>
          <w:color w:val="auto"/>
        </w:rPr>
      </w:pPr>
      <w:r>
        <w:rPr>
          <w:rFonts w:ascii="Arial" w:cs="Arial" w:eastAsia="Arial" w:hAnsi="Arial"/>
          <w:sz w:val="15"/>
          <w:szCs w:val="15"/>
          <w:color w:val="auto"/>
        </w:rPr>
        <w:t xml:space="preserve">ReCyte Therapeutics has entered into a license agreement with ACT that was subsequently assigned to us under which we acquired exclusive world-wide rights to use ACT’s technology for methods to accelerate the isolation of novel cell strains from pluripotent stem cells. The licensed rights include pending patent applications, know-how, and existing cells and cell lines developed using the technology. We market </w:t>
      </w:r>
      <w:r>
        <w:rPr>
          <w:rFonts w:ascii="Arial" w:cs="Arial" w:eastAsia="Arial" w:hAnsi="Arial"/>
          <w:sz w:val="15"/>
          <w:szCs w:val="15"/>
          <w:i w:val="1"/>
          <w:iCs w:val="1"/>
          <w:color w:val="auto"/>
        </w:rPr>
        <w:t>PureStem</w:t>
      </w:r>
      <w:r>
        <w:rPr>
          <w:rFonts w:ascii="Arial" w:cs="Arial" w:eastAsia="Arial" w:hAnsi="Arial"/>
          <w:sz w:val="24"/>
          <w:szCs w:val="24"/>
          <w:color w:val="auto"/>
          <w:vertAlign w:val="superscript"/>
        </w:rPr>
        <w:t>®</w:t>
      </w:r>
      <w:r>
        <w:rPr>
          <w:rFonts w:ascii="Arial" w:cs="Arial" w:eastAsia="Arial" w:hAnsi="Arial"/>
          <w:sz w:val="15"/>
          <w:szCs w:val="15"/>
          <w:color w:val="auto"/>
        </w:rPr>
        <w:t xml:space="preserve"> cells which were developed using this technology</w:t>
      </w:r>
      <w:r>
        <w:rPr>
          <w:rFonts w:ascii="Arial" w:cs="Arial" w:eastAsia="Arial" w:hAnsi="Arial"/>
          <w:sz w:val="25"/>
          <w:szCs w:val="25"/>
          <w:color w:val="auto"/>
          <w:vertAlign w:val="superscript"/>
        </w:rPr>
        <w:t>.</w:t>
      </w:r>
    </w:p>
    <w:p>
      <w:pPr>
        <w:spacing w:after="0" w:line="42" w:lineRule="exact"/>
        <w:rPr>
          <w:sz w:val="20"/>
          <w:szCs w:val="20"/>
          <w:color w:val="auto"/>
        </w:rPr>
      </w:pPr>
    </w:p>
    <w:p>
      <w:pPr>
        <w:ind w:firstLine="567"/>
        <w:spacing w:after="0" w:line="250" w:lineRule="auto"/>
        <w:rPr>
          <w:sz w:val="20"/>
          <w:szCs w:val="20"/>
          <w:color w:val="auto"/>
        </w:rPr>
      </w:pPr>
      <w:r>
        <w:rPr>
          <w:rFonts w:ascii="Arial" w:cs="Arial" w:eastAsia="Arial" w:hAnsi="Arial"/>
          <w:sz w:val="16"/>
          <w:szCs w:val="16"/>
          <w:color w:val="auto"/>
        </w:rPr>
        <w:t xml:space="preserve">The licensed technology is designed to provide a large-scale and reproducible method of isolating clonally purified hEPC, many of which may be capable of extended propagation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Initial testing suggests that the technology may be used to isolate at least 200 distinct clones that contain many previously uncharacterized cell types derived from all germ layers that display diverse embryo- and site-specific homeobox gene expression. Despite the expression of many oncofetal genes, none of the hEPC tested led to tumor formation when transplanted into immunocompromised mice. The cells studied appear to have a finite replicative lifespan but have longer telomeres than most fetal- or adult-derived cells, which may facilitate their use in the manufacture of purified lineages for research and human therapy. Information concerning the technology was published in the May 2008 edition of the journal </w:t>
      </w:r>
      <w:r>
        <w:rPr>
          <w:rFonts w:ascii="Arial" w:cs="Arial" w:eastAsia="Arial" w:hAnsi="Arial"/>
          <w:sz w:val="16"/>
          <w:szCs w:val="16"/>
          <w:i w:val="1"/>
          <w:iCs w:val="1"/>
          <w:color w:val="auto"/>
        </w:rPr>
        <w:t>Regenerative Medicine</w:t>
      </w:r>
      <w:r>
        <w:rPr>
          <w:rFonts w:ascii="Arial" w:cs="Arial" w:eastAsia="Arial" w:hAnsi="Arial"/>
          <w:sz w:val="16"/>
          <w:szCs w:val="16"/>
          <w:color w:val="auto"/>
        </w:rPr>
        <w:t>.</w:t>
      </w:r>
    </w:p>
    <w:p>
      <w:pPr>
        <w:spacing w:after="0" w:line="197" w:lineRule="exact"/>
        <w:rPr>
          <w:sz w:val="20"/>
          <w:szCs w:val="20"/>
          <w:color w:val="auto"/>
        </w:rPr>
      </w:pPr>
    </w:p>
    <w:p>
      <w:pPr>
        <w:ind w:right="380" w:firstLine="567"/>
        <w:spacing w:after="0" w:line="267" w:lineRule="auto"/>
        <w:rPr>
          <w:sz w:val="20"/>
          <w:szCs w:val="20"/>
          <w:color w:val="auto"/>
        </w:rPr>
      </w:pPr>
      <w:r>
        <w:rPr>
          <w:rFonts w:ascii="Arial" w:cs="Arial" w:eastAsia="Arial" w:hAnsi="Arial"/>
          <w:sz w:val="16"/>
          <w:szCs w:val="16"/>
          <w:color w:val="auto"/>
        </w:rPr>
        <w:t>BioTime has the right to use the licensed technology and cell lines for research purpose and for the development of therapeutic and diagnostic products for human and veterinary use, and also has the right to grant sublicenses.</w:t>
      </w:r>
    </w:p>
    <w:p>
      <w:pPr>
        <w:spacing w:after="0" w:line="181" w:lineRule="exact"/>
        <w:rPr>
          <w:sz w:val="20"/>
          <w:szCs w:val="20"/>
          <w:color w:val="auto"/>
        </w:rPr>
      </w:pPr>
    </w:p>
    <w:p>
      <w:pPr>
        <w:ind w:right="700" w:firstLine="567"/>
        <w:spacing w:after="0" w:line="267" w:lineRule="auto"/>
        <w:rPr>
          <w:sz w:val="20"/>
          <w:szCs w:val="20"/>
          <w:color w:val="auto"/>
        </w:rPr>
      </w:pPr>
      <w:r>
        <w:rPr>
          <w:rFonts w:ascii="Arial" w:cs="Arial" w:eastAsia="Arial" w:hAnsi="Arial"/>
          <w:sz w:val="16"/>
          <w:szCs w:val="16"/>
          <w:color w:val="auto"/>
        </w:rPr>
        <w:t>We paid ACT a $250,000 license fee and will pay an 8% royalty on sales of products, services, and processes that utilize the licensed technology. Once a total of $1,000,000 of royalties has been paid, no further royalties will be due.</w:t>
      </w:r>
    </w:p>
    <w:p>
      <w:pPr>
        <w:spacing w:after="0" w:line="181" w:lineRule="exact"/>
        <w:rPr>
          <w:sz w:val="20"/>
          <w:szCs w:val="20"/>
          <w:color w:val="auto"/>
        </w:rPr>
      </w:pPr>
    </w:p>
    <w:p>
      <w:pPr>
        <w:ind w:right="60" w:firstLine="567"/>
        <w:spacing w:after="0" w:line="267" w:lineRule="auto"/>
        <w:rPr>
          <w:sz w:val="20"/>
          <w:szCs w:val="20"/>
          <w:color w:val="auto"/>
        </w:rPr>
      </w:pPr>
      <w:r>
        <w:rPr>
          <w:rFonts w:ascii="Arial" w:cs="Arial" w:eastAsia="Arial" w:hAnsi="Arial"/>
          <w:sz w:val="16"/>
          <w:szCs w:val="16"/>
          <w:color w:val="auto"/>
        </w:rPr>
        <w:t>ACT may reacquire royalty-free, worldwide licenses to use the technology for RPE cells, hemangioblasts, and myocardial cells, on an exclusive basis, and for hepatocytes, on a non-exclusive basis, for human therapeutic use. ACT will pay us $5,000 for each license that it elects to reacquire.</w:t>
      </w:r>
    </w:p>
    <w:p>
      <w:pPr>
        <w:spacing w:after="0" w:line="181" w:lineRule="exact"/>
        <w:rPr>
          <w:sz w:val="20"/>
          <w:szCs w:val="20"/>
          <w:color w:val="auto"/>
        </w:rPr>
      </w:pPr>
    </w:p>
    <w:p>
      <w:pPr>
        <w:ind w:right="220" w:firstLine="567"/>
        <w:spacing w:after="0" w:line="276" w:lineRule="auto"/>
        <w:rPr>
          <w:sz w:val="20"/>
          <w:szCs w:val="20"/>
          <w:color w:val="auto"/>
        </w:rPr>
      </w:pPr>
      <w:r>
        <w:rPr>
          <w:rFonts w:ascii="Arial" w:cs="Arial" w:eastAsia="Arial" w:hAnsi="Arial"/>
          <w:sz w:val="15"/>
          <w:szCs w:val="15"/>
          <w:color w:val="auto"/>
        </w:rPr>
        <w:t>The term of the licenses from ACT expire on the later of July 9, 2028 or the expiration of the last to expire of the licensed patents. The patent expiration dates cannot be presently determined with certainty because the patents are pending. ACT may terminate the license agreement if we commit a breach or default in the performance of our obligations under the agreement and fail to cure the breach or default within the permitted cure periods. BioTime has the right to terminate the license agreement at any time by giving ACT three months prior notice and paying all amounts due ACT through the effective date of the termination.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iPS Cell Technology</w:t>
      </w:r>
    </w:p>
    <w:p>
      <w:pPr>
        <w:spacing w:after="0" w:line="218" w:lineRule="exact"/>
        <w:rPr>
          <w:sz w:val="20"/>
          <w:szCs w:val="20"/>
          <w:color w:val="auto"/>
        </w:rPr>
      </w:pPr>
    </w:p>
    <w:p>
      <w:pPr>
        <w:ind w:right="420" w:firstLine="567"/>
        <w:spacing w:after="0" w:line="257" w:lineRule="auto"/>
        <w:rPr>
          <w:sz w:val="20"/>
          <w:szCs w:val="20"/>
          <w:color w:val="auto"/>
        </w:rPr>
      </w:pPr>
      <w:r>
        <w:rPr>
          <w:rFonts w:ascii="Arial" w:cs="Arial" w:eastAsia="Arial" w:hAnsi="Arial"/>
          <w:sz w:val="16"/>
          <w:szCs w:val="16"/>
          <w:color w:val="auto"/>
        </w:rPr>
        <w:t>ReCyte Therapeutics has entered into a license agreement and a sublicense agreement with ACT under which it acquired worldwide rights to use an array of ACT technology and technology licensed by ACT from affiliates of Kirin Pharma Company, Ltd. (“Kirin”). The ACT license and Kirin sublicense permit the commercialization of products in human therapeutic and diagnostic product markets.</w:t>
      </w:r>
    </w:p>
    <w:p>
      <w:pPr>
        <w:spacing w:after="0" w:line="189" w:lineRule="exact"/>
        <w:rPr>
          <w:sz w:val="20"/>
          <w:szCs w:val="20"/>
          <w:color w:val="auto"/>
        </w:rPr>
      </w:pPr>
    </w:p>
    <w:p>
      <w:pPr>
        <w:ind w:right="320" w:firstLine="567"/>
        <w:spacing w:after="0" w:line="282" w:lineRule="auto"/>
        <w:rPr>
          <w:sz w:val="20"/>
          <w:szCs w:val="20"/>
          <w:color w:val="auto"/>
        </w:rPr>
      </w:pPr>
      <w:r>
        <w:rPr>
          <w:rFonts w:ascii="Arial" w:cs="Arial" w:eastAsia="Arial" w:hAnsi="Arial"/>
          <w:sz w:val="15"/>
          <w:szCs w:val="15"/>
          <w:color w:val="auto"/>
        </w:rPr>
        <w:t>The licensed technology covers iPS methods to transform cells of the human body, such as skin cells, into an embryonic state in which the cells will be pluripotent. Because iPS technology does not involve human embryos or egg cells, and classical cloning techniques are not employed, the use of iPS technology may eliminate some ethical concerns that have been raised in connection with the procurement and use of hES cells in scientific research and product development.</w:t>
      </w:r>
    </w:p>
    <w:p>
      <w:pPr>
        <w:spacing w:after="0" w:line="172" w:lineRule="exact"/>
        <w:rPr>
          <w:sz w:val="20"/>
          <w:szCs w:val="20"/>
          <w:color w:val="auto"/>
        </w:rPr>
      </w:pPr>
    </w:p>
    <w:p>
      <w:pPr>
        <w:ind w:right="260" w:firstLine="567"/>
        <w:spacing w:after="0" w:line="311" w:lineRule="auto"/>
        <w:rPr>
          <w:sz w:val="20"/>
          <w:szCs w:val="20"/>
          <w:color w:val="auto"/>
        </w:rPr>
      </w:pPr>
      <w:r>
        <w:rPr>
          <w:rFonts w:ascii="Arial" w:cs="Arial" w:eastAsia="Arial" w:hAnsi="Arial"/>
          <w:sz w:val="14"/>
          <w:szCs w:val="14"/>
          <w:color w:val="auto"/>
        </w:rPr>
        <w:t>The portfolio of licensed patents and patent applications covers methods to produce iPS cells that do not carry viral vectors or added genes. Other iPS cell technology currently being practiced by other researchers utilizes viruses and genes that are likely incompatible with human therapeutic uses. We believe that technologies that facilitate the reprogramming of human cells to iPS cells without using viruses could be advantageous in the development of human stem cell products for use in medicine.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6" w:name="page37"/>
    <w:bookmarkEnd w:id="3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Kirin sublicense covers patent application for methods for cloning mammals using reprogrammed donor chromatin or donor cells and methods for altering cell fate.</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These patent applications are related to technology to alter the state of a cell by exposing the cell’s DNA to the cytoplasm of another reprogramming cell with different properties.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ReCyte Therapeutics may use this licensed technology for all human therapeutic and diagnostic applications.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second series of patent applications licensed non-exclusively from ACT includes technologies for:</w:t>
      </w:r>
    </w:p>
    <w:p>
      <w:pPr>
        <w:spacing w:after="0" w:line="218" w:lineRule="exact"/>
        <w:rPr>
          <w:sz w:val="20"/>
          <w:szCs w:val="20"/>
          <w:color w:val="auto"/>
        </w:rPr>
      </w:pPr>
    </w:p>
    <w:p>
      <w:pPr>
        <w:ind w:left="840" w:hanging="278"/>
        <w:spacing w:after="0"/>
        <w:tabs>
          <w:tab w:leader="none" w:pos="840" w:val="left"/>
        </w:tabs>
        <w:numPr>
          <w:ilvl w:val="0"/>
          <w:numId w:val="13"/>
        </w:numPr>
        <w:rPr>
          <w:rFonts w:ascii="Arial" w:cs="Arial" w:eastAsia="Arial" w:hAnsi="Arial"/>
          <w:sz w:val="15"/>
          <w:szCs w:val="15"/>
          <w:color w:val="auto"/>
        </w:rPr>
      </w:pPr>
      <w:r>
        <w:rPr>
          <w:rFonts w:ascii="Arial" w:cs="Arial" w:eastAsia="Arial" w:hAnsi="Arial"/>
          <w:sz w:val="14"/>
          <w:szCs w:val="14"/>
          <w:color w:val="auto"/>
        </w:rPr>
        <w:t>the use of reprogramming cells that over-express RNAs for the genes</w:t>
      </w:r>
      <w:r>
        <w:rPr>
          <w:rFonts w:ascii="Arial" w:cs="Arial" w:eastAsia="Arial" w:hAnsi="Arial"/>
          <w:sz w:val="14"/>
          <w:szCs w:val="14"/>
          <w:i w:val="1"/>
          <w:iCs w:val="1"/>
          <w:color w:val="auto"/>
        </w:rPr>
        <w:t>OCT4</w:t>
      </w:r>
      <w:r>
        <w:rPr>
          <w:rFonts w:ascii="Arial" w:cs="Arial" w:eastAsia="Arial" w:hAnsi="Arial"/>
          <w:sz w:val="14"/>
          <w:szCs w:val="14"/>
          <w:color w:val="auto"/>
        </w:rPr>
        <w:t xml:space="preserve"> , </w:t>
      </w:r>
      <w:r>
        <w:rPr>
          <w:rFonts w:ascii="Arial" w:cs="Arial" w:eastAsia="Arial" w:hAnsi="Arial"/>
          <w:sz w:val="14"/>
          <w:szCs w:val="14"/>
          <w:i w:val="1"/>
          <w:iCs w:val="1"/>
          <w:color w:val="auto"/>
        </w:rPr>
        <w:t>SOX2</w:t>
      </w:r>
      <w:r>
        <w:rPr>
          <w:rFonts w:ascii="Arial" w:cs="Arial" w:eastAsia="Arial" w:hAnsi="Arial"/>
          <w:sz w:val="14"/>
          <w:szCs w:val="14"/>
          <w:color w:val="auto"/>
        </w:rPr>
        <w:t xml:space="preserve"> , </w:t>
      </w:r>
      <w:r>
        <w:rPr>
          <w:rFonts w:ascii="Arial" w:cs="Arial" w:eastAsia="Arial" w:hAnsi="Arial"/>
          <w:sz w:val="14"/>
          <w:szCs w:val="14"/>
          <w:i w:val="1"/>
          <w:iCs w:val="1"/>
          <w:color w:val="auto"/>
        </w:rPr>
        <w:t>NANOG</w:t>
      </w:r>
      <w:r>
        <w:rPr>
          <w:rFonts w:ascii="Arial" w:cs="Arial" w:eastAsia="Arial" w:hAnsi="Arial"/>
          <w:sz w:val="14"/>
          <w:szCs w:val="14"/>
          <w:color w:val="auto"/>
        </w:rPr>
        <w:t xml:space="preserve"> , and </w:t>
      </w:r>
      <w:r>
        <w:rPr>
          <w:rFonts w:ascii="Arial" w:cs="Arial" w:eastAsia="Arial" w:hAnsi="Arial"/>
          <w:sz w:val="14"/>
          <w:szCs w:val="14"/>
          <w:i w:val="1"/>
          <w:iCs w:val="1"/>
          <w:color w:val="auto"/>
        </w:rPr>
        <w:t>MYC</w:t>
      </w:r>
      <w:r>
        <w:rPr>
          <w:rFonts w:ascii="Arial" w:cs="Arial" w:eastAsia="Arial" w:hAnsi="Arial"/>
          <w:sz w:val="14"/>
          <w:szCs w:val="14"/>
          <w:color w:val="auto"/>
        </w:rPr>
        <w:t xml:space="preserve"> , and other factors known to be useful in iPS technology;</w:t>
      </w:r>
    </w:p>
    <w:p>
      <w:pPr>
        <w:spacing w:after="0" w:line="241" w:lineRule="exact"/>
        <w:rPr>
          <w:rFonts w:ascii="Arial" w:cs="Arial" w:eastAsia="Arial" w:hAnsi="Arial"/>
          <w:sz w:val="15"/>
          <w:szCs w:val="15"/>
          <w:color w:val="auto"/>
        </w:rPr>
      </w:pPr>
    </w:p>
    <w:p>
      <w:pPr>
        <w:ind w:left="840" w:hanging="278"/>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6"/>
          <w:szCs w:val="16"/>
          <w:color w:val="auto"/>
        </w:rPr>
        <w:t>methods of resetting cell lifespan by extending the length of telomeres;</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6"/>
          <w:szCs w:val="16"/>
          <w:color w:val="auto"/>
        </w:rPr>
        <w:t>the use of the cytoplasm of undifferentiated cells to reprogram human cells;</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6"/>
          <w:szCs w:val="16"/>
          <w:color w:val="auto"/>
        </w:rPr>
        <w:t>the use of a cell bank of hemizygous O-cells;</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6"/>
          <w:szCs w:val="16"/>
          <w:color w:val="auto"/>
        </w:rPr>
        <w:t>methods of screening for differentiation agents; and</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13"/>
        </w:numPr>
        <w:rPr>
          <w:rFonts w:ascii="Arial" w:cs="Arial" w:eastAsia="Arial" w:hAnsi="Arial"/>
          <w:sz w:val="17"/>
          <w:szCs w:val="17"/>
          <w:color w:val="auto"/>
        </w:rPr>
      </w:pPr>
      <w:r>
        <w:rPr>
          <w:rFonts w:ascii="Arial" w:cs="Arial" w:eastAsia="Arial" w:hAnsi="Arial"/>
          <w:sz w:val="16"/>
          <w:szCs w:val="16"/>
          <w:color w:val="auto"/>
        </w:rPr>
        <w:t>the use of modified stem cell-derived endothelial cells to disrupt tumor angiogenesis.</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ReCyte Therapeutics may use this technology in commercializing the patents licensed under the Kirin sublicense.</w:t>
      </w:r>
    </w:p>
    <w:p>
      <w:pPr>
        <w:spacing w:after="0" w:line="218" w:lineRule="exact"/>
        <w:rPr>
          <w:sz w:val="20"/>
          <w:szCs w:val="20"/>
          <w:color w:val="auto"/>
        </w:rPr>
      </w:pPr>
    </w:p>
    <w:p>
      <w:pPr>
        <w:ind w:firstLine="567"/>
        <w:spacing w:after="0" w:line="253" w:lineRule="auto"/>
        <w:rPr>
          <w:sz w:val="20"/>
          <w:szCs w:val="20"/>
          <w:color w:val="auto"/>
        </w:rPr>
      </w:pPr>
      <w:r>
        <w:rPr>
          <w:rFonts w:ascii="Arial" w:cs="Arial" w:eastAsia="Arial" w:hAnsi="Arial"/>
          <w:sz w:val="16"/>
          <w:szCs w:val="16"/>
          <w:color w:val="auto"/>
        </w:rPr>
        <w:t xml:space="preserve">The ACT license also includes patent applications for other uses. One licensed patent application covers a method of differentiation of morula or inner cell mass cells and a method of making lineage-defective embryonic stem cells. That technology can be used in producing hEPCs without the utilization of hES cell lines. Another licensed patent application covers novel culture systems for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development that contains technology for utilizing avian cells in the production of stem cell products free of viruses and bacteria.</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ACT iPS Cell License Provisions</w:t>
      </w:r>
    </w:p>
    <w:p>
      <w:pPr>
        <w:spacing w:after="0" w:line="218" w:lineRule="exact"/>
        <w:rPr>
          <w:sz w:val="20"/>
          <w:szCs w:val="20"/>
          <w:color w:val="auto"/>
        </w:rPr>
      </w:pPr>
    </w:p>
    <w:p>
      <w:pPr>
        <w:ind w:right="320" w:firstLine="567"/>
        <w:spacing w:after="0" w:line="311" w:lineRule="auto"/>
        <w:rPr>
          <w:sz w:val="20"/>
          <w:szCs w:val="20"/>
          <w:color w:val="auto"/>
        </w:rPr>
      </w:pPr>
      <w:r>
        <w:rPr>
          <w:rFonts w:ascii="Arial" w:cs="Arial" w:eastAsia="Arial" w:hAnsi="Arial"/>
          <w:sz w:val="14"/>
          <w:szCs w:val="14"/>
          <w:color w:val="auto"/>
        </w:rPr>
        <w:t>Under the ACT license for iPS cell technology, we paid ACT a $200,000 license fee and ReCyte Therapeutics will pay a 5% royalty on sales of products, services, and processes that utilize the licensed technology, and a 20% royalty on any fees or other payments, other than equity investments, research and development costs, and loans and royalties, received by us from sublicensing the ACT technology to third parties. Once a total of $600,000 of royalties has been paid, no further royalties will be due.</w:t>
      </w:r>
    </w:p>
    <w:p>
      <w:pPr>
        <w:spacing w:after="0" w:line="154" w:lineRule="exact"/>
        <w:rPr>
          <w:sz w:val="20"/>
          <w:szCs w:val="20"/>
          <w:color w:val="auto"/>
        </w:rPr>
      </w:pPr>
    </w:p>
    <w:p>
      <w:pPr>
        <w:ind w:firstLine="567"/>
        <w:spacing w:after="0" w:line="269" w:lineRule="auto"/>
        <w:rPr>
          <w:sz w:val="20"/>
          <w:szCs w:val="20"/>
          <w:color w:val="auto"/>
        </w:rPr>
      </w:pPr>
      <w:r>
        <w:rPr>
          <w:rFonts w:ascii="Arial" w:cs="Arial" w:eastAsia="Arial" w:hAnsi="Arial"/>
          <w:sz w:val="15"/>
          <w:szCs w:val="15"/>
          <w:color w:val="auto"/>
        </w:rPr>
        <w:t>We may use the licensed technology and cell lines for research purposes and for the development of therapeutic and diagnostic products for human and veterinary use, excluding (a) human and non-human animal cells for commercial research use, including small-molecule and other drug testing and basic research; and (b) human cells for therapeutic and diagnostic use in the treatment of human diabetes, liver diseases, retinal diseases and retinal degenerative diseases, other than applications involving the use of cells in the treatment of tumors where the primary use of the cells is the destruction or reduction of tumors and does not involve regeneration of tissue or organ function. The exclusions from the scope of permitted uses under the ACT license will lapse if ACT’s license with a third party terminates or if the third party no longer has an exclusive license from ACT for those uses. Therefore, our cell lines marketed for research use are produced from hES cell lines (and not from iPS cells). In the therapeutic arena, ReCyte Therapeutics’ use of the licensed iPS cell technology will be for applications such as its blood and vascular products.</w:t>
      </w:r>
    </w:p>
    <w:p>
      <w:pPr>
        <w:spacing w:after="0" w:line="183" w:lineRule="exact"/>
        <w:rPr>
          <w:sz w:val="20"/>
          <w:szCs w:val="20"/>
          <w:color w:val="auto"/>
        </w:rPr>
      </w:pPr>
    </w:p>
    <w:p>
      <w:pPr>
        <w:jc w:val="both"/>
        <w:ind w:right="460" w:firstLine="567"/>
        <w:spacing w:after="0" w:line="257" w:lineRule="auto"/>
        <w:rPr>
          <w:sz w:val="20"/>
          <w:szCs w:val="20"/>
          <w:color w:val="auto"/>
        </w:rPr>
      </w:pPr>
      <w:r>
        <w:rPr>
          <w:rFonts w:ascii="Arial" w:cs="Arial" w:eastAsia="Arial" w:hAnsi="Arial"/>
          <w:sz w:val="16"/>
          <w:szCs w:val="16"/>
          <w:color w:val="auto"/>
        </w:rPr>
        <w:t>The license to use some of the ACT iPS technology is non-exclusive, and is limited to use in conjunction with the technology sublicensed from ACT under the Kirin sublicense, and may not be sublicensed to third parties other than subsidiaries and other affiliated entities. ReCyte Therapeutics has the right to grant sublicenses to the other licensed ACT technology.</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7" w:name="page38"/>
    <w:bookmarkEnd w:id="3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jc w:val="both"/>
        <w:ind w:right="160" w:firstLine="567"/>
        <w:spacing w:after="0" w:line="257" w:lineRule="auto"/>
        <w:rPr>
          <w:sz w:val="20"/>
          <w:szCs w:val="20"/>
          <w:color w:val="auto"/>
        </w:rPr>
      </w:pPr>
      <w:r>
        <w:rPr>
          <w:rFonts w:ascii="Arial" w:cs="Arial" w:eastAsia="Arial" w:hAnsi="Arial"/>
          <w:sz w:val="16"/>
          <w:szCs w:val="16"/>
          <w:color w:val="auto"/>
        </w:rPr>
        <w:t>ReCyte Therapeutics will have the right to prosecute the patent applications and to enforce all patents, at our own expense, except that ACT is responsible for prosecuting patent applications for the non-exclusively licensed technology at its own expense. We will have the right to patent any new inventions arising from the use of the licensed patents and technology.</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ReCyte Therapeutics will indemnify ACT for any products liability claims arising from products made by us and our sublicensees.</w:t>
      </w:r>
    </w:p>
    <w:p>
      <w:pPr>
        <w:spacing w:after="0" w:line="218" w:lineRule="exact"/>
        <w:rPr>
          <w:sz w:val="20"/>
          <w:szCs w:val="20"/>
          <w:color w:val="auto"/>
        </w:rPr>
      </w:pPr>
    </w:p>
    <w:p>
      <w:pPr>
        <w:ind w:right="20" w:firstLine="567"/>
        <w:spacing w:after="0" w:line="251" w:lineRule="auto"/>
        <w:rPr>
          <w:sz w:val="20"/>
          <w:szCs w:val="20"/>
          <w:color w:val="auto"/>
        </w:rPr>
      </w:pPr>
      <w:r>
        <w:rPr>
          <w:rFonts w:ascii="Arial" w:cs="Arial" w:eastAsia="Arial" w:hAnsi="Arial"/>
          <w:sz w:val="16"/>
          <w:szCs w:val="16"/>
          <w:color w:val="auto"/>
        </w:rPr>
        <w:t>The term of the licenses from ACT expire on the later of August 14, 2028 or the expiration of the last to expire of the licensed patents. The patent expiration dates cannot be presently determined with certainty because certain patents are pending, but the latest expiration date of the licensed patents that have issued is 2025. ACT may terminate the license agreement if ReCyte Therapeutics commits a breach or default in the performance of its obligations under the agreement and fail to cure the breach or default within the permitted cure periods. ReCyte Therapeutics has the right to terminate the license agreement at any time by giving ACT three months prior notice and paying all amounts due ACT through the effective date of the termination.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Kirin Sublicense Provisions</w:t>
      </w:r>
    </w:p>
    <w:p>
      <w:pPr>
        <w:spacing w:after="0" w:line="218" w:lineRule="exact"/>
        <w:rPr>
          <w:sz w:val="20"/>
          <w:szCs w:val="20"/>
          <w:color w:val="auto"/>
        </w:rPr>
      </w:pPr>
    </w:p>
    <w:p>
      <w:pPr>
        <w:ind w:right="220" w:firstLine="567"/>
        <w:spacing w:after="0" w:line="296" w:lineRule="auto"/>
        <w:rPr>
          <w:sz w:val="20"/>
          <w:szCs w:val="20"/>
          <w:color w:val="auto"/>
        </w:rPr>
      </w:pPr>
      <w:r>
        <w:rPr>
          <w:rFonts w:ascii="Arial" w:cs="Arial" w:eastAsia="Arial" w:hAnsi="Arial"/>
          <w:sz w:val="14"/>
          <w:szCs w:val="14"/>
          <w:color w:val="auto"/>
        </w:rPr>
        <w:t>The technology licensed from Kirin relates to methods of reprogramming human and animal cells. Under the Kirin sublicense, we paid ACT a $50,000 license fee and ReCyte Therapeutics will pay a 3.5% royalty on sales of products, services, and processes that utilize the licensed ACT technology, and 20% of any fees or other payments, other than equity investments, research and development costs, and loans and royalties that it may receive from sublicensing the Kirin technology to third parties. ReCyte Therapeutics will also pay to ACT or to an affiliate of Kirin, annually, the amount, if any, by which royalties payable by ACT under its license agreement with Kirin are less than the $50,000 annual minimum royalty due. Those payments will be credited against other royalties payable to ACT under the Kirin sublicense.</w:t>
      </w:r>
    </w:p>
    <w:p>
      <w:pPr>
        <w:spacing w:after="0" w:line="165"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ReCyte Therapeutics may use the sublicensed technology for the development of therapeutic and diagnostic human cell products, including both products made, in whole or in part, of human cells, and products made from human cells. ReCyte Therapeutics has the right to grant further sublicenses.</w:t>
      </w:r>
    </w:p>
    <w:p>
      <w:pPr>
        <w:spacing w:after="0" w:line="181" w:lineRule="exact"/>
        <w:rPr>
          <w:sz w:val="20"/>
          <w:szCs w:val="20"/>
          <w:color w:val="auto"/>
        </w:rPr>
      </w:pPr>
    </w:p>
    <w:p>
      <w:pPr>
        <w:ind w:right="40" w:firstLine="567"/>
        <w:spacing w:after="0" w:line="296" w:lineRule="auto"/>
        <w:rPr>
          <w:sz w:val="20"/>
          <w:szCs w:val="20"/>
          <w:color w:val="auto"/>
        </w:rPr>
      </w:pPr>
      <w:r>
        <w:rPr>
          <w:rFonts w:ascii="Arial" w:cs="Arial" w:eastAsia="Arial" w:hAnsi="Arial"/>
          <w:sz w:val="14"/>
          <w:szCs w:val="14"/>
          <w:color w:val="auto"/>
        </w:rPr>
        <w:t>ReCyte Therapeutics will indemnify ACT for any products liability claims arising from products made by it and its sublicensees. The licenses will expire upon the expiration of the last to expire of the licensed patents, or May 9, 2016 if no patents are issued. The patent expiration dates cannot be presently determined with certainty because certain patents are pending, but the latest expiration date of the licensed patents that have issued is 2025. ACT may terminate the license agreement if ReCyte Therapeutics commits a breach or default in the performance of its obligations under the agreement and fail to cure the breach or default within the permitted cure periods. ReCyte Therapeutics has the right to terminate the license agreement at any time by giving ACT three months prior notice and paying all amounts due ACT through the effective date of the termination.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HyStem</w:t>
      </w:r>
      <w:r>
        <w:rPr>
          <w:rFonts w:ascii="Arial" w:cs="Arial" w:eastAsia="Arial" w:hAnsi="Arial"/>
          <w:sz w:val="26"/>
          <w:szCs w:val="26"/>
          <w:b w:val="1"/>
          <w:bCs w:val="1"/>
          <w:color w:val="auto"/>
          <w:vertAlign w:val="superscript"/>
        </w:rPr>
        <w:t>®</w:t>
      </w:r>
      <w:r>
        <w:rPr>
          <w:rFonts w:ascii="Arial" w:cs="Arial" w:eastAsia="Arial" w:hAnsi="Arial"/>
          <w:sz w:val="16"/>
          <w:szCs w:val="16"/>
          <w:b w:val="1"/>
          <w:bCs w:val="1"/>
          <w:i w:val="1"/>
          <w:iCs w:val="1"/>
          <w:color w:val="auto"/>
        </w:rPr>
        <w:t xml:space="preserve"> Hydrogel Technology</w:t>
      </w:r>
    </w:p>
    <w:p>
      <w:pPr>
        <w:spacing w:after="0" w:line="115" w:lineRule="exact"/>
        <w:rPr>
          <w:sz w:val="20"/>
          <w:szCs w:val="20"/>
          <w:color w:val="auto"/>
        </w:rPr>
      </w:pPr>
    </w:p>
    <w:p>
      <w:pPr>
        <w:ind w:right="20" w:firstLine="567"/>
        <w:spacing w:after="0" w:line="255" w:lineRule="auto"/>
        <w:rPr>
          <w:sz w:val="20"/>
          <w:szCs w:val="20"/>
          <w:color w:val="auto"/>
        </w:rPr>
      </w:pPr>
      <w:r>
        <w:rPr>
          <w:rFonts w:ascii="Arial" w:cs="Arial" w:eastAsia="Arial" w:hAnsi="Arial"/>
          <w:sz w:val="14"/>
          <w:szCs w:val="14"/>
          <w:color w:val="auto"/>
        </w:rPr>
        <w:t xml:space="preserve">Through our acquisition of Glycosan, we acquired a license from the University of Utah to use certain patents in the production and sale of hydrogel products. During August 2012, we entered into an amendment to our License Agreement with the University of Utah that expanded the field of use for which we are licensed to produce and market products covered by the core patents underlying our </w:t>
      </w:r>
      <w:r>
        <w:rPr>
          <w:rFonts w:ascii="Arial" w:cs="Arial" w:eastAsia="Arial" w:hAnsi="Arial"/>
          <w:sz w:val="14"/>
          <w:szCs w:val="14"/>
          <w:i w:val="1"/>
          <w:iCs w:val="1"/>
          <w:color w:val="auto"/>
        </w:rPr>
        <w:t>HyStem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technology. We now have a worldwide license for all uses, with the exception of veterinary medicine and animal health. Our licensed field of use includes, but is not limited to, all human pharmaceutical and medical device applications, all tissue engineering and regenerative medicine uses, and all research applications. Previously, our license in the United States was not exclusive and the fields of use of the technology permitted by the license were not as broad.</w:t>
      </w:r>
    </w:p>
    <w:p>
      <w:pPr>
        <w:spacing w:after="0" w:line="193" w:lineRule="exact"/>
        <w:rPr>
          <w:sz w:val="20"/>
          <w:szCs w:val="20"/>
          <w:color w:val="auto"/>
        </w:rPr>
      </w:pPr>
    </w:p>
    <w:p>
      <w:pPr>
        <w:ind w:right="180" w:firstLine="567"/>
        <w:spacing w:after="0" w:line="253" w:lineRule="auto"/>
        <w:rPr>
          <w:sz w:val="20"/>
          <w:szCs w:val="20"/>
          <w:color w:val="auto"/>
        </w:rPr>
      </w:pPr>
      <w:r>
        <w:rPr>
          <w:rFonts w:ascii="Arial" w:cs="Arial" w:eastAsia="Arial" w:hAnsi="Arial"/>
          <w:sz w:val="16"/>
          <w:szCs w:val="16"/>
          <w:color w:val="auto"/>
        </w:rPr>
        <w:t>Under the License Agreement, we will pay a 3% royalty on sales of products and services performed that utilize the licensed patents. Commencing in 2014, we will be obligated to pay minimum royalties to the extent that actual royalties on products sales and services utilizing the patents are less than the minimum royalty amount. The minimum royalty amounts are $22,500 in 2014, and $30,000 each year thereafter during the term of the License Agreement. We will also pay the University of Utah 30% of any sublicense fees or royalties received under any sublicense of the licensed patents.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8" w:name="page39"/>
    <w:bookmarkEnd w:id="3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100" w:firstLine="567"/>
        <w:spacing w:after="0" w:line="301" w:lineRule="auto"/>
        <w:rPr>
          <w:sz w:val="20"/>
          <w:szCs w:val="20"/>
          <w:color w:val="auto"/>
        </w:rPr>
      </w:pPr>
      <w:r>
        <w:rPr>
          <w:rFonts w:ascii="Arial" w:cs="Arial" w:eastAsia="Arial" w:hAnsi="Arial"/>
          <w:sz w:val="15"/>
          <w:szCs w:val="15"/>
          <w:color w:val="auto"/>
        </w:rPr>
        <w:t>We will also pay a $225,000 milestone fee within six months after the first sale of a “tissue engineered product” that utilizes a licensed patent. A tissue engineered product is defined as living human tissues or cells on a polymer platform, created at a place other than the point-of-care facility, for transplantation into a human patient.</w:t>
      </w:r>
    </w:p>
    <w:p>
      <w:pPr>
        <w:spacing w:after="0" w:line="158" w:lineRule="exact"/>
        <w:rPr>
          <w:sz w:val="20"/>
          <w:szCs w:val="20"/>
          <w:color w:val="auto"/>
        </w:rPr>
      </w:pPr>
    </w:p>
    <w:p>
      <w:pPr>
        <w:ind w:right="240" w:firstLine="567"/>
        <w:spacing w:after="0" w:line="301" w:lineRule="auto"/>
        <w:rPr>
          <w:sz w:val="20"/>
          <w:szCs w:val="20"/>
          <w:color w:val="auto"/>
        </w:rPr>
      </w:pPr>
      <w:r>
        <w:rPr>
          <w:rFonts w:ascii="Arial" w:cs="Arial" w:eastAsia="Arial" w:hAnsi="Arial"/>
          <w:sz w:val="15"/>
          <w:szCs w:val="15"/>
          <w:color w:val="auto"/>
        </w:rPr>
        <w:t>We agreed to pay and an additional license fee for the additional rights licensed to us during August 2012, and the costs of filing, prosecuting, enforcing and maintaining the patents exclusively licensed to us, and a portion of those costs for patents that have been licensed to a third party for a different field of use.</w:t>
      </w:r>
    </w:p>
    <w:p>
      <w:pPr>
        <w:spacing w:after="0" w:line="158"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4"/>
          <w:szCs w:val="14"/>
          <w:color w:val="auto"/>
        </w:rPr>
        <w:t>Commencing in five years, we may, under certain circumstances, be obligated to sublicense to one or more third parties, on commercially reasonable terms to be negotiated between us and each prospective sublicensee, or re-grant to the University, rights to use the licensed patents for products and services outside the general industry in which we or any of our affiliates or sublicensees is then developing or commercializing, or has plans to develop or commercialize, a product using the licensed technology.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Telomerase Sublicense</w:t>
      </w:r>
    </w:p>
    <w:p>
      <w:pPr>
        <w:spacing w:after="0" w:line="218" w:lineRule="exact"/>
        <w:rPr>
          <w:sz w:val="20"/>
          <w:szCs w:val="20"/>
          <w:color w:val="auto"/>
        </w:rPr>
      </w:pPr>
    </w:p>
    <w:p>
      <w:pPr>
        <w:ind w:right="20" w:firstLine="567"/>
        <w:spacing w:after="0" w:line="267" w:lineRule="auto"/>
        <w:rPr>
          <w:sz w:val="20"/>
          <w:szCs w:val="20"/>
          <w:color w:val="auto"/>
        </w:rPr>
      </w:pPr>
      <w:r>
        <w:rPr>
          <w:rFonts w:ascii="Arial" w:cs="Arial" w:eastAsia="Arial" w:hAnsi="Arial"/>
          <w:sz w:val="15"/>
          <w:szCs w:val="15"/>
          <w:color w:val="auto"/>
        </w:rPr>
        <w:t>Asterias has received from Geron an exclusive sublicense under certain patents owned by the University of Colorado’s University License Equity Holdings, Inc. relating to telomerase (the “Telomerase Sublicense”). The Telomerase Sublicense entitles Asterias to use the technology covered by the patents in the development of VAC1 and VAC2 as immunological treatments for cancer. Under the Telomerase Sublicense, Asterias paid Geron a one-time upfront license fee of $65,000, and will pay Geron an annual license maintenance fee of $10,000 due on each anniversary of the effective date of the Telomerase Sublicense, and a 1% royalty on sales of any products that Asterias may develop and commercialize that are covered by the sublicensed patents. The Telomerase Sublicense will expire concurrently with the expiration of Geron’s license. That license will terminate during April 2017 when the licensed patents expire. The Telomerase Sublicense may also be terminated by Asterias by giving Geron 90 days written notice, by Asterias or by Geron if the other party breaches its obligations under the sublicense agreement and fails to cure their breach within the prescribed time period, or by Asterias or by Geron upon the filing or institution of bankruptcy, reorganization, liquidation or receivership proceedings, or upon an assignment of a substantial portion of the assets for the benefit of creditors by the other party.</w:t>
      </w:r>
    </w:p>
    <w:p>
      <w:pPr>
        <w:spacing w:after="0" w:line="187" w:lineRule="exact"/>
        <w:rPr>
          <w:sz w:val="20"/>
          <w:szCs w:val="20"/>
          <w:color w:val="auto"/>
        </w:rPr>
      </w:pPr>
    </w:p>
    <w:p>
      <w:pPr>
        <w:ind w:right="180" w:firstLine="567"/>
        <w:spacing w:after="0" w:line="257" w:lineRule="auto"/>
        <w:rPr>
          <w:sz w:val="20"/>
          <w:szCs w:val="20"/>
          <w:color w:val="auto"/>
        </w:rPr>
      </w:pPr>
      <w:r>
        <w:rPr>
          <w:rFonts w:ascii="Arial" w:cs="Arial" w:eastAsia="Arial" w:hAnsi="Arial"/>
          <w:sz w:val="16"/>
          <w:szCs w:val="16"/>
          <w:color w:val="auto"/>
        </w:rPr>
        <w:t>Asterias is obligated to indemnify Geron, Geron’s licensor, and certain other parties for certain liabilities, including those for personal injury, product liability, or property damage relating to or arising from the manufacture, use, promotion or sale of a product, or the use by any person of a product made, created, sold or otherwise transferred by Asterias or its sublicensees that is covered by the patents sublicensed under the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Agreement with the University of California</w:t>
      </w:r>
    </w:p>
    <w:p>
      <w:pPr>
        <w:spacing w:after="0" w:line="218" w:lineRule="exact"/>
        <w:rPr>
          <w:sz w:val="20"/>
          <w:szCs w:val="20"/>
          <w:color w:val="auto"/>
        </w:rPr>
      </w:pPr>
    </w:p>
    <w:p>
      <w:pPr>
        <w:ind w:right="20" w:firstLine="567"/>
        <w:spacing w:after="0" w:line="288" w:lineRule="auto"/>
        <w:rPr>
          <w:sz w:val="20"/>
          <w:szCs w:val="20"/>
          <w:color w:val="auto"/>
        </w:rPr>
      </w:pPr>
      <w:r>
        <w:rPr>
          <w:rFonts w:ascii="Arial" w:cs="Arial" w:eastAsia="Arial" w:hAnsi="Arial"/>
          <w:sz w:val="14"/>
          <w:szCs w:val="14"/>
          <w:color w:val="auto"/>
        </w:rPr>
        <w:t>Geron assigned to Asterias its Exclusive License Agreement with The Regents of the University of California for patents covering a method for directing the differentiation of multipotential human embryonic stem cells to glial-restricted progenitor cells that generate pure populations of oligodendrocytes for remyelination and treatment of spinal cord injury. Pursuant to this agreement, Asterias has an exclusive worldwide license under such patents, including the right to grant sublicenses, to create products for biological research, drug screening, and human therapy using the licensed patents. Under the license agreement, Asterias will be obligated to pay the university a royalty of 1% from sales of products that are covered by the licensed patent rights, and a minimum annual royalty of $5,000 starting in the year in which the first sale of a product covered by any licensed patent rights occurs, and continuing for the life of the applicable patent right under the agreement. The royalty payments due are subject to reduction, but not by more than 50%, to the extent of any payments that Asterias may be obligated to pay to a third party for the use of patents or other intellectual property licensed from the third party in order to make, have made, use, sell, or import products or otherwise exercise its rights under the Exclusive License Agreement. Asterias will be obligated to pay the university 7.5% of any proceeds, excluding debt financing and equity investments, and certain reimbursements, that its receives from sublicensees, other than Asterias’ affiliates and joint ventures relating to the development, manufacture, purchase, and sale of products, processes, and services covered by the licensed patent.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9" w:name="page40"/>
    <w:bookmarkEnd w:id="3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6"/>
          <w:szCs w:val="16"/>
          <w:color w:val="auto"/>
        </w:rPr>
        <w:t>The license agreement will terminate on the expiration of the last-to-expire of the university's issued licensed patents. If no further patents covered by the license agreement are issued, the license agreement would terminate in 2024. The university may terminate the agreement in the event of Asterias’ breach of the agreement. Asterias can terminate the agreement upon 60 days' notice.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Stem Cell Agreement with Reproductive Genetics Institute</w:t>
      </w:r>
    </w:p>
    <w:p>
      <w:pPr>
        <w:spacing w:after="0" w:line="218" w:lineRule="exact"/>
        <w:rPr>
          <w:sz w:val="20"/>
          <w:szCs w:val="20"/>
          <w:color w:val="auto"/>
        </w:rPr>
      </w:pPr>
    </w:p>
    <w:p>
      <w:pPr>
        <w:ind w:right="80" w:firstLine="567"/>
        <w:spacing w:after="0" w:line="293" w:lineRule="auto"/>
        <w:rPr>
          <w:sz w:val="20"/>
          <w:szCs w:val="20"/>
          <w:color w:val="auto"/>
        </w:rPr>
      </w:pPr>
      <w:r>
        <w:rPr>
          <w:rFonts w:ascii="Arial" w:cs="Arial" w:eastAsia="Arial" w:hAnsi="Arial"/>
          <w:sz w:val="14"/>
          <w:szCs w:val="14"/>
          <w:color w:val="auto"/>
        </w:rPr>
        <w:t>In 2009, we entered into a Stem Cell Agreement with RGI pursuant to which we obtained the non-exclusive right to acquire RGI’s proprietary stem cell lines. The Stem Cell Agreement grants us rights to market new hES lines selected by us from 294 hES lines derived by RGI. We will initially select 10 RGI hES cell lines, and may add additional cell lines at our option. We will receive starting cultures of the cell lines we select, and will scale up those cell lines for resale as research products. Because our rights are non-exclusive, RGI will retain the right to market and use its stem cell lines for its own account. RGI is a leading fertility center that screens embryos for genetic disorders, such as cystic fibrosis and muscular dystrophy, prior to implantation. The RGI hES lines include both normal cells and 88 cell lines identified as carrying a host of inherited genetic disease genes, some of which we plan to sell as research products to universities and companies in the bioscience and pharmaceutical industries.</w:t>
      </w:r>
    </w:p>
    <w:p>
      <w:pPr>
        <w:spacing w:after="0" w:line="168" w:lineRule="exact"/>
        <w:rPr>
          <w:sz w:val="20"/>
          <w:szCs w:val="20"/>
          <w:color w:val="auto"/>
        </w:rPr>
      </w:pPr>
    </w:p>
    <w:p>
      <w:pPr>
        <w:ind w:right="80" w:firstLine="567"/>
        <w:spacing w:after="0" w:line="257" w:lineRule="auto"/>
        <w:rPr>
          <w:sz w:val="20"/>
          <w:szCs w:val="20"/>
          <w:color w:val="auto"/>
        </w:rPr>
      </w:pPr>
      <w:r>
        <w:rPr>
          <w:rFonts w:ascii="Arial" w:cs="Arial" w:eastAsia="Arial" w:hAnsi="Arial"/>
          <w:sz w:val="16"/>
          <w:szCs w:val="16"/>
          <w:color w:val="auto"/>
        </w:rPr>
        <w:t>We will pay RGI a royalty in the amount of 7% of net sales of RGI-derived cells sold for research purposes such as the use of cells to test potential new drugs or diagnostic products. The Stem Cell Agreement requires us to sell the RGI cells for a minimum price of $7,500 per ampoule of cells. We also agreed to sell to RGI any cells that we derive from RGI stem cells at a price equal to 50% of the lowest price at which we sell those cells to third parties.</w:t>
      </w:r>
    </w:p>
    <w:p>
      <w:pPr>
        <w:spacing w:after="0" w:line="189" w:lineRule="exact"/>
        <w:rPr>
          <w:sz w:val="20"/>
          <w:szCs w:val="20"/>
          <w:color w:val="auto"/>
        </w:rPr>
      </w:pPr>
    </w:p>
    <w:p>
      <w:pPr>
        <w:ind w:right="20" w:firstLine="567"/>
        <w:spacing w:after="0" w:line="270" w:lineRule="auto"/>
        <w:rPr>
          <w:sz w:val="20"/>
          <w:szCs w:val="20"/>
          <w:color w:val="auto"/>
        </w:rPr>
      </w:pPr>
      <w:r>
        <w:rPr>
          <w:rFonts w:ascii="Arial" w:cs="Arial" w:eastAsia="Arial" w:hAnsi="Arial"/>
          <w:sz w:val="15"/>
          <w:szCs w:val="15"/>
          <w:color w:val="auto"/>
        </w:rPr>
        <w:t>We will be marketing the acquired cells for research purposes only. However, the Stem Cell Agreement allows us and RGI to develop therapeutic or diagnostic uses of the cells, subject to approval by a joint steering committee composed of our officers and RGI officers. In the absence of an agreement by the steering committee for a different revenue-sharing arrangement, and provided that we are successful in developing and commercializing one or more of those products for therapeutic or diagnostic uses, we would pay RGI a royalty based on net sales of each product. The royalty rate would be 50% of net sales of the product, minus one-half of any other royalties required to be paid to third parties. None of the RGI cells have been approved by the FDA or any equivalent foreign regulatory agency for use in the treatment of disease, and we do not have any specific plans for the development of RGI stem cells for use in the treatment or diagnosis of disease in humans.</w:t>
      </w:r>
    </w:p>
    <w:p>
      <w:pPr>
        <w:spacing w:after="0" w:line="183" w:lineRule="exact"/>
        <w:rPr>
          <w:sz w:val="20"/>
          <w:szCs w:val="20"/>
          <w:color w:val="auto"/>
        </w:rPr>
      </w:pPr>
    </w:p>
    <w:p>
      <w:pPr>
        <w:ind w:right="20" w:firstLine="567"/>
        <w:spacing w:after="0" w:line="272" w:lineRule="auto"/>
        <w:rPr>
          <w:sz w:val="20"/>
          <w:szCs w:val="20"/>
          <w:color w:val="auto"/>
        </w:rPr>
      </w:pPr>
      <w:r>
        <w:rPr>
          <w:rFonts w:ascii="Arial" w:cs="Arial" w:eastAsia="Arial" w:hAnsi="Arial"/>
          <w:sz w:val="15"/>
          <w:szCs w:val="15"/>
          <w:color w:val="auto"/>
        </w:rPr>
        <w:t>Our agreement with RGI is scheduled to terminate on December 31, 2039 but will be automatically extended for an additional ten years, unless we or RGI elect not to extend the term of the agreement. If the initial term of the agreement is extended for ten years, the extended term will be automatically extended for an additional period of ten years, unless we or RGI elect not to extend the term of the agreement for the additional period. RGI may terminate the agreement if we commit a breach or default in the performance of our obligations under the agreement and fail to cure the breach or default within the permitted cure periods. We have the right to terminate the agreement at any time by giving RGI 30-day prior notice and paying all royalties due with respect to the sale of cell products that occurred prior to the date of termination.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Sanford-Burnham Medical Research Institute</w:t>
      </w:r>
    </w:p>
    <w:p>
      <w:pPr>
        <w:spacing w:after="0" w:line="218" w:lineRule="exact"/>
        <w:rPr>
          <w:sz w:val="20"/>
          <w:szCs w:val="20"/>
          <w:color w:val="auto"/>
        </w:rPr>
      </w:pPr>
    </w:p>
    <w:p>
      <w:pPr>
        <w:ind w:right="40" w:firstLine="567"/>
        <w:spacing w:after="0" w:line="253" w:lineRule="auto"/>
        <w:rPr>
          <w:sz w:val="20"/>
          <w:szCs w:val="20"/>
          <w:color w:val="auto"/>
        </w:rPr>
      </w:pPr>
      <w:r>
        <w:rPr>
          <w:rFonts w:ascii="Arial" w:cs="Arial" w:eastAsia="Arial" w:hAnsi="Arial"/>
          <w:sz w:val="16"/>
          <w:szCs w:val="16"/>
          <w:color w:val="auto"/>
        </w:rPr>
        <w:t>Through our acquisition of the assets of Cell Targeting, Inc. (“CTI”), we acquired a royalty-bearing, exclusive, worldwide license from the Sanford-Burnham Medical Research Institute (“SBMRI”) permitting us and OncoCyte to use certain patents pertaining to homing peptides for preclinical research investigations of cell therapy treatments, and to enhance cell therapy products for the treatment and prevention of disease and injury in conjunction with our own proprietary technology or that of a third party. We have the right to grant sublicenses with notice to SBMRI.</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0" w:name="page41"/>
    <w:bookmarkEnd w:id="4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firstLine="567"/>
        <w:spacing w:after="0" w:line="301" w:lineRule="auto"/>
        <w:rPr>
          <w:sz w:val="20"/>
          <w:szCs w:val="20"/>
          <w:color w:val="auto"/>
        </w:rPr>
      </w:pPr>
      <w:r>
        <w:rPr>
          <w:rFonts w:ascii="Arial" w:cs="Arial" w:eastAsia="Arial" w:hAnsi="Arial"/>
          <w:sz w:val="14"/>
          <w:szCs w:val="14"/>
          <w:color w:val="auto"/>
        </w:rPr>
        <w:t>OncoCyte will pay SBMRI a royalty of 4% on the sale of pharmaceutical products, and 10% on the sale of any research-use products that we develop using or incorporating the licensed technology; and 20% of any payments we receive for sublicensing the patents to third parties. The royalties payable to SBMRI may be reduced by 50% if royalties or other fees must be paid to third parties in connection with the sale of any products. An annual license maintenance fee is payable each year during the term of the license, and after commercial sales of royalty bearing products commence, the annual fee will be credited towards our royalty payment obligations for the applicable year.</w:t>
      </w:r>
    </w:p>
    <w:p>
      <w:pPr>
        <w:spacing w:after="0" w:line="161" w:lineRule="exact"/>
        <w:rPr>
          <w:sz w:val="20"/>
          <w:szCs w:val="20"/>
          <w:color w:val="auto"/>
        </w:rPr>
      </w:pPr>
    </w:p>
    <w:p>
      <w:pPr>
        <w:ind w:right="20" w:firstLine="567"/>
        <w:spacing w:after="0" w:line="276" w:lineRule="auto"/>
        <w:rPr>
          <w:sz w:val="20"/>
          <w:szCs w:val="20"/>
          <w:color w:val="auto"/>
        </w:rPr>
      </w:pPr>
      <w:r>
        <w:rPr>
          <w:rFonts w:ascii="Arial" w:cs="Arial" w:eastAsia="Arial" w:hAnsi="Arial"/>
          <w:sz w:val="15"/>
          <w:szCs w:val="15"/>
          <w:color w:val="auto"/>
        </w:rPr>
        <w:t>OncoCyte will reimburse SBMRI for its costs incurred in filing, prosecuting, and maintaining patent protection, subject to our approval of the costs. The reimbursement rate ranges from 33-100% of the prosecution and maintenance costs. OncoCyte has assumed in house primary responsibility for the prosecution of some of the SBMRI licensed patents. OncoCyte will indemnify SBMRI against liabilities that may arise from our use of the licensed patents in the development, manufacture, and sale of products, including any product liability and similar claims that may arise from the use of any therapeutic products that we develop using the SBMRI patents.</w:t>
      </w:r>
    </w:p>
    <w:p>
      <w:pPr>
        <w:spacing w:after="0" w:line="176" w:lineRule="exact"/>
        <w:rPr>
          <w:sz w:val="20"/>
          <w:szCs w:val="20"/>
          <w:color w:val="auto"/>
        </w:rPr>
      </w:pPr>
    </w:p>
    <w:p>
      <w:pPr>
        <w:ind w:right="240" w:firstLine="567"/>
        <w:spacing w:after="0" w:line="253" w:lineRule="auto"/>
        <w:rPr>
          <w:sz w:val="20"/>
          <w:szCs w:val="20"/>
          <w:color w:val="auto"/>
        </w:rPr>
      </w:pPr>
      <w:r>
        <w:rPr>
          <w:rFonts w:ascii="Arial" w:cs="Arial" w:eastAsia="Arial" w:hAnsi="Arial"/>
          <w:sz w:val="16"/>
          <w:szCs w:val="16"/>
          <w:color w:val="auto"/>
        </w:rPr>
        <w:t>The license will terminate on a product-by-product and country-by-country basis, when the last-to-expire patent expires. The patent expiration dates cannot be presently determined with certainty because certain patents are pending, but the latest expiration date of the licensed patents that have issued is 2025. OncoCyte may terminate the license agreement by giving SBMRI 60-day notice. SBMRI may terminate the license agreement if OncoCyte fails to make license or royalty payments or to perform our reporting obligations after applicable cure periods.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Hadasit Research and License Agreement</w:t>
      </w:r>
    </w:p>
    <w:p>
      <w:pPr>
        <w:spacing w:after="0" w:line="218" w:lineRule="exact"/>
        <w:rPr>
          <w:sz w:val="20"/>
          <w:szCs w:val="20"/>
          <w:color w:val="auto"/>
        </w:rPr>
      </w:pPr>
    </w:p>
    <w:p>
      <w:pPr>
        <w:ind w:right="420" w:firstLine="567"/>
        <w:spacing w:after="0" w:line="253" w:lineRule="auto"/>
        <w:rPr>
          <w:sz w:val="20"/>
          <w:szCs w:val="20"/>
          <w:color w:val="auto"/>
        </w:rPr>
      </w:pPr>
      <w:r>
        <w:rPr>
          <w:rFonts w:ascii="Arial" w:cs="Arial" w:eastAsia="Arial" w:hAnsi="Arial"/>
          <w:sz w:val="16"/>
          <w:szCs w:val="16"/>
          <w:color w:val="auto"/>
        </w:rPr>
        <w:t>Cell Cure Neurosciences has entered into an Amended and Restated Research and License Agreement under which it received an exclusive license to use certain of Hadasit’s patented technologies for the development and commercialization for hES cell-derived cell replacement therapies for retinal degenerative diseases. Cell Cure Neurosciences paid Hadasit 249,058 New Israeli Shekels as a reimbursement for patent expenses incurred by Hadasit, and pays Hadasit quarterly fees for research and product development services under a related Product Development Agreement.</w:t>
      </w:r>
    </w:p>
    <w:p>
      <w:pPr>
        <w:spacing w:after="0" w:line="185" w:lineRule="exact"/>
        <w:rPr>
          <w:sz w:val="20"/>
          <w:szCs w:val="20"/>
          <w:color w:val="auto"/>
        </w:rPr>
      </w:pPr>
    </w:p>
    <w:p>
      <w:pPr>
        <w:ind w:right="800" w:firstLine="567"/>
        <w:spacing w:after="0" w:line="224" w:lineRule="auto"/>
        <w:rPr>
          <w:sz w:val="20"/>
          <w:szCs w:val="20"/>
          <w:color w:val="auto"/>
        </w:rPr>
      </w:pPr>
      <w:r>
        <w:rPr>
          <w:rFonts w:ascii="Arial" w:cs="Arial" w:eastAsia="Arial" w:hAnsi="Arial"/>
          <w:sz w:val="14"/>
          <w:szCs w:val="14"/>
          <w:color w:val="auto"/>
        </w:rPr>
        <w:t xml:space="preserve">If Teva exercises its option to license </w:t>
      </w:r>
      <w:r>
        <w:rPr>
          <w:rFonts w:ascii="Arial" w:cs="Arial" w:eastAsia="Arial" w:hAnsi="Arial"/>
          <w:sz w:val="14"/>
          <w:szCs w:val="14"/>
          <w:i w:val="1"/>
          <w:iCs w:val="1"/>
          <w:color w:val="auto"/>
        </w:rPr>
        <w:t>OpRegen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or </w:t>
      </w:r>
      <w:r>
        <w:rPr>
          <w:rFonts w:ascii="Arial" w:cs="Arial" w:eastAsia="Arial" w:hAnsi="Arial"/>
          <w:sz w:val="14"/>
          <w:szCs w:val="14"/>
          <w:i w:val="1"/>
          <w:iCs w:val="1"/>
          <w:color w:val="auto"/>
        </w:rPr>
        <w:t>OpRegen</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-Plus</w:t>
      </w:r>
      <w:r>
        <w:rPr>
          <w:rFonts w:ascii="Arial" w:cs="Arial" w:eastAsia="Arial" w:hAnsi="Arial"/>
          <w:sz w:val="14"/>
          <w:szCs w:val="14"/>
          <w:color w:val="auto"/>
        </w:rPr>
        <w:t>, Cell Cure Neurosciences will pay Hadasit 30% of all payments made by Teva to Cell Cure Neurosciences under the Teva License Option Agreement, other than payments for research, reimbursements of patent expenses, loans or equity investments.</w:t>
      </w:r>
    </w:p>
    <w:p>
      <w:pPr>
        <w:spacing w:after="0" w:line="194" w:lineRule="exact"/>
        <w:rPr>
          <w:sz w:val="20"/>
          <w:szCs w:val="20"/>
          <w:color w:val="auto"/>
        </w:rPr>
      </w:pPr>
    </w:p>
    <w:p>
      <w:pPr>
        <w:ind w:right="140" w:firstLine="567"/>
        <w:spacing w:after="0" w:line="241" w:lineRule="auto"/>
        <w:rPr>
          <w:sz w:val="20"/>
          <w:szCs w:val="20"/>
          <w:color w:val="auto"/>
        </w:rPr>
      </w:pPr>
      <w:r>
        <w:rPr>
          <w:rFonts w:ascii="Arial" w:cs="Arial" w:eastAsia="Arial" w:hAnsi="Arial"/>
          <w:sz w:val="14"/>
          <w:szCs w:val="14"/>
          <w:color w:val="auto"/>
        </w:rPr>
        <w:t xml:space="preserve">If Teva does not exercise its option and Cell Cure Neurosciences instead commercializes </w:t>
      </w:r>
      <w:r>
        <w:rPr>
          <w:rFonts w:ascii="Arial" w:cs="Arial" w:eastAsia="Arial" w:hAnsi="Arial"/>
          <w:sz w:val="14"/>
          <w:szCs w:val="14"/>
          <w:i w:val="1"/>
          <w:iCs w:val="1"/>
          <w:color w:val="auto"/>
        </w:rPr>
        <w:t>OpRegen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or </w:t>
      </w:r>
      <w:r>
        <w:rPr>
          <w:rFonts w:ascii="Arial" w:cs="Arial" w:eastAsia="Arial" w:hAnsi="Arial"/>
          <w:sz w:val="14"/>
          <w:szCs w:val="14"/>
          <w:i w:val="1"/>
          <w:iCs w:val="1"/>
          <w:color w:val="auto"/>
        </w:rPr>
        <w:t>OpRegen</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-Plus</w:t>
      </w:r>
      <w:r>
        <w:rPr>
          <w:rFonts w:ascii="Arial" w:cs="Arial" w:eastAsia="Arial" w:hAnsi="Arial"/>
          <w:sz w:val="14"/>
          <w:szCs w:val="14"/>
          <w:color w:val="auto"/>
        </w:rPr>
        <w:t xml:space="preserve"> itself or sublicenses the Hadasit patents to a third party for the completion of development or commercialization of </w:t>
      </w:r>
      <w:r>
        <w:rPr>
          <w:rFonts w:ascii="Arial" w:cs="Arial" w:eastAsia="Arial" w:hAnsi="Arial"/>
          <w:sz w:val="14"/>
          <w:szCs w:val="14"/>
          <w:i w:val="1"/>
          <w:iCs w:val="1"/>
          <w:color w:val="auto"/>
        </w:rPr>
        <w:t>OpRegen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or </w:t>
      </w:r>
      <w:r>
        <w:rPr>
          <w:rFonts w:ascii="Arial" w:cs="Arial" w:eastAsia="Arial" w:hAnsi="Arial"/>
          <w:sz w:val="14"/>
          <w:szCs w:val="14"/>
          <w:i w:val="1"/>
          <w:iCs w:val="1"/>
          <w:color w:val="auto"/>
        </w:rPr>
        <w:t>OpRegen</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-Plus</w:t>
      </w:r>
      <w:r>
        <w:rPr>
          <w:rFonts w:ascii="Arial" w:cs="Arial" w:eastAsia="Arial" w:hAnsi="Arial"/>
          <w:sz w:val="14"/>
          <w:szCs w:val="14"/>
          <w:color w:val="auto"/>
        </w:rPr>
        <w:t>, Cell Cure Neurosciences will pay Hadasit a 5% royalty on sales of products that utilize the licensed technology. Cell Cure Neurosciences will also pay sublicensing fees ranging from 10% to 30% of any payments Cell Cure Neurosciences receives from sublicensing the Hadasit patents to companies other than Teva. Commencing in January 2017, Hadasit will be entitled to receive an annual minimum royalty payment of $100,000 that will be credited toward the payment of royalties and sublicense fees otherwise payable to Hadasit during the calendar year. If Cell Cure Neurosciences or a sublicensee other than Teva paid royalties during the previous year, Cell Cure Neurosciences may defer making the minimum royalty payment until December and will be obligated to make the minimum annual payment to the extent that royalties and sublicensing fee payments made during that year are less than $100,000.</w:t>
      </w:r>
    </w:p>
    <w:p>
      <w:pPr>
        <w:spacing w:after="0" w:line="205" w:lineRule="exact"/>
        <w:rPr>
          <w:sz w:val="20"/>
          <w:szCs w:val="20"/>
          <w:color w:val="auto"/>
        </w:rPr>
      </w:pPr>
    </w:p>
    <w:p>
      <w:pPr>
        <w:ind w:right="40" w:firstLine="567"/>
        <w:spacing w:after="0" w:line="221" w:lineRule="auto"/>
        <w:rPr>
          <w:sz w:val="20"/>
          <w:szCs w:val="20"/>
          <w:color w:val="auto"/>
        </w:rPr>
      </w:pPr>
      <w:r>
        <w:rPr>
          <w:rFonts w:ascii="Arial" w:cs="Arial" w:eastAsia="Arial" w:hAnsi="Arial"/>
          <w:sz w:val="16"/>
          <w:szCs w:val="16"/>
          <w:color w:val="auto"/>
        </w:rPr>
        <w:t xml:space="preserve">If Teva does not exercise its option under the Teva License Option Agreement and instead Cell Cure Neurosciences or a sublicensee other than Teva conducts clinical trials of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-Plus</w:t>
      </w:r>
      <w:r>
        <w:rPr>
          <w:rFonts w:ascii="Arial" w:cs="Arial" w:eastAsia="Arial" w:hAnsi="Arial"/>
          <w:sz w:val="16"/>
          <w:szCs w:val="16"/>
          <w:color w:val="auto"/>
        </w:rPr>
        <w:t>, Hadasit will be entitled to receive certain payments from Cell Cure Neurosciences upon the first attainment of certain clinical trial milestones in the process of seeking regulatory approval to market a product developed by Cell Cure Neurosciences using the licensed patents. Hadasit will receive $250,000 upon the enrollment of patients in the first Phase I clinical trial, $250,000 upon the submission of Phase II clinical trial data to a regulatory agency as part of the approval process, and $1 million upon the enrollment of the first patient in the first Phase III clinical trial.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1" w:name="page42"/>
    <w:bookmarkEnd w:id="4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jc w:val="both"/>
        <w:ind w:firstLine="567"/>
        <w:spacing w:after="0" w:line="251" w:lineRule="auto"/>
        <w:rPr>
          <w:sz w:val="20"/>
          <w:szCs w:val="20"/>
          <w:color w:val="auto"/>
        </w:rPr>
      </w:pPr>
      <w:r>
        <w:rPr>
          <w:rFonts w:ascii="Arial" w:cs="Arial" w:eastAsia="Arial" w:hAnsi="Arial"/>
          <w:sz w:val="16"/>
          <w:szCs w:val="16"/>
          <w:color w:val="auto"/>
        </w:rPr>
        <w:t>The Hadasit license agreement will automatically expire on a country-by-country and product-by-product basis upon the later of the expiration of all of the licensed patents or 15 years following the first sale of a product developed using a licensed patent. The patent expiration dates cannot be presently determined with certainty because the patents are pending. After expiration of the license agreement, Cell Cure Neurosciences will have the right to exploit the Hadasit licensed patents without having to pay Hadasit any royalties or sublicensing fees. Either party may terminate the license agreement if the other party commits a breach or default in the performance of its obligations under the agreement and fails to cure the breach or default within the permitted cure periods.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Cornell University</w:t>
      </w:r>
    </w:p>
    <w:p>
      <w:pPr>
        <w:spacing w:after="0" w:line="218" w:lineRule="exact"/>
        <w:rPr>
          <w:sz w:val="20"/>
          <w:szCs w:val="20"/>
          <w:color w:val="auto"/>
        </w:rPr>
      </w:pPr>
    </w:p>
    <w:p>
      <w:pPr>
        <w:ind w:firstLine="567"/>
        <w:spacing w:after="0" w:line="253" w:lineRule="auto"/>
        <w:rPr>
          <w:sz w:val="20"/>
          <w:szCs w:val="20"/>
          <w:color w:val="auto"/>
        </w:rPr>
      </w:pPr>
      <w:r>
        <w:rPr>
          <w:rFonts w:ascii="Arial" w:cs="Arial" w:eastAsia="Arial" w:hAnsi="Arial"/>
          <w:sz w:val="16"/>
          <w:szCs w:val="16"/>
          <w:color w:val="auto"/>
        </w:rPr>
        <w:t>During August, 2011, we entered into a License Agreement with Cornell University for the worldwide development and commercialization of technology developed at Weill Cornell Medical College for the differentiation of hES cells into vascular endothelial cells. The technology may provide an improved means of generating vascular endothelial cells on an industrial scale, and will be utilized by us in diverse products, including those under development at our subsidiary ReCyte Therapeutics to treat age-related vascular disease.</w:t>
      </w:r>
    </w:p>
    <w:p>
      <w:pPr>
        <w:spacing w:after="0" w:line="193" w:lineRule="exact"/>
        <w:rPr>
          <w:sz w:val="20"/>
          <w:szCs w:val="20"/>
          <w:color w:val="auto"/>
        </w:rPr>
      </w:pPr>
    </w:p>
    <w:p>
      <w:pPr>
        <w:ind w:right="40" w:firstLine="567"/>
        <w:spacing w:after="0" w:line="301" w:lineRule="auto"/>
        <w:rPr>
          <w:sz w:val="20"/>
          <w:szCs w:val="20"/>
          <w:color w:val="auto"/>
        </w:rPr>
      </w:pPr>
      <w:r>
        <w:rPr>
          <w:rFonts w:ascii="Arial" w:cs="Arial" w:eastAsia="Arial" w:hAnsi="Arial"/>
          <w:sz w:val="14"/>
          <w:szCs w:val="14"/>
          <w:color w:val="auto"/>
        </w:rPr>
        <w:t>Our license to use the technology and patent rights is worldwide and exclusive and permits us to use the licensed technology and patents rights for the fields of cell therapy for age- and diabetes-related vascular diseases and cancer therapy. The license also covers (i) products utilizing human vascular or vascular forming cells for the purpose of enhancing the viability of the graft of other human cells, and (ii) cell-based research products. We also have a non-exclusive right to use any related technology provided by Cornell within the same fields of use, and non-exclusive rights with respect to any non-cell-based products for the research market not covered by the licensed patent rights.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have the right to permit our subsidiaries and other affiliates to use the licensed patent rights and technology, and we have the right to grant sublicenses to others.</w:t>
      </w:r>
    </w:p>
    <w:p>
      <w:pPr>
        <w:spacing w:after="0" w:line="241" w:lineRule="exact"/>
        <w:rPr>
          <w:sz w:val="20"/>
          <w:szCs w:val="20"/>
          <w:color w:val="auto"/>
        </w:rPr>
      </w:pPr>
    </w:p>
    <w:p>
      <w:pPr>
        <w:ind w:right="120" w:firstLine="567"/>
        <w:spacing w:after="0" w:line="270" w:lineRule="auto"/>
        <w:rPr>
          <w:sz w:val="20"/>
          <w:szCs w:val="20"/>
          <w:color w:val="auto"/>
        </w:rPr>
      </w:pPr>
      <w:r>
        <w:rPr>
          <w:rFonts w:ascii="Arial" w:cs="Arial" w:eastAsia="Arial" w:hAnsi="Arial"/>
          <w:sz w:val="15"/>
          <w:szCs w:val="15"/>
          <w:color w:val="auto"/>
        </w:rPr>
        <w:t>Cornell will be entitled to receive an initial license fee and annual license maintenance fees. The obligation to pay annual license maintenance fees will end when the first human therapeutic license product is sold by us or by any of our affiliates or sublicensees. A “licensed product” includes any service, composition or product that uses the licensed technology, or is claimed in the licensed patent rights, or that is produced or enabled by any licensed method, or the manufacture, use, sale, offer for sale, or importation of which would constitute an infringement, an inducement to infringe, or contributory infringement of any pending or issued claim within the patent rights licensed to us. A “licensed method” means any method that uses the licensed technology, or is claimed in the patent rights licensed to us, the use of which would constitute an infringement, an inducement to infringe, or contributory infringement of any pending or issued claim within the patent rights licensed to us.</w:t>
      </w:r>
    </w:p>
    <w:p>
      <w:pPr>
        <w:spacing w:after="0" w:line="183" w:lineRule="exact"/>
        <w:rPr>
          <w:sz w:val="20"/>
          <w:szCs w:val="20"/>
          <w:color w:val="auto"/>
        </w:rPr>
      </w:pPr>
    </w:p>
    <w:p>
      <w:pPr>
        <w:ind w:firstLine="567"/>
        <w:spacing w:after="0" w:line="253" w:lineRule="auto"/>
        <w:rPr>
          <w:sz w:val="20"/>
          <w:szCs w:val="20"/>
          <w:color w:val="auto"/>
        </w:rPr>
      </w:pPr>
      <w:r>
        <w:rPr>
          <w:rFonts w:ascii="Arial" w:cs="Arial" w:eastAsia="Arial" w:hAnsi="Arial"/>
          <w:sz w:val="16"/>
          <w:szCs w:val="16"/>
          <w:color w:val="auto"/>
        </w:rPr>
        <w:t>We will pay Cornell a milestone payment upon the achievement of a research product sales milestone amount, and we will make milestone payments upon the attainment of certain FDA approval milestones, including (i) the first Phase II clinical trial dosing of a human therapeutic licensed product, (ii) the first Phase III clinical trial dosing of a human therapeutic licensed product, (iii) FDA approval of first human therapeutic licensed product for age-related vascular disease, and (iv) FDA approval of the first human therapeutic licensed product for cancer.</w:t>
      </w:r>
    </w:p>
    <w:p>
      <w:pPr>
        <w:spacing w:after="0" w:line="193" w:lineRule="exact"/>
        <w:rPr>
          <w:sz w:val="20"/>
          <w:szCs w:val="20"/>
          <w:color w:val="auto"/>
        </w:rPr>
      </w:pPr>
    </w:p>
    <w:p>
      <w:pPr>
        <w:jc w:val="both"/>
        <w:ind w:right="40" w:firstLine="567"/>
        <w:spacing w:after="0" w:line="257" w:lineRule="auto"/>
        <w:rPr>
          <w:sz w:val="20"/>
          <w:szCs w:val="20"/>
          <w:color w:val="auto"/>
        </w:rPr>
      </w:pPr>
      <w:r>
        <w:rPr>
          <w:rFonts w:ascii="Arial" w:cs="Arial" w:eastAsia="Arial" w:hAnsi="Arial"/>
          <w:sz w:val="16"/>
          <w:szCs w:val="16"/>
          <w:color w:val="auto"/>
        </w:rPr>
        <w:t>We will pay Cornell royalties on sales of licensed products by ourselves and our affiliates and sublicensees, and we will share with Cornell a portion of any cash payments, other than royalties, that we receive for the grant of sublicenses to non-affiliates. We will also reimburse Cornell for costs related to the patent applications and any patents that may issue that are covered by our license.</w:t>
      </w:r>
    </w:p>
    <w:p>
      <w:pPr>
        <w:spacing w:after="0" w:line="189" w:lineRule="exact"/>
        <w:rPr>
          <w:sz w:val="20"/>
          <w:szCs w:val="20"/>
          <w:color w:val="auto"/>
        </w:rPr>
      </w:pPr>
    </w:p>
    <w:p>
      <w:pPr>
        <w:ind w:right="140" w:firstLine="567"/>
        <w:spacing w:after="0" w:line="282" w:lineRule="auto"/>
        <w:rPr>
          <w:sz w:val="20"/>
          <w:szCs w:val="20"/>
          <w:color w:val="auto"/>
        </w:rPr>
      </w:pPr>
      <w:r>
        <w:rPr>
          <w:rFonts w:ascii="Arial" w:cs="Arial" w:eastAsia="Arial" w:hAnsi="Arial"/>
          <w:sz w:val="15"/>
          <w:szCs w:val="15"/>
          <w:color w:val="auto"/>
        </w:rPr>
        <w:t>We will provide Cornell with periodic reports of progress made in our research and development and product commercialization programs, and in those programs conducted by our affiliates and sublicensees, using the licensed patents and technology. We and our affiliates and sublicensees will be required to keep accurate records of the use, manufacture and sale of licensed products, and of sublicense fees received. Cornell has the right to audit those records that we and our affiliates maintain.</w:t>
      </w:r>
    </w:p>
    <w:p>
      <w:pPr>
        <w:spacing w:after="0" w:line="172" w:lineRule="exact"/>
        <w:rPr>
          <w:sz w:val="20"/>
          <w:szCs w:val="20"/>
          <w:color w:val="auto"/>
        </w:rPr>
      </w:pPr>
    </w:p>
    <w:p>
      <w:pPr>
        <w:ind w:right="80" w:firstLine="567"/>
        <w:spacing w:after="0" w:line="253" w:lineRule="auto"/>
        <w:rPr>
          <w:sz w:val="20"/>
          <w:szCs w:val="20"/>
          <w:color w:val="auto"/>
        </w:rPr>
      </w:pPr>
      <w:r>
        <w:rPr>
          <w:rFonts w:ascii="Arial" w:cs="Arial" w:eastAsia="Arial" w:hAnsi="Arial"/>
          <w:sz w:val="16"/>
          <w:szCs w:val="16"/>
          <w:color w:val="auto"/>
        </w:rPr>
        <w:t>The license will expire on the later of (i) the expiration date of the longest-lived licensed patent, or (ii) on a country-by-country basis, on the twenty-first anniversary of the first commercial sale of a licensed product. We have the right to terminate the License Agreement at any time and for any reason upon ninety (90) days written notice to Cornell. Cornell may terminate our license if we fail to perform, or if we violate, any term of the License Agreement, and we fail to cure that default within thirty (30) days after written notice from Cornell.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2" w:name="page43"/>
    <w:bookmarkEnd w:id="42"/>
    <w:p>
      <w:pPr>
        <w:ind w:left="5"/>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5" w:firstLine="567"/>
        <w:spacing w:after="0" w:line="250" w:lineRule="auto"/>
        <w:rPr>
          <w:sz w:val="20"/>
          <w:szCs w:val="20"/>
          <w:color w:val="auto"/>
        </w:rPr>
      </w:pPr>
      <w:r>
        <w:rPr>
          <w:rFonts w:ascii="Arial" w:cs="Arial" w:eastAsia="Arial" w:hAnsi="Arial"/>
          <w:sz w:val="16"/>
          <w:szCs w:val="16"/>
          <w:color w:val="auto"/>
        </w:rPr>
        <w:t>Cornell also may terminate the license or convert the exclusive license to a non-exclusive license if we fail to meet any of the following requirements: (i) diligently proceed with the development, manufacture and sale of licensed products; (ii) annually spend certain specified dollar amounts for the development of licensed products; (iii) submit an investigational new drug application covering at least one licensed product to the FDA within eight (8) years after the effective date of the License Agreement; (iv) initiate preclinical toxicology studies for at least one licensed product within six (6) years after the effective date of the License Agreement; (v) market at least one therapeutic licensed product in the U.S. within twelve (12) months after receiving regulatory approval to market the licensed product; or (vi) market at least one cell-based licensed product for the research market in the U.S. within twelve (12) months after the effective date of the License Agreement. We may fulfill the obligations described in (i) through (vi) through our own efforts or through the efforts of our affiliates and sublicensees.</w:t>
      </w:r>
    </w:p>
    <w:p>
      <w:pPr>
        <w:spacing w:after="0" w:line="195" w:lineRule="exact"/>
        <w:rPr>
          <w:sz w:val="20"/>
          <w:szCs w:val="20"/>
          <w:color w:val="auto"/>
        </w:rPr>
      </w:pPr>
    </w:p>
    <w:p>
      <w:pPr>
        <w:ind w:left="5" w:right="280" w:firstLine="567"/>
        <w:spacing w:after="0" w:line="253" w:lineRule="auto"/>
        <w:rPr>
          <w:sz w:val="20"/>
          <w:szCs w:val="20"/>
          <w:color w:val="auto"/>
        </w:rPr>
      </w:pPr>
      <w:r>
        <w:rPr>
          <w:rFonts w:ascii="Arial" w:cs="Arial" w:eastAsia="Arial" w:hAnsi="Arial"/>
          <w:sz w:val="16"/>
          <w:szCs w:val="16"/>
          <w:color w:val="auto"/>
        </w:rPr>
        <w:t>Termination of the License Agreement by us or by Cornell or upon expiration will not relieve us of our obligations the make payments of fees owed at the time of termination, and certain provisions of the License Agreement, including the indemnification and confidentiality provisions, will survive termination. We may continue to sell all previously made or partially made licensed product for a period of one hundred and twenty (120) days after the License Agreement terminates, provided that the reporting and royalty payment provisions of the License Agreement will continue to apply to those sales.</w:t>
      </w:r>
    </w:p>
    <w:p>
      <w:pPr>
        <w:spacing w:after="0" w:line="193" w:lineRule="exact"/>
        <w:rPr>
          <w:sz w:val="20"/>
          <w:szCs w:val="20"/>
          <w:color w:val="auto"/>
        </w:rPr>
      </w:pPr>
    </w:p>
    <w:p>
      <w:pPr>
        <w:ind w:left="5" w:right="440" w:firstLine="567"/>
        <w:spacing w:after="0" w:line="301" w:lineRule="auto"/>
        <w:rPr>
          <w:sz w:val="20"/>
          <w:szCs w:val="20"/>
          <w:color w:val="auto"/>
        </w:rPr>
      </w:pPr>
      <w:r>
        <w:rPr>
          <w:rFonts w:ascii="Arial" w:cs="Arial" w:eastAsia="Arial" w:hAnsi="Arial"/>
          <w:sz w:val="14"/>
          <w:szCs w:val="14"/>
          <w:color w:val="auto"/>
        </w:rPr>
        <w:t>We have agreed to indemnify Cornell; Cornell Research Foundation, Inc.; Howard Hughes Medical Institute; and their officers, trustees, employees, and agents, the sponsors of the research that led to the licensed patent rights; and the inventors and their employers, against any and all claims, suits, losses, damage, costs, fees, and expenses resulting from or arising out of exercise of the licenses and any sublicenses under the License Agreement. The indemnification will include, but not be limited to, patent infringement and product liability. We have also agreement to provide certain liability insurance coverage for Cornell and Howard Hughes Medical Institute.</w:t>
      </w:r>
    </w:p>
    <w:p>
      <w:pPr>
        <w:spacing w:after="0" w:line="161" w:lineRule="exact"/>
        <w:rPr>
          <w:sz w:val="20"/>
          <w:szCs w:val="20"/>
          <w:color w:val="auto"/>
        </w:rPr>
      </w:pPr>
    </w:p>
    <w:p>
      <w:pPr>
        <w:ind w:left="5" w:right="20" w:firstLine="567"/>
        <w:spacing w:after="0" w:line="267" w:lineRule="auto"/>
        <w:rPr>
          <w:sz w:val="20"/>
          <w:szCs w:val="20"/>
          <w:color w:val="auto"/>
        </w:rPr>
      </w:pPr>
      <w:r>
        <w:rPr>
          <w:rFonts w:ascii="Arial" w:cs="Arial" w:eastAsia="Arial" w:hAnsi="Arial"/>
          <w:sz w:val="16"/>
          <w:szCs w:val="16"/>
          <w:color w:val="auto"/>
        </w:rPr>
        <w:t>Cornell and Howard Hughes Medical Institute will retain the right to use the licensed technology and patent rights for their own educational and research purposes. Cornell may also permit other nonprofit institutions to use the technology and patent rights for educational and research purposes.</w:t>
      </w:r>
    </w:p>
    <w:p>
      <w:pPr>
        <w:spacing w:after="0" w:line="181" w:lineRule="exact"/>
        <w:rPr>
          <w:sz w:val="20"/>
          <w:szCs w:val="20"/>
          <w:color w:val="auto"/>
        </w:rPr>
      </w:pPr>
    </w:p>
    <w:p>
      <w:pPr>
        <w:ind w:left="5" w:right="60" w:firstLine="567"/>
        <w:spacing w:after="0" w:line="282" w:lineRule="auto"/>
        <w:rPr>
          <w:sz w:val="20"/>
          <w:szCs w:val="20"/>
          <w:color w:val="auto"/>
        </w:rPr>
      </w:pPr>
      <w:r>
        <w:rPr>
          <w:rFonts w:ascii="Arial" w:cs="Arial" w:eastAsia="Arial" w:hAnsi="Arial"/>
          <w:sz w:val="14"/>
          <w:szCs w:val="14"/>
          <w:color w:val="auto"/>
        </w:rPr>
        <w:t>In conjunction with the License Agreement, we also entered into a Sponsored Research Agreement under which scientists at Weill Cornell Medical College, led by Sina Y. Rabbany, PhD, will engage in research with the goals of (1) verifying the ability of progenitor cells, derived by ReCyte Therapeutics, to generate stable populations of vascular endothelial cells; (2) testing the functionality and transplantability of the vascular endothelial cells in animal models to see if the transplanted cells generate new vascular tissue; and</w:t>
      </w:r>
    </w:p>
    <w:p>
      <w:pPr>
        <w:spacing w:after="0" w:line="2" w:lineRule="exact"/>
        <w:rPr>
          <w:sz w:val="20"/>
          <w:szCs w:val="20"/>
          <w:color w:val="auto"/>
        </w:rPr>
      </w:pPr>
    </w:p>
    <w:p>
      <w:pPr>
        <w:ind w:left="5" w:right="120" w:hanging="5"/>
        <w:spacing w:after="0" w:line="217" w:lineRule="auto"/>
        <w:tabs>
          <w:tab w:leader="none" w:pos="228"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using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hydrogels and other materials as scaffolds for the three-dimensional propagation of vascular endothelial cells into vascular tissues suitable for transplantation. The Sponsored Research Agreement will have a term of three years, but we or Cornell can elect to terminate the agreement earlier by giving the other party thirty (30) days written notice</w:t>
      </w:r>
      <w:r>
        <w:rPr>
          <w:rFonts w:ascii="Arial" w:cs="Arial" w:eastAsia="Arial" w:hAnsi="Arial"/>
          <w:sz w:val="26"/>
          <w:szCs w:val="26"/>
          <w:color w:val="auto"/>
          <w:vertAlign w:val="superscript"/>
        </w:rPr>
        <w:t>.</w:t>
      </w:r>
    </w:p>
    <w:p>
      <w:pPr>
        <w:spacing w:after="0" w:line="71" w:lineRule="exact"/>
        <w:rPr>
          <w:sz w:val="20"/>
          <w:szCs w:val="20"/>
          <w:color w:val="auto"/>
        </w:rPr>
      </w:pPr>
    </w:p>
    <w:p>
      <w:pPr>
        <w:ind w:left="5" w:right="80" w:firstLine="567"/>
        <w:spacing w:after="0" w:line="257" w:lineRule="auto"/>
        <w:rPr>
          <w:sz w:val="20"/>
          <w:szCs w:val="20"/>
          <w:color w:val="auto"/>
        </w:rPr>
      </w:pPr>
      <w:r>
        <w:rPr>
          <w:rFonts w:ascii="Arial" w:cs="Arial" w:eastAsia="Arial" w:hAnsi="Arial"/>
          <w:sz w:val="16"/>
          <w:szCs w:val="16"/>
          <w:color w:val="auto"/>
        </w:rPr>
        <w:t>If the researchers make any patentable discoveries or inventions in the course of the sponsored research program, we will have an option to negotiate an exclusive, royalty-bearing license to use the invention. If we do license the invention, Cornell would retain a right to use it on a non-exclusive royalty-free basis for its own internal research and teaching purposes.</w:t>
      </w:r>
    </w:p>
    <w:p>
      <w:pPr>
        <w:spacing w:after="0" w:line="185"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USCN Life Science, Inc</w:t>
      </w:r>
      <w:r>
        <w:rPr>
          <w:rFonts w:ascii="Arial" w:cs="Arial" w:eastAsia="Arial" w:hAnsi="Arial"/>
          <w:sz w:val="16"/>
          <w:szCs w:val="16"/>
          <w:b w:val="1"/>
          <w:bCs w:val="1"/>
          <w:color w:val="auto"/>
        </w:rPr>
        <w:t>.</w:t>
      </w:r>
    </w:p>
    <w:p>
      <w:pPr>
        <w:spacing w:after="0" w:line="222" w:lineRule="exact"/>
        <w:rPr>
          <w:sz w:val="20"/>
          <w:szCs w:val="20"/>
          <w:color w:val="auto"/>
        </w:rPr>
      </w:pPr>
    </w:p>
    <w:p>
      <w:pPr>
        <w:ind w:left="5" w:right="20" w:firstLine="567"/>
        <w:spacing w:after="0" w:line="242" w:lineRule="auto"/>
        <w:rPr>
          <w:sz w:val="20"/>
          <w:szCs w:val="20"/>
          <w:color w:val="auto"/>
        </w:rPr>
      </w:pPr>
      <w:r>
        <w:rPr>
          <w:rFonts w:ascii="Arial" w:cs="Arial" w:eastAsia="Arial" w:hAnsi="Arial"/>
          <w:sz w:val="15"/>
          <w:szCs w:val="15"/>
          <w:color w:val="auto"/>
        </w:rPr>
        <w:t xml:space="preserve">During December 2011, we entered into two agreements with USCN Life Science, Inc. (“USCN”), a Chinese company. One agreement is a License Option Agreement that grants us the right, but not the obligation, to license from USCN certain technology and any related patents that may issue, and certain hybridoma cell lines for the purpose of deriving new products and technologies for use in diagnostic procedures and in therapeutics for the treatment of disease, as well as for products intended for research use only. A hybridoma cell line is an expandable culture of cells engineered to secrete a distinct antibody known as a monoclonal antibody that is directed to a specific protein. BioTime and OncoCyte scientists tested certain antibodies distributed by USCN and found them to be effective as components of </w:t>
      </w:r>
      <w:r>
        <w:rPr>
          <w:rFonts w:ascii="Arial" w:cs="Arial" w:eastAsia="Arial" w:hAnsi="Arial"/>
          <w:sz w:val="15"/>
          <w:szCs w:val="15"/>
          <w:i w:val="1"/>
          <w:iCs w:val="1"/>
          <w:color w:val="auto"/>
        </w:rPr>
        <w:t>PanC-Dx</w:t>
      </w:r>
      <w:r>
        <w:rPr>
          <w:rFonts w:ascii="Arial" w:cs="Arial" w:eastAsia="Arial" w:hAnsi="Arial"/>
          <w:sz w:val="25"/>
          <w:szCs w:val="25"/>
          <w:color w:val="auto"/>
          <w:vertAlign w:val="superscript"/>
        </w:rPr>
        <w:t>™</w:t>
      </w:r>
      <w:r>
        <w:rPr>
          <w:rFonts w:ascii="Arial" w:cs="Arial" w:eastAsia="Arial" w:hAnsi="Arial"/>
          <w:sz w:val="15"/>
          <w:szCs w:val="15"/>
          <w:color w:val="auto"/>
        </w:rPr>
        <w:t>. The other agreement we entered into with USCN is an assay kit Supply Agreement under which we will purchase a wide array of assay kits designed for enzyme-linked immunosorbent assay (ELISA) and chemiluminescent immuno assay (CLIA) directed to the stem cell research community and for research use only.</w:t>
      </w:r>
    </w:p>
    <w:p>
      <w:pPr>
        <w:spacing w:after="0" w:line="152" w:lineRule="exact"/>
        <w:rPr>
          <w:sz w:val="20"/>
          <w:szCs w:val="20"/>
          <w:color w:val="auto"/>
        </w:rPr>
      </w:pPr>
    </w:p>
    <w:p>
      <w:pPr>
        <w:jc w:val="center"/>
        <w:ind w:right="-24"/>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5"/>
          </w:cols>
          <w:pgMar w:left="235" w:top="124" w:right="239" w:bottom="1440" w:gutter="0" w:footer="0" w:header="0"/>
        </w:sectPr>
      </w:pPr>
    </w:p>
    <w:bookmarkStart w:id="43" w:name="page44"/>
    <w:bookmarkEnd w:id="43"/>
    <w:p>
      <w:pPr>
        <w:ind w:left="5"/>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5" w:right="100" w:firstLine="567"/>
        <w:spacing w:after="0" w:line="257" w:lineRule="auto"/>
        <w:rPr>
          <w:sz w:val="20"/>
          <w:szCs w:val="20"/>
          <w:color w:val="auto"/>
        </w:rPr>
      </w:pPr>
      <w:r>
        <w:rPr>
          <w:rFonts w:ascii="Arial" w:cs="Arial" w:eastAsia="Arial" w:hAnsi="Arial"/>
          <w:sz w:val="16"/>
          <w:szCs w:val="16"/>
          <w:color w:val="auto"/>
        </w:rPr>
        <w:t>Under the License Option Agreement we have the option of acquiring world-wide licenses to technology and certain hybridoma cell lines, and any patents related to the licensed technology and hybridoma cell lines, that may issue, for the purpose of deriving new products and technologies for use in diagnostic procedures and in therapeutics for the treatment of disease.</w:t>
      </w:r>
    </w:p>
    <w:p>
      <w:pPr>
        <w:spacing w:after="0" w:line="189" w:lineRule="exact"/>
        <w:rPr>
          <w:sz w:val="20"/>
          <w:szCs w:val="20"/>
          <w:color w:val="auto"/>
        </w:rPr>
      </w:pPr>
    </w:p>
    <w:p>
      <w:pPr>
        <w:ind w:left="5" w:firstLine="567"/>
        <w:spacing w:after="0" w:line="287" w:lineRule="auto"/>
        <w:rPr>
          <w:sz w:val="20"/>
          <w:szCs w:val="20"/>
          <w:color w:val="auto"/>
        </w:rPr>
      </w:pPr>
      <w:r>
        <w:rPr>
          <w:rFonts w:ascii="Arial" w:cs="Arial" w:eastAsia="Arial" w:hAnsi="Arial"/>
          <w:sz w:val="14"/>
          <w:szCs w:val="14"/>
          <w:color w:val="auto"/>
        </w:rPr>
        <w:t>We paid USCN a license fee which will be credited toward the license fee payable if we exercise our option to license at least one hybridoma cell line. We may exercise our option to license additional hybridomas and related technology and patent rights by paying an additional license fee per hybridoma cell line. We will pay to USCN a royalty calculated as a percent of net sales received by us and our affiliates for all licensed products sold, performed, or leased by us or any of our affiliates. As defined in the License Option Agreement, Net Sales means revenues received from the manufacture, use or sale or other disposition of licensed products, less the total of all (a) discounts allowed in amounts customary in the trade; (b) sales tariffs, duties and/or taxes imposed on the licensed products; or (c) outbound transportation prepaid or allowed; and (d) amounts allowed or credited on returns. Net Sales does not include revenues from the sale or other disposition of licensed products to (i) any of our affiliates, (ii) to any of our sublicensees or any sublicensees of our affiliates, or (iii) to any affiliate of our or our affiliates’ sublicensees. No multiple royalties will be payable on the basis that any licensed product is covered by more than one licensed patent or patent application. “Licensed products” means any product, service and/or process that constitutes, incorporates or utilizes, wholly or in part, any of the technology, patent rights, or hybridomas licensed by USCN under the agreement. If a royalty bearing license to use a third party’s patent is required to eliminate or avoid an infringement or claim of infringement or to settle any lawsuit or other proceeding alleging patent infringement from the use of USCN’s patents or technology or the use, manufacture, production, distribution, or sale of the licensed hybridoma lines or a licensed product, then we and any of our affiliates and any sublicensees may deduct the royalties paid to the third party from the royalties payable to USCN, provided that the amount of the deduction may not reduce the royalty payable to USCN by more than 50%.</w:t>
      </w:r>
    </w:p>
    <w:p>
      <w:pPr>
        <w:spacing w:after="0" w:line="171" w:lineRule="exact"/>
        <w:rPr>
          <w:sz w:val="20"/>
          <w:szCs w:val="20"/>
          <w:color w:val="auto"/>
        </w:rPr>
      </w:pPr>
    </w:p>
    <w:p>
      <w:pPr>
        <w:ind w:left="5" w:right="40" w:firstLine="567"/>
        <w:spacing w:after="0" w:line="270" w:lineRule="auto"/>
        <w:rPr>
          <w:sz w:val="20"/>
          <w:szCs w:val="20"/>
          <w:color w:val="auto"/>
        </w:rPr>
      </w:pPr>
      <w:r>
        <w:rPr>
          <w:rFonts w:ascii="Arial" w:cs="Arial" w:eastAsia="Arial" w:hAnsi="Arial"/>
          <w:sz w:val="15"/>
          <w:szCs w:val="15"/>
          <w:color w:val="auto"/>
        </w:rPr>
        <w:t>We have agreed to indemnify, defend and hold harmless USCN and USCN’s affiliates, successors, assigns, agents, officers, directors, shareholders and employees against all liabilities of any kind whatsoever, including legal expenses and reasonable attorneys’ fees, arising out of the death of or injury to any person or persons or out of any damage to property resulting from the production, manufacture, sale, use, lease, performance, consumption or advertisement of licensed products or arising from any of our obligations, acts or omissions, or from a breach of any of our representations or warranties, under the License Option Agreement, except for claims that result from (a) the willful misconduct or gross negligence of USCN or any other indemnitee, and (b) claims alleging that the use of any of the patent rights, technology or hybridomas licensed to us, when used within our permitted field of use, infringes upon any patent, trade secret, or moral right of any third party.</w:t>
      </w:r>
    </w:p>
    <w:p>
      <w:pPr>
        <w:spacing w:after="0" w:line="183" w:lineRule="exact"/>
        <w:rPr>
          <w:sz w:val="20"/>
          <w:szCs w:val="20"/>
          <w:color w:val="auto"/>
        </w:rPr>
      </w:pPr>
    </w:p>
    <w:p>
      <w:pPr>
        <w:ind w:left="5" w:right="80" w:firstLine="567"/>
        <w:spacing w:after="0" w:line="253" w:lineRule="auto"/>
        <w:rPr>
          <w:sz w:val="20"/>
          <w:szCs w:val="20"/>
          <w:color w:val="auto"/>
        </w:rPr>
      </w:pPr>
      <w:r>
        <w:rPr>
          <w:rFonts w:ascii="Arial" w:cs="Arial" w:eastAsia="Arial" w:hAnsi="Arial"/>
          <w:sz w:val="16"/>
          <w:szCs w:val="16"/>
          <w:color w:val="auto"/>
        </w:rPr>
        <w:t>USCN has agreed to indemnify, defend and hold harmless us and our affiliates, and our respective successors, assigns, agents, officers, directors, shareholders and employees against all liabilities of any kind whatsoever, including legal expenses and reasonable attorneys’ fees, arising out of any claim, demand, lawsuit or other proceeding alleging that the use of any patent rights, technology, or hybridoma licensed to us or to any of our affiliates or any sublicensee within the permitted field of use infringes any patent, trade secret, or moral right of any third party.</w:t>
      </w:r>
    </w:p>
    <w:p>
      <w:pPr>
        <w:spacing w:after="0" w:line="193" w:lineRule="exact"/>
        <w:rPr>
          <w:sz w:val="20"/>
          <w:szCs w:val="20"/>
          <w:color w:val="auto"/>
        </w:rPr>
      </w:pPr>
    </w:p>
    <w:p>
      <w:pPr>
        <w:ind w:left="5" w:right="140" w:firstLine="567"/>
        <w:spacing w:after="0" w:line="257" w:lineRule="auto"/>
        <w:rPr>
          <w:sz w:val="20"/>
          <w:szCs w:val="20"/>
          <w:color w:val="auto"/>
        </w:rPr>
      </w:pPr>
      <w:r>
        <w:rPr>
          <w:rFonts w:ascii="Arial" w:cs="Arial" w:eastAsia="Arial" w:hAnsi="Arial"/>
          <w:sz w:val="16"/>
          <w:szCs w:val="16"/>
          <w:color w:val="auto"/>
        </w:rPr>
        <w:t>The License Option Agreement will terminate on its fifth anniversary if the option has not been exercised on or before that date. If we exercise our option, the agreement will terminate upon written notice from us to USCN that we, our affiliates, and all sublicensees have permanently discontinued the use of the licensed technology, patent rights, hybridomas and licensed products.</w:t>
      </w:r>
    </w:p>
    <w:p>
      <w:pPr>
        <w:spacing w:after="0" w:line="189" w:lineRule="exact"/>
        <w:rPr>
          <w:sz w:val="20"/>
          <w:szCs w:val="20"/>
          <w:color w:val="auto"/>
        </w:rPr>
      </w:pPr>
    </w:p>
    <w:p>
      <w:pPr>
        <w:ind w:left="5" w:right="20" w:firstLine="567"/>
        <w:spacing w:after="0" w:line="290" w:lineRule="auto"/>
        <w:rPr>
          <w:sz w:val="20"/>
          <w:szCs w:val="20"/>
          <w:color w:val="auto"/>
        </w:rPr>
      </w:pPr>
      <w:r>
        <w:rPr>
          <w:rFonts w:ascii="Arial" w:cs="Arial" w:eastAsia="Arial" w:hAnsi="Arial"/>
          <w:sz w:val="14"/>
          <w:szCs w:val="14"/>
          <w:color w:val="auto"/>
        </w:rPr>
        <w:t>We may terminate the agreement at any time on sixty (60) days prior written notice to USCN, and upon payment of all amounts due USCN through the effective date of the termination. USCN may terminate the agreement at any time if we breach or default in the performance of any of our obligations and the breach or default is not cured within thirty</w:t>
      </w:r>
    </w:p>
    <w:p>
      <w:pPr>
        <w:ind w:left="305" w:hanging="305"/>
        <w:spacing w:after="0"/>
        <w:tabs>
          <w:tab w:leader="none" w:pos="305" w:val="left"/>
        </w:tabs>
        <w:numPr>
          <w:ilvl w:val="0"/>
          <w:numId w:val="15"/>
        </w:numPr>
        <w:rPr>
          <w:rFonts w:ascii="Arial" w:cs="Arial" w:eastAsia="Arial" w:hAnsi="Arial"/>
          <w:sz w:val="14"/>
          <w:szCs w:val="14"/>
          <w:color w:val="auto"/>
        </w:rPr>
      </w:pPr>
      <w:r>
        <w:rPr>
          <w:rFonts w:ascii="Arial" w:cs="Arial" w:eastAsia="Arial" w:hAnsi="Arial"/>
          <w:sz w:val="14"/>
          <w:szCs w:val="14"/>
          <w:color w:val="auto"/>
        </w:rPr>
        <w:t>days after a written request from USCN to remedy the breach or default, or if the breach or default cannot be cured within that thirty (30) day period, we fail within that thirty</w:t>
      </w:r>
    </w:p>
    <w:p>
      <w:pPr>
        <w:spacing w:after="0" w:line="28" w:lineRule="exact"/>
        <w:rPr>
          <w:rFonts w:ascii="Arial" w:cs="Arial" w:eastAsia="Arial" w:hAnsi="Arial"/>
          <w:sz w:val="14"/>
          <w:szCs w:val="14"/>
          <w:color w:val="auto"/>
        </w:rPr>
      </w:pPr>
    </w:p>
    <w:p>
      <w:pPr>
        <w:ind w:left="5" w:right="60" w:hanging="5"/>
        <w:spacing w:after="0" w:line="253" w:lineRule="auto"/>
        <w:tabs>
          <w:tab w:leader="none" w:pos="307" w:val="left"/>
        </w:tabs>
        <w:numPr>
          <w:ilvl w:val="0"/>
          <w:numId w:val="16"/>
        </w:numPr>
        <w:rPr>
          <w:rFonts w:ascii="Arial" w:cs="Arial" w:eastAsia="Arial" w:hAnsi="Arial"/>
          <w:sz w:val="16"/>
          <w:szCs w:val="16"/>
          <w:color w:val="auto"/>
        </w:rPr>
      </w:pPr>
      <w:r>
        <w:rPr>
          <w:rFonts w:ascii="Arial" w:cs="Arial" w:eastAsia="Arial" w:hAnsi="Arial"/>
          <w:sz w:val="16"/>
          <w:szCs w:val="16"/>
          <w:color w:val="auto"/>
        </w:rPr>
        <w:t>day period to proceed with reasonable promptness thereafter to cure the breach. Termination of the License Option Agreement will not release a party from any obligation that matured prior to the effective date of the termination.</w:t>
      </w:r>
    </w:p>
    <w:p>
      <w:pPr>
        <w:spacing w:after="0" w:line="141" w:lineRule="exact"/>
        <w:rPr>
          <w:sz w:val="20"/>
          <w:szCs w:val="20"/>
          <w:color w:val="auto"/>
        </w:rPr>
      </w:pPr>
    </w:p>
    <w:p>
      <w:pPr>
        <w:jc w:val="center"/>
        <w:ind w:right="-24"/>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5"/>
          </w:cols>
          <w:pgMar w:left="235" w:top="124" w:right="259" w:bottom="1440" w:gutter="0" w:footer="0" w:header="0"/>
        </w:sectPr>
      </w:pPr>
    </w:p>
    <w:bookmarkStart w:id="44" w:name="page45"/>
    <w:bookmarkEnd w:id="4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16"/>
          <w:szCs w:val="16"/>
          <w:color w:val="auto"/>
        </w:rPr>
        <w:t>Under the Supply Agreement, USCN has agreed to sell us certain assay test kits. Our rights to purchase and resell the assay kits is “co-exclusive,” meaning that USCN and its affiliates retain the right to offer, sell, and distribute the kits, and to sell the kits to other third-party distributors. We may sell the kits to our customers for research purposes only, and not for the treatment or diagnosis of any disease, injury, or physical disorder in humans, or in any human clinical trial or other clinical use. We and our customers will not have license or other rights to manufacture or produce any of the kits.</w:t>
      </w:r>
    </w:p>
    <w:p>
      <w:pPr>
        <w:spacing w:after="0" w:line="193" w:lineRule="exact"/>
        <w:rPr>
          <w:sz w:val="20"/>
          <w:szCs w:val="20"/>
          <w:color w:val="auto"/>
        </w:rPr>
      </w:pPr>
    </w:p>
    <w:p>
      <w:pPr>
        <w:ind w:right="400" w:firstLine="567"/>
        <w:spacing w:after="0" w:line="267" w:lineRule="auto"/>
        <w:rPr>
          <w:sz w:val="20"/>
          <w:szCs w:val="20"/>
          <w:color w:val="auto"/>
        </w:rPr>
      </w:pPr>
      <w:r>
        <w:rPr>
          <w:rFonts w:ascii="Arial" w:cs="Arial" w:eastAsia="Arial" w:hAnsi="Arial"/>
          <w:sz w:val="16"/>
          <w:szCs w:val="16"/>
          <w:color w:val="auto"/>
        </w:rPr>
        <w:t>The initial term of the Supply Agreement is five years. The Supply Agreement will automatically renew for successive one year periods, unless either party provides written notice to the other of its desire not to continue the agreement.</w:t>
      </w:r>
    </w:p>
    <w:p>
      <w:pPr>
        <w:spacing w:after="0" w:line="181" w:lineRule="exact"/>
        <w:rPr>
          <w:sz w:val="20"/>
          <w:szCs w:val="20"/>
          <w:color w:val="auto"/>
        </w:rPr>
      </w:pPr>
    </w:p>
    <w:p>
      <w:pPr>
        <w:ind w:right="20" w:firstLine="567"/>
        <w:spacing w:after="0" w:line="269" w:lineRule="auto"/>
        <w:rPr>
          <w:sz w:val="20"/>
          <w:szCs w:val="20"/>
          <w:color w:val="auto"/>
        </w:rPr>
      </w:pPr>
      <w:r>
        <w:rPr>
          <w:rFonts w:ascii="Arial" w:cs="Arial" w:eastAsia="Arial" w:hAnsi="Arial"/>
          <w:sz w:val="15"/>
          <w:szCs w:val="15"/>
          <w:color w:val="auto"/>
        </w:rPr>
        <w:t>We may terminate the Supply Agreement at any time, for any reason or no reason at all, upon sixty (60) days written notice to USCN. USCN may terminate the Supply Agreement if we breach or default in the performance of any of our obligations and the breach or default is not cured within thirty (30) days after a written request from USCN to remedy the breach or default, or if the breach or default cannot be cured within the thirty (30) day period, we fail within that thirty (30) day period to proceed with reasonable promptness to cure the breach. Either party may terminate the Supply Agreement if the other party becomes insolvent or enters into any arrangement or composition with creditors, or makes an assignment for the benefit of creditors; if there is a dissolution, liquidation or winding up of the other party’s business; or if a trustee in bankruptcy is appointed for the assets of the other Party. The termination or expiration of the Supply Agreement will not act as a waiver of any breach of the agreement and will not release either party for any liability or obligation incurred under the agreement through the expiration or termination date.</w:t>
      </w:r>
    </w:p>
    <w:p>
      <w:pPr>
        <w:spacing w:after="0" w:line="183" w:lineRule="exact"/>
        <w:rPr>
          <w:sz w:val="20"/>
          <w:szCs w:val="20"/>
          <w:color w:val="auto"/>
        </w:rPr>
      </w:pPr>
    </w:p>
    <w:p>
      <w:pPr>
        <w:ind w:firstLine="567"/>
        <w:spacing w:after="0" w:line="257" w:lineRule="auto"/>
        <w:rPr>
          <w:sz w:val="20"/>
          <w:szCs w:val="20"/>
          <w:color w:val="auto"/>
        </w:rPr>
      </w:pPr>
      <w:r>
        <w:rPr>
          <w:rFonts w:ascii="Arial" w:cs="Arial" w:eastAsia="Arial" w:hAnsi="Arial"/>
          <w:sz w:val="16"/>
          <w:szCs w:val="16"/>
          <w:color w:val="auto"/>
        </w:rPr>
        <w:t>Upon termination of the Supply Agreement, USCN shall have the right, but not the obligation, to repurchase all assay kits that we and our affiliates have remaining in inventory, at the original invoiced cost, plus all costs of shipping, insurance, duties, and taxes incurred in connection with the return shipment. If USCN does not elect to repurchase unsold inventory, we and our affiliates may continue to sell the remaining inventory.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Asterias Royalty Agreement with Geron</w:t>
      </w:r>
    </w:p>
    <w:p>
      <w:pPr>
        <w:spacing w:after="0" w:line="218" w:lineRule="exact"/>
        <w:rPr>
          <w:sz w:val="20"/>
          <w:szCs w:val="20"/>
          <w:color w:val="auto"/>
        </w:rPr>
      </w:pPr>
    </w:p>
    <w:p>
      <w:pPr>
        <w:ind w:right="80" w:firstLine="567"/>
        <w:spacing w:after="0" w:line="276" w:lineRule="auto"/>
        <w:rPr>
          <w:sz w:val="20"/>
          <w:szCs w:val="20"/>
          <w:color w:val="auto"/>
        </w:rPr>
      </w:pPr>
      <w:r>
        <w:rPr>
          <w:rFonts w:ascii="Arial" w:cs="Arial" w:eastAsia="Arial" w:hAnsi="Arial"/>
          <w:sz w:val="15"/>
          <w:szCs w:val="15"/>
          <w:color w:val="auto"/>
        </w:rPr>
        <w:t>In connection with its acquisition of stem cell assets from Geron, Asterias entered into a Royalty Agreement with Geron pursuant to which Asterias agreed to pay Geron a 4% royalty on net sales (as defined in the Royalty Agreement), by Asterias or any of its affiliates or sales agents, of any products that Asterias develops and commercialize that are covered by the patents Geron contributed to Asterias. In the case of sales of such products by a person other than Asterias or one of its affiliates or sales agents, Asterias will be required to pay Geron 50% of all royalties and cash payments received by it or by its affiliate in respect of a product sale.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Plasma Volume Expanders and Related Products</w:t>
      </w:r>
    </w:p>
    <w:p>
      <w:pPr>
        <w:spacing w:after="0" w:line="210" w:lineRule="exact"/>
        <w:rPr>
          <w:sz w:val="20"/>
          <w:szCs w:val="20"/>
          <w:color w:val="auto"/>
        </w:rPr>
      </w:pPr>
    </w:p>
    <w:p>
      <w:pPr>
        <w:ind w:right="80" w:firstLine="567"/>
        <w:spacing w:after="0" w:line="201" w:lineRule="auto"/>
        <w:rPr>
          <w:sz w:val="20"/>
          <w:szCs w:val="20"/>
          <w:color w:val="auto"/>
        </w:rPr>
      </w:pPr>
      <w:r>
        <w:rPr>
          <w:rFonts w:ascii="Arial" w:cs="Arial" w:eastAsia="Arial" w:hAnsi="Arial"/>
          <w:sz w:val="14"/>
          <w:szCs w:val="14"/>
          <w:color w:val="auto"/>
        </w:rPr>
        <w:t xml:space="preserve">Our business was initially focused on blood plasma volume expanders and related technology for use in surgery, emergency trauma treatment, and other applications. Our first product, </w:t>
      </w:r>
      <w:r>
        <w:rPr>
          <w:rFonts w:ascii="Arial" w:cs="Arial" w:eastAsia="Arial" w:hAnsi="Arial"/>
          <w:sz w:val="14"/>
          <w:szCs w:val="14"/>
          <w:i w:val="1"/>
          <w:iCs w:val="1"/>
          <w:color w:val="auto"/>
        </w:rPr>
        <w:t>Hextend</w:t>
      </w:r>
      <w:r>
        <w:rPr>
          <w:rFonts w:ascii="Arial" w:cs="Arial" w:eastAsia="Arial" w:hAnsi="Arial"/>
          <w:sz w:val="20"/>
          <w:szCs w:val="20"/>
          <w:color w:val="auto"/>
          <w:vertAlign w:val="superscript"/>
        </w:rPr>
        <w:t>®</w:t>
      </w:r>
      <w:r>
        <w:rPr>
          <w:rFonts w:ascii="Arial" w:cs="Arial" w:eastAsia="Arial" w:hAnsi="Arial"/>
          <w:sz w:val="14"/>
          <w:szCs w:val="14"/>
          <w:color w:val="auto"/>
        </w:rPr>
        <w:t>, is a physiologically balanced blood plasma volume expander used for the treatment of hypovolemia, a condition caused by low blood volume, often due to</w:t>
      </w:r>
    </w:p>
    <w:p>
      <w:pPr>
        <w:ind w:right="100"/>
        <w:spacing w:after="0" w:line="195" w:lineRule="auto"/>
        <w:rPr>
          <w:sz w:val="20"/>
          <w:szCs w:val="20"/>
          <w:color w:val="auto"/>
        </w:rPr>
      </w:pPr>
      <w:r>
        <w:rPr>
          <w:rFonts w:ascii="Arial" w:cs="Arial" w:eastAsia="Arial" w:hAnsi="Arial"/>
          <w:sz w:val="14"/>
          <w:szCs w:val="14"/>
          <w:color w:val="auto"/>
        </w:rPr>
        <w:t xml:space="preserve">blood loss during surgery or injury. </w:t>
      </w:r>
      <w:r>
        <w:rPr>
          <w:rFonts w:ascii="Arial" w:cs="Arial" w:eastAsia="Arial" w:hAnsi="Arial"/>
          <w:sz w:val="14"/>
          <w:szCs w:val="14"/>
          <w:i w:val="1"/>
          <w:iCs w:val="1"/>
          <w:color w:val="auto"/>
        </w:rPr>
        <w:t>Hextend</w:t>
      </w:r>
      <w:r>
        <w:rPr>
          <w:rFonts w:ascii="Arial" w:cs="Arial" w:eastAsia="Arial" w:hAnsi="Arial"/>
          <w:sz w:val="20"/>
          <w:szCs w:val="20"/>
          <w:color w:val="auto"/>
          <w:vertAlign w:val="superscript"/>
        </w:rPr>
        <w:t>®</w:t>
      </w:r>
      <w:r>
        <w:rPr>
          <w:rFonts w:ascii="Arial" w:cs="Arial" w:eastAsia="Arial" w:hAnsi="Arial"/>
          <w:sz w:val="14"/>
          <w:szCs w:val="14"/>
          <w:color w:val="auto"/>
        </w:rPr>
        <w:t xml:space="preserve"> maintains circulatory system fluid volume and blood pressure and helps sustain vital organs during surgery. </w:t>
      </w:r>
      <w:r>
        <w:rPr>
          <w:rFonts w:ascii="Arial" w:cs="Arial" w:eastAsia="Arial" w:hAnsi="Arial"/>
          <w:sz w:val="14"/>
          <w:szCs w:val="14"/>
          <w:i w:val="1"/>
          <w:iCs w:val="1"/>
          <w:color w:val="auto"/>
        </w:rPr>
        <w:t>Hextend</w:t>
      </w:r>
      <w:r>
        <w:rPr>
          <w:rFonts w:ascii="Arial" w:cs="Arial" w:eastAsia="Arial" w:hAnsi="Arial"/>
          <w:sz w:val="20"/>
          <w:szCs w:val="20"/>
          <w:color w:val="auto"/>
          <w:vertAlign w:val="superscript"/>
        </w:rPr>
        <w:t>®</w:t>
      </w:r>
      <w:r>
        <w:rPr>
          <w:rFonts w:ascii="Arial" w:cs="Arial" w:eastAsia="Arial" w:hAnsi="Arial"/>
          <w:sz w:val="14"/>
          <w:szCs w:val="14"/>
          <w:color w:val="auto"/>
        </w:rPr>
        <w:t>, approved for use in major surgery, is the only blood plasma volume expander that contains lactate, multiple electrolytes, glucose, and a medically approved form of starch called hetastarch.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Hextend</w:t>
      </w:r>
      <w:r>
        <w:rPr>
          <w:rFonts w:ascii="Arial" w:cs="Arial" w:eastAsia="Arial" w:hAnsi="Arial"/>
          <w:sz w:val="20"/>
          <w:szCs w:val="20"/>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is sterile and thus its use avoids the risk of infection. Health insurance reimbursements and HMO coverage now include the cost of</w:t>
      </w:r>
      <w:r>
        <w:rPr>
          <w:rFonts w:ascii="Arial" w:cs="Arial" w:eastAsia="Arial" w:hAnsi="Arial"/>
          <w:sz w:val="14"/>
          <w:szCs w:val="14"/>
          <w:i w:val="1"/>
          <w:iCs w:val="1"/>
          <w:color w:val="auto"/>
        </w:rPr>
        <w:t xml:space="preserve"> Hextend</w:t>
      </w:r>
      <w:r>
        <w:rPr>
          <w:rFonts w:ascii="Arial" w:cs="Arial" w:eastAsia="Arial" w:hAnsi="Arial"/>
          <w:sz w:val="20"/>
          <w:szCs w:val="20"/>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used in surgical procedures.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Hextend</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is manufactured and distributed in the U.S. by Hospira, Inc., and in South Korea by CJ CheilJedang (“CJ”), under license from us.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45" w:name="page46"/>
    <w:bookmarkEnd w:id="4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for Plasma Volume Expanders</w:t>
      </w:r>
    </w:p>
    <w:p>
      <w:pPr>
        <w:spacing w:after="0" w:line="218" w:lineRule="exact"/>
        <w:rPr>
          <w:sz w:val="20"/>
          <w:szCs w:val="20"/>
          <w:color w:val="auto"/>
        </w:rPr>
      </w:pPr>
    </w:p>
    <w:p>
      <w:pPr>
        <w:ind w:right="160" w:firstLine="567"/>
        <w:spacing w:after="0" w:line="296" w:lineRule="auto"/>
        <w:rPr>
          <w:sz w:val="20"/>
          <w:szCs w:val="20"/>
          <w:color w:val="auto"/>
        </w:rPr>
      </w:pPr>
      <w:r>
        <w:rPr>
          <w:rFonts w:ascii="Arial" w:cs="Arial" w:eastAsia="Arial" w:hAnsi="Arial"/>
          <w:sz w:val="14"/>
          <w:szCs w:val="14"/>
          <w:color w:val="auto"/>
        </w:rPr>
        <w:t>Blood transfusions are often necessary during surgical procedures and are sometimes required to treat patients suffering severe blood loss due to traumatic injury. Many surgical and trauma cases do not require blood transfusions but do involve significant bleeding that can place a patient at risk of suffering from shock caused by the loss of fluid volume (or hypovolemia) and physiological balance. Whole blood and packed red cells generally cannot be administered to a patient until the patient’s blood has been typed and sufficient units of compatible blood or red cells can be located. Periodic shortages of supply of donated human blood are not uncommon, and rare blood types are often difficult to locate. The use of human blood products also poses the risk of exposing the patient to blood-borne diseases such as AIDS and hepatitis.</w:t>
      </w:r>
    </w:p>
    <w:p>
      <w:pPr>
        <w:spacing w:after="0" w:line="165" w:lineRule="exact"/>
        <w:rPr>
          <w:sz w:val="20"/>
          <w:szCs w:val="20"/>
          <w:color w:val="auto"/>
        </w:rPr>
      </w:pPr>
    </w:p>
    <w:p>
      <w:pPr>
        <w:ind w:right="20" w:firstLine="567"/>
        <w:spacing w:after="0" w:line="269" w:lineRule="auto"/>
        <w:rPr>
          <w:sz w:val="20"/>
          <w:szCs w:val="20"/>
          <w:color w:val="auto"/>
        </w:rPr>
      </w:pPr>
      <w:r>
        <w:rPr>
          <w:rFonts w:ascii="Arial" w:cs="Arial" w:eastAsia="Arial" w:hAnsi="Arial"/>
          <w:sz w:val="15"/>
          <w:szCs w:val="15"/>
          <w:color w:val="auto"/>
        </w:rPr>
        <w:t>Due to the risks and cost of using human blood products, even when a sufficient supply of compatible blood is available, physicians treating patients suffering blood loss are generally not permitted to transfuse red blood cells until the patient’s level of red blood cells has fallen to a level known as the “transfusion trigger.” During the course of surgery, while blood volume is being lost, the patient is infused with plasma volume expanders to maintain adequate blood circulation. During the surgical procedure, red blood cells are not generally replaced until the patient has lost approximately 45% to 50% of his or her red blood cells, thus reaching the transfusion trigger, at which point the transfusion of red blood cells may be required. After the transfusion of red blood cells, the patient may continue to experience blood volume loss, which will be treated with plasma volume expanders. Even in those patients who do not require a transfusion, physicians routinely administer plasma volume expanders to maintain sufficient fluid volume to permit the available red blood cells to circulate throughout the body and to maintain the patient’s physiological balance.</w:t>
      </w:r>
    </w:p>
    <w:p>
      <w:pPr>
        <w:spacing w:after="0" w:line="183" w:lineRule="exact"/>
        <w:rPr>
          <w:sz w:val="20"/>
          <w:szCs w:val="20"/>
          <w:color w:val="auto"/>
        </w:rPr>
      </w:pPr>
    </w:p>
    <w:p>
      <w:pPr>
        <w:ind w:right="120" w:firstLine="567"/>
        <w:spacing w:after="0" w:line="291" w:lineRule="auto"/>
        <w:rPr>
          <w:sz w:val="20"/>
          <w:szCs w:val="20"/>
          <w:color w:val="auto"/>
        </w:rPr>
      </w:pPr>
      <w:r>
        <w:rPr>
          <w:rFonts w:ascii="Arial" w:cs="Arial" w:eastAsia="Arial" w:hAnsi="Arial"/>
          <w:sz w:val="15"/>
          <w:szCs w:val="15"/>
          <w:color w:val="auto"/>
        </w:rPr>
        <w:t xml:space="preserve">Several units of fluid replacement products are often administered during surgery. The number of units will vary depending upon the amount of blood loss and the kind of plasma volume expander administered. Crystalloid products must be used in larger volumes than those required with colloid products such as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Uses and Benefits of Hextend</w:t>
      </w:r>
      <w:r>
        <w:rPr>
          <w:rFonts w:ascii="Arial" w:cs="Arial" w:eastAsia="Arial" w:hAnsi="Arial"/>
          <w:sz w:val="26"/>
          <w:szCs w:val="26"/>
          <w:b w:val="1"/>
          <w:bCs w:val="1"/>
          <w:color w:val="auto"/>
          <w:vertAlign w:val="superscript"/>
        </w:rPr>
        <w:t>®</w:t>
      </w:r>
    </w:p>
    <w:p>
      <w:pPr>
        <w:spacing w:after="0" w:line="107" w:lineRule="exact"/>
        <w:rPr>
          <w:sz w:val="20"/>
          <w:szCs w:val="20"/>
          <w:color w:val="auto"/>
        </w:rPr>
      </w:pPr>
    </w:p>
    <w:p>
      <w:pPr>
        <w:ind w:right="160" w:firstLine="567"/>
        <w:spacing w:after="0" w:line="201" w:lineRule="auto"/>
        <w:rPr>
          <w:sz w:val="20"/>
          <w:szCs w:val="20"/>
          <w:color w:val="auto"/>
        </w:rPr>
      </w:pPr>
      <w:r>
        <w:rPr>
          <w:rFonts w:ascii="Arial" w:cs="Arial" w:eastAsia="Arial" w:hAnsi="Arial"/>
          <w:sz w:val="16"/>
          <w:szCs w:val="16"/>
          <w:i w:val="1"/>
          <w:iCs w:val="1"/>
          <w:color w:val="auto"/>
        </w:rPr>
        <w:t>Hextend</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formulated to maintain the patient’s tissue and organ function by sustaining the patient’s fluid volume and physiological balance.</w:t>
      </w:r>
      <w:r>
        <w:rPr>
          <w:rFonts w:ascii="Arial" w:cs="Arial" w:eastAsia="Arial" w:hAnsi="Arial"/>
          <w:sz w:val="16"/>
          <w:szCs w:val="16"/>
          <w:i w:val="1"/>
          <w:iCs w:val="1"/>
          <w:color w:val="auto"/>
        </w:rPr>
        <w:t xml:space="preserve"> Hextend</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composed of a hydroxyethyl starch, electrolytes, sugar, and lactate in an aqueous base. Certain clinical test results indicate that </w:t>
      </w:r>
      <w:r>
        <w:rPr>
          <w:rFonts w:ascii="Arial" w:cs="Arial" w:eastAsia="Arial" w:hAnsi="Arial"/>
          <w:sz w:val="16"/>
          <w:szCs w:val="16"/>
          <w:i w:val="1"/>
          <w:iCs w:val="1"/>
          <w:color w:val="auto"/>
        </w:rPr>
        <w:t>Hextend</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is effective at maintaining blood calcium levels when it is used to replace lost blood volume. Calcium can be a significant factor in regulating blood clotting and cardiac function. Clinical studies have also shown that </w:t>
      </w:r>
      <w:r>
        <w:rPr>
          <w:rFonts w:ascii="Arial" w:cs="Arial" w:eastAsia="Arial" w:hAnsi="Arial"/>
          <w:sz w:val="16"/>
          <w:szCs w:val="16"/>
          <w:i w:val="1"/>
          <w:iCs w:val="1"/>
          <w:color w:val="auto"/>
        </w:rPr>
        <w:t>Hextend</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is better at maintaining the acid-base balance than are saline-based surgical fluids.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Licensing and Sale of Plasma Volume Expander Products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Hospira</w:t>
      </w:r>
    </w:p>
    <w:p>
      <w:pPr>
        <w:spacing w:after="0" w:line="210" w:lineRule="exact"/>
        <w:rPr>
          <w:sz w:val="20"/>
          <w:szCs w:val="20"/>
          <w:color w:val="auto"/>
        </w:rPr>
      </w:pPr>
    </w:p>
    <w:p>
      <w:pPr>
        <w:ind w:right="20" w:firstLine="567"/>
        <w:spacing w:after="0" w:line="188" w:lineRule="auto"/>
        <w:rPr>
          <w:sz w:val="20"/>
          <w:szCs w:val="20"/>
          <w:color w:val="auto"/>
        </w:rPr>
      </w:pPr>
      <w:r>
        <w:rPr>
          <w:rFonts w:ascii="Arial" w:cs="Arial" w:eastAsia="Arial" w:hAnsi="Arial"/>
          <w:sz w:val="15"/>
          <w:szCs w:val="15"/>
          <w:color w:val="auto"/>
        </w:rPr>
        <w:t xml:space="preserve">Hospira has the exclusive right to manufacture and sell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the U.S. and Canada under a license agreement with us. Hospira is presently marketing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in the U.S. Hospira’s license applies to all therapeutic uses other than those involving hypothermic surgery, during which the patient’s body temperature reaches temperatures lower than 12°C (“Hypothermic Use”), or those involving the replacement of substantially all of a patient’s circulating blood volume (“Total Body Washout”).</w:t>
      </w:r>
    </w:p>
    <w:p>
      <w:pPr>
        <w:spacing w:after="0" w:line="194" w:lineRule="exact"/>
        <w:rPr>
          <w:sz w:val="20"/>
          <w:szCs w:val="20"/>
          <w:color w:val="auto"/>
        </w:rPr>
      </w:pPr>
    </w:p>
    <w:p>
      <w:pPr>
        <w:ind w:firstLine="567"/>
        <w:spacing w:after="0" w:line="186" w:lineRule="auto"/>
        <w:rPr>
          <w:sz w:val="20"/>
          <w:szCs w:val="20"/>
          <w:color w:val="auto"/>
        </w:rPr>
      </w:pPr>
      <w:r>
        <w:rPr>
          <w:rFonts w:ascii="Arial" w:cs="Arial" w:eastAsia="Arial" w:hAnsi="Arial"/>
          <w:sz w:val="15"/>
          <w:szCs w:val="15"/>
          <w:color w:val="auto"/>
        </w:rPr>
        <w:t xml:space="preserve">Hospira pays us a royalty on total annual net sales of </w:t>
      </w:r>
      <w:r>
        <w:rPr>
          <w:rFonts w:ascii="Arial" w:cs="Arial" w:eastAsia="Arial" w:hAnsi="Arial"/>
          <w:sz w:val="15"/>
          <w:szCs w:val="15"/>
          <w:i w:val="1"/>
          <w:iCs w:val="1"/>
          <w:color w:val="auto"/>
        </w:rPr>
        <w:t>Hextend</w:t>
      </w:r>
      <w:r>
        <w:rPr>
          <w:rFonts w:ascii="Arial" w:cs="Arial" w:eastAsia="Arial" w:hAnsi="Arial"/>
          <w:sz w:val="24"/>
          <w:szCs w:val="24"/>
          <w:color w:val="auto"/>
          <w:vertAlign w:val="superscript"/>
        </w:rPr>
        <w:t>®</w:t>
      </w:r>
      <w:r>
        <w:rPr>
          <w:rFonts w:ascii="Arial" w:cs="Arial" w:eastAsia="Arial" w:hAnsi="Arial"/>
          <w:sz w:val="15"/>
          <w:szCs w:val="15"/>
          <w:color w:val="auto"/>
        </w:rPr>
        <w:t xml:space="preserve">. The royalty rate is 5% plus an additional 0.22% for each $1,000,000 of annual net sales, up to a maximum royalty rate of 36%. The royalty rate for each year is applied on a total net sales basis. Hospira’s obligation to pay royalties on sales of </w:t>
      </w:r>
      <w:r>
        <w:rPr>
          <w:rFonts w:ascii="Arial" w:cs="Arial" w:eastAsia="Arial" w:hAnsi="Arial"/>
          <w:sz w:val="15"/>
          <w:szCs w:val="15"/>
          <w:i w:val="1"/>
          <w:iCs w:val="1"/>
          <w:color w:val="auto"/>
        </w:rPr>
        <w:t>Hextend</w:t>
      </w:r>
      <w:r>
        <w:rPr>
          <w:rFonts w:ascii="Arial" w:cs="Arial" w:eastAsia="Arial" w:hAnsi="Arial"/>
          <w:sz w:val="24"/>
          <w:szCs w:val="24"/>
          <w:color w:val="auto"/>
          <w:vertAlign w:val="superscript"/>
        </w:rPr>
        <w:t>®</w:t>
      </w:r>
      <w:r>
        <w:rPr>
          <w:rFonts w:ascii="Arial" w:cs="Arial" w:eastAsia="Arial" w:hAnsi="Arial"/>
          <w:sz w:val="15"/>
          <w:szCs w:val="15"/>
          <w:color w:val="auto"/>
        </w:rPr>
        <w:t xml:space="preserve"> will expire on a country-by-country basis when all patents protecting </w:t>
      </w:r>
      <w:r>
        <w:rPr>
          <w:rFonts w:ascii="Arial" w:cs="Arial" w:eastAsia="Arial" w:hAnsi="Arial"/>
          <w:sz w:val="15"/>
          <w:szCs w:val="15"/>
          <w:i w:val="1"/>
          <w:iCs w:val="1"/>
          <w:color w:val="auto"/>
        </w:rPr>
        <w:t>Hextend</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 the applicable country expire and any third party obtains certain regulatory approvals to market a generic equivalent product in that country. The relevant composition patents begin to expire in 2014 and the relevant methods of use patents expire in 2019.</w:t>
      </w:r>
    </w:p>
    <w:p>
      <w:pPr>
        <w:spacing w:after="0" w:line="202" w:lineRule="exact"/>
        <w:rPr>
          <w:sz w:val="20"/>
          <w:szCs w:val="20"/>
          <w:color w:val="auto"/>
        </w:rPr>
      </w:pPr>
    </w:p>
    <w:p>
      <w:pPr>
        <w:ind w:right="40" w:firstLine="567"/>
        <w:spacing w:after="0" w:line="298" w:lineRule="auto"/>
        <w:rPr>
          <w:sz w:val="20"/>
          <w:szCs w:val="20"/>
          <w:color w:val="auto"/>
        </w:rPr>
      </w:pPr>
      <w:r>
        <w:rPr>
          <w:rFonts w:ascii="Arial" w:cs="Arial" w:eastAsia="Arial" w:hAnsi="Arial"/>
          <w:sz w:val="14"/>
          <w:szCs w:val="14"/>
          <w:color w:val="auto"/>
        </w:rPr>
        <w:t xml:space="preserve">We have the right to convert Hospira’s exclusive license to a non-exclusive license or to terminate the license outright if certain minimum sales and royalty payments are not met. In order to terminate the license outright, we would pay a termination fee in an amount ranging from the milestone payments we received to an amount equal to three times the prior year’s net sales, depending upon when termination occurs. Hospira has agreed to manufacture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for sale by us in the event that the exclusive license is terminated.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6" w:name="page47"/>
    <w:bookmarkEnd w:id="4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100" w:firstLine="567"/>
        <w:spacing w:after="0" w:line="239" w:lineRule="auto"/>
        <w:rPr>
          <w:sz w:val="20"/>
          <w:szCs w:val="20"/>
          <w:color w:val="auto"/>
        </w:rPr>
      </w:pPr>
      <w:r>
        <w:rPr>
          <w:rFonts w:ascii="Arial" w:cs="Arial" w:eastAsia="Arial" w:hAnsi="Arial"/>
          <w:sz w:val="15"/>
          <w:szCs w:val="15"/>
          <w:color w:val="auto"/>
        </w:rPr>
        <w:t xml:space="preserve">Hospira has certain rights to acquire additional licenses to manufacture and sell our other plasma expander products in their market territory. If Hospira exercises these rights to acquire a license to sell such products for uses other than Hypothermic Use or Total Body Washout, in addition to paying royalties, Hospira will be obligated to pay a license fee based upon our direct and indirect research, development, and other costs allocable to the new product. If Hospira desires to acquire a license to sell any of our products for use in Hypothermic Surgery or Total Body Washout, the license fees and other terms of the license will be subject to negotiation between the parties. For the purpose of determining the applicable royalty rates, net sales of any such new products licensed by Hospira will be aggregated with sales of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If Hospira does not exercise its right to acquire a new product license, we may manufacture and sell the product ourselves or we may license others to do so.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CJ</w:t>
      </w:r>
    </w:p>
    <w:p>
      <w:pPr>
        <w:spacing w:after="0" w:line="210" w:lineRule="exact"/>
        <w:rPr>
          <w:sz w:val="20"/>
          <w:szCs w:val="20"/>
          <w:color w:val="auto"/>
        </w:rPr>
      </w:pPr>
    </w:p>
    <w:p>
      <w:pPr>
        <w:ind w:right="40" w:firstLine="567"/>
        <w:spacing w:after="0" w:line="186" w:lineRule="auto"/>
        <w:rPr>
          <w:sz w:val="20"/>
          <w:szCs w:val="20"/>
          <w:color w:val="auto"/>
        </w:rPr>
      </w:pPr>
      <w:r>
        <w:rPr>
          <w:rFonts w:ascii="Arial" w:cs="Arial" w:eastAsia="Arial" w:hAnsi="Arial"/>
          <w:sz w:val="15"/>
          <w:szCs w:val="15"/>
          <w:color w:val="auto"/>
        </w:rPr>
        <w:t xml:space="preserve">CJ markets </w:t>
      </w:r>
      <w:r>
        <w:rPr>
          <w:rFonts w:ascii="Arial" w:cs="Arial" w:eastAsia="Arial" w:hAnsi="Arial"/>
          <w:sz w:val="15"/>
          <w:szCs w:val="15"/>
          <w:i w:val="1"/>
          <w:iCs w:val="1"/>
          <w:color w:val="auto"/>
        </w:rPr>
        <w:t>Hextend</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 South Korea under an exclusive license from us. CJ paid us a license fee to acquire their right to market </w:t>
      </w:r>
      <w:r>
        <w:rPr>
          <w:rFonts w:ascii="Arial" w:cs="Arial" w:eastAsia="Arial" w:hAnsi="Arial"/>
          <w:sz w:val="15"/>
          <w:szCs w:val="15"/>
          <w:i w:val="1"/>
          <w:iCs w:val="1"/>
          <w:color w:val="auto"/>
        </w:rPr>
        <w:t>Hextend</w:t>
      </w:r>
      <w:r>
        <w:rPr>
          <w:rFonts w:ascii="Arial" w:cs="Arial" w:eastAsia="Arial" w:hAnsi="Arial"/>
          <w:sz w:val="24"/>
          <w:szCs w:val="24"/>
          <w:color w:val="auto"/>
          <w:vertAlign w:val="superscript"/>
        </w:rPr>
        <w:t>®</w:t>
      </w:r>
      <w:r>
        <w:rPr>
          <w:rFonts w:ascii="Arial" w:cs="Arial" w:eastAsia="Arial" w:hAnsi="Arial"/>
          <w:sz w:val="15"/>
          <w:szCs w:val="15"/>
          <w:color w:val="auto"/>
        </w:rPr>
        <w:t xml:space="preserve">. CJ also pays us a royalty on sales of </w:t>
      </w:r>
      <w:r>
        <w:rPr>
          <w:rFonts w:ascii="Arial" w:cs="Arial" w:eastAsia="Arial" w:hAnsi="Arial"/>
          <w:sz w:val="15"/>
          <w:szCs w:val="15"/>
          <w:i w:val="1"/>
          <w:iCs w:val="1"/>
          <w:color w:val="auto"/>
        </w:rPr>
        <w:t>Hextend</w:t>
      </w:r>
      <w:r>
        <w:rPr>
          <w:rFonts w:ascii="Arial" w:cs="Arial" w:eastAsia="Arial" w:hAnsi="Arial"/>
          <w:sz w:val="24"/>
          <w:szCs w:val="24"/>
          <w:color w:val="auto"/>
          <w:vertAlign w:val="superscript"/>
        </w:rPr>
        <w:t>®</w:t>
      </w:r>
      <w:r>
        <w:rPr>
          <w:rFonts w:ascii="Arial" w:cs="Arial" w:eastAsia="Arial" w:hAnsi="Arial"/>
          <w:sz w:val="15"/>
          <w:szCs w:val="15"/>
          <w:color w:val="auto"/>
        </w:rPr>
        <w:t xml:space="preserve">. The royalty will range from $1.30 to $2.60 per 500 ml unit of product sold, depending upon the price approved by Korea’s National Health Insurance. CJ is also responsible for obtaining the regulatory approvals required to manufacture and market </w:t>
      </w:r>
      <w:r>
        <w:rPr>
          <w:rFonts w:ascii="Arial" w:cs="Arial" w:eastAsia="Arial" w:hAnsi="Arial"/>
          <w:sz w:val="15"/>
          <w:szCs w:val="15"/>
          <w:i w:val="1"/>
          <w:iCs w:val="1"/>
          <w:color w:val="auto"/>
        </w:rPr>
        <w:t>PentaLyte</w:t>
      </w:r>
      <w:r>
        <w:rPr>
          <w:rFonts w:ascii="Arial" w:cs="Arial" w:eastAsia="Arial" w:hAnsi="Arial"/>
          <w:sz w:val="24"/>
          <w:szCs w:val="24"/>
          <w:color w:val="auto"/>
          <w:vertAlign w:val="superscript"/>
        </w:rPr>
        <w:t>®</w:t>
      </w:r>
      <w:r>
        <w:rPr>
          <w:rFonts w:ascii="Arial" w:cs="Arial" w:eastAsia="Arial" w:hAnsi="Arial"/>
          <w:sz w:val="15"/>
          <w:szCs w:val="15"/>
          <w:color w:val="auto"/>
        </w:rPr>
        <w:t>, including conducting any clinical trials that may be required, and will bear all related costs and expenses.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Major Customers</w:t>
      </w:r>
    </w:p>
    <w:p>
      <w:pPr>
        <w:spacing w:after="0" w:line="214" w:lineRule="exact"/>
        <w:rPr>
          <w:sz w:val="20"/>
          <w:szCs w:val="20"/>
          <w:color w:val="auto"/>
        </w:rPr>
      </w:pPr>
    </w:p>
    <w:p>
      <w:pPr>
        <w:ind w:right="40" w:firstLine="567"/>
        <w:spacing w:after="0" w:line="262" w:lineRule="auto"/>
        <w:rPr>
          <w:sz w:val="20"/>
          <w:szCs w:val="20"/>
          <w:color w:val="auto"/>
        </w:rPr>
      </w:pPr>
      <w:r>
        <w:rPr>
          <w:rFonts w:ascii="Arial" w:cs="Arial" w:eastAsia="Arial" w:hAnsi="Arial"/>
          <w:sz w:val="14"/>
          <w:szCs w:val="14"/>
          <w:color w:val="auto"/>
        </w:rPr>
        <w:t xml:space="preserve">During 2013, 2012, and 2011, all of our royalty revenues were generated through sales of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by Hospira in the U.S. and by CJ in the Republic of Korea. We also earned license fees from CJ and Summit Pharmaceuticals International Corporation (“Summit”). We received the license fees from CJ and Summit during the years 2003 -2005. Full recognition of the revenues derived from those license fees was deferred and revenues have been recognized over the lives of the respective contracts, which had been estimated to last until approximately 2019 based on the current expected life of the governing patent covering our products in Korea and Japan. However, we recognized the unamortized balance of the Summit license fees during the fourth quarter of 2013 as a result of the termination of our license agreements with Summit. The following table shows revenues paid by customers that were recognized during the past three fiscal years and that accounted for 5% or more of our total annual revenues.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40" w:type="dxa"/>
            <w:vAlign w:val="bottom"/>
          </w:tcPr>
          <w:p>
            <w:pPr>
              <w:spacing w:after="0"/>
              <w:rPr>
                <w:sz w:val="18"/>
                <w:szCs w:val="18"/>
                <w:color w:val="auto"/>
              </w:rPr>
            </w:pPr>
          </w:p>
        </w:tc>
        <w:tc>
          <w:tcPr>
            <w:tcW w:w="400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6"/>
                <w:szCs w:val="16"/>
                <w:b w:val="1"/>
                <w:bCs w:val="1"/>
                <w:color w:val="auto"/>
                <w:w w:val="91"/>
              </w:rPr>
              <w:t>% of Total Revenues for the Year Ending December 31,</w:t>
            </w:r>
          </w:p>
        </w:tc>
      </w:tr>
      <w:tr>
        <w:trPr>
          <w:trHeight w:val="193"/>
        </w:trPr>
        <w:tc>
          <w:tcPr>
            <w:tcW w:w="7440" w:type="dxa"/>
            <w:vAlign w:val="bottom"/>
          </w:tcPr>
          <w:p>
            <w:pPr>
              <w:spacing w:after="0"/>
              <w:rPr>
                <w:sz w:val="20"/>
                <w:szCs w:val="20"/>
                <w:color w:val="auto"/>
              </w:rPr>
            </w:pPr>
            <w:r>
              <w:rPr>
                <w:rFonts w:ascii="Arial" w:cs="Arial" w:eastAsia="Arial" w:hAnsi="Arial"/>
                <w:sz w:val="16"/>
                <w:szCs w:val="16"/>
                <w:b w:val="1"/>
                <w:bCs w:val="1"/>
                <w:color w:val="auto"/>
              </w:rPr>
              <w:t>Licensee</w:t>
            </w:r>
          </w:p>
        </w:tc>
        <w:tc>
          <w:tcPr>
            <w:tcW w:w="1280" w:type="dxa"/>
            <w:vAlign w:val="bottom"/>
          </w:tcPr>
          <w:p>
            <w:pPr>
              <w:jc w:val="right"/>
              <w:ind w:right="421"/>
              <w:spacing w:after="0"/>
              <w:rPr>
                <w:sz w:val="20"/>
                <w:szCs w:val="20"/>
                <w:color w:val="auto"/>
              </w:rPr>
            </w:pPr>
            <w:r>
              <w:rPr>
                <w:rFonts w:ascii="Arial" w:cs="Arial" w:eastAsia="Arial" w:hAnsi="Arial"/>
                <w:sz w:val="16"/>
                <w:szCs w:val="16"/>
                <w:b w:val="1"/>
                <w:bCs w:val="1"/>
                <w:color w:val="auto"/>
              </w:rPr>
              <w:t>2013</w:t>
            </w:r>
          </w:p>
        </w:tc>
        <w:tc>
          <w:tcPr>
            <w:tcW w:w="1360" w:type="dxa"/>
            <w:vAlign w:val="bottom"/>
            <w:gridSpan w:val="2"/>
          </w:tcPr>
          <w:p>
            <w:pPr>
              <w:jc w:val="right"/>
              <w:ind w:right="401"/>
              <w:spacing w:after="0"/>
              <w:rPr>
                <w:sz w:val="20"/>
                <w:szCs w:val="20"/>
                <w:color w:val="auto"/>
              </w:rPr>
            </w:pPr>
            <w:r>
              <w:rPr>
                <w:rFonts w:ascii="Arial" w:cs="Arial" w:eastAsia="Arial" w:hAnsi="Arial"/>
                <w:sz w:val="16"/>
                <w:szCs w:val="16"/>
                <w:b w:val="1"/>
                <w:bCs w:val="1"/>
                <w:color w:val="auto"/>
              </w:rPr>
              <w:t>2012</w:t>
            </w:r>
          </w:p>
        </w:tc>
        <w:tc>
          <w:tcPr>
            <w:tcW w:w="1360" w:type="dxa"/>
            <w:vAlign w:val="bottom"/>
            <w:gridSpan w:val="2"/>
          </w:tcPr>
          <w:p>
            <w:pPr>
              <w:jc w:val="right"/>
              <w:ind w:right="421"/>
              <w:spacing w:after="0"/>
              <w:rPr>
                <w:sz w:val="20"/>
                <w:szCs w:val="20"/>
                <w:color w:val="auto"/>
              </w:rPr>
            </w:pPr>
            <w:r>
              <w:rPr>
                <w:rFonts w:ascii="Arial" w:cs="Arial" w:eastAsia="Arial" w:hAnsi="Arial"/>
                <w:sz w:val="16"/>
                <w:szCs w:val="16"/>
                <w:b w:val="1"/>
                <w:bCs w:val="1"/>
                <w:color w:val="auto"/>
              </w:rPr>
              <w:t>2011</w:t>
            </w:r>
          </w:p>
        </w:tc>
      </w:tr>
      <w:tr>
        <w:trPr>
          <w:trHeight w:val="189"/>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Hospira</w:t>
            </w:r>
          </w:p>
        </w:tc>
        <w:tc>
          <w:tcPr>
            <w:tcW w:w="128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63%</w:t>
            </w: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CJ</w:t>
            </w:r>
          </w:p>
        </w:tc>
        <w:tc>
          <w:tcPr>
            <w:tcW w:w="1280" w:type="dxa"/>
            <w:vAlign w:val="bottom"/>
          </w:tcPr>
          <w:p>
            <w:pPr>
              <w:jc w:val="right"/>
              <w:ind w:right="381"/>
              <w:spacing w:after="0"/>
              <w:rPr>
                <w:sz w:val="20"/>
                <w:szCs w:val="20"/>
                <w:color w:val="auto"/>
              </w:rPr>
            </w:pPr>
            <w:r>
              <w:rPr>
                <w:rFonts w:ascii="Arial" w:cs="Arial" w:eastAsia="Arial" w:hAnsi="Arial"/>
                <w:sz w:val="16"/>
                <w:szCs w:val="16"/>
                <w:color w:val="auto"/>
              </w:rPr>
              <w:t>3%</w:t>
            </w:r>
          </w:p>
        </w:tc>
        <w:tc>
          <w:tcPr>
            <w:tcW w:w="1360" w:type="dxa"/>
            <w:vAlign w:val="bottom"/>
            <w:gridSpan w:val="2"/>
          </w:tcPr>
          <w:p>
            <w:pPr>
              <w:jc w:val="right"/>
              <w:ind w:right="341"/>
              <w:spacing w:after="0"/>
              <w:rPr>
                <w:sz w:val="20"/>
                <w:szCs w:val="20"/>
                <w:color w:val="auto"/>
              </w:rPr>
            </w:pPr>
            <w:r>
              <w:rPr>
                <w:rFonts w:ascii="Arial" w:cs="Arial" w:eastAsia="Arial" w:hAnsi="Arial"/>
                <w:sz w:val="16"/>
                <w:szCs w:val="16"/>
                <w:color w:val="auto"/>
              </w:rPr>
              <w:t>8%</w:t>
            </w:r>
          </w:p>
        </w:tc>
        <w:tc>
          <w:tcPr>
            <w:tcW w:w="1360" w:type="dxa"/>
            <w:vAlign w:val="bottom"/>
            <w:gridSpan w:val="2"/>
          </w:tcPr>
          <w:p>
            <w:pPr>
              <w:jc w:val="right"/>
              <w:ind w:right="361"/>
              <w:spacing w:after="0"/>
              <w:rPr>
                <w:sz w:val="20"/>
                <w:szCs w:val="20"/>
                <w:color w:val="auto"/>
              </w:rPr>
            </w:pPr>
            <w:r>
              <w:rPr>
                <w:rFonts w:ascii="Arial" w:cs="Arial" w:eastAsia="Arial" w:hAnsi="Arial"/>
                <w:sz w:val="16"/>
                <w:szCs w:val="16"/>
                <w:color w:val="auto"/>
              </w:rPr>
              <w:t>15%</w:t>
            </w:r>
          </w:p>
        </w:tc>
      </w:tr>
      <w:tr>
        <w:trPr>
          <w:trHeight w:val="189"/>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Summit</w:t>
            </w:r>
          </w:p>
        </w:tc>
        <w:tc>
          <w:tcPr>
            <w:tcW w:w="128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35%</w:t>
            </w:r>
          </w:p>
        </w:tc>
        <w:tc>
          <w:tcPr>
            <w:tcW w:w="1360" w:type="dxa"/>
            <w:vAlign w:val="bottom"/>
            <w:gridSpan w:val="2"/>
            <w:shd w:val="clear" w:color="auto" w:fill="CCEEFF"/>
          </w:tcPr>
          <w:p>
            <w:pPr>
              <w:jc w:val="right"/>
              <w:ind w:right="341"/>
              <w:spacing w:after="0"/>
              <w:rPr>
                <w:sz w:val="20"/>
                <w:szCs w:val="20"/>
                <w:color w:val="auto"/>
              </w:rPr>
            </w:pPr>
            <w:r>
              <w:rPr>
                <w:rFonts w:ascii="Arial" w:cs="Arial" w:eastAsia="Arial" w:hAnsi="Arial"/>
                <w:sz w:val="16"/>
                <w:szCs w:val="16"/>
                <w:color w:val="auto"/>
              </w:rPr>
              <w:t>10%</w:t>
            </w:r>
          </w:p>
        </w:tc>
        <w:tc>
          <w:tcPr>
            <w:tcW w:w="1360" w:type="dxa"/>
            <w:vAlign w:val="bottom"/>
            <w:gridSpan w:val="2"/>
            <w:shd w:val="clear" w:color="auto" w:fill="CCEEFF"/>
          </w:tcPr>
          <w:p>
            <w:pPr>
              <w:jc w:val="right"/>
              <w:ind w:right="361"/>
              <w:spacing w:after="0"/>
              <w:rPr>
                <w:sz w:val="20"/>
                <w:szCs w:val="20"/>
                <w:color w:val="auto"/>
              </w:rPr>
            </w:pPr>
            <w:r>
              <w:rPr>
                <w:rFonts w:ascii="Arial" w:cs="Arial" w:eastAsia="Arial" w:hAnsi="Arial"/>
                <w:sz w:val="16"/>
                <w:szCs w:val="16"/>
                <w:color w:val="auto"/>
              </w:rPr>
              <w:t>14%</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Royalty Revenues and License Fees by Geographic Area</w:t>
      </w:r>
    </w:p>
    <w:p>
      <w:pPr>
        <w:spacing w:after="0" w:line="222" w:lineRule="exact"/>
        <w:rPr>
          <w:sz w:val="20"/>
          <w:szCs w:val="20"/>
          <w:color w:val="auto"/>
        </w:rPr>
      </w:pPr>
    </w:p>
    <w:p>
      <w:pPr>
        <w:ind w:right="140" w:firstLine="567"/>
        <w:spacing w:after="0" w:line="221" w:lineRule="auto"/>
        <w:rPr>
          <w:sz w:val="20"/>
          <w:szCs w:val="20"/>
          <w:color w:val="auto"/>
        </w:rPr>
      </w:pPr>
      <w:r>
        <w:rPr>
          <w:rFonts w:ascii="Arial" w:cs="Arial" w:eastAsia="Arial" w:hAnsi="Arial"/>
          <w:sz w:val="16"/>
          <w:szCs w:val="16"/>
          <w:color w:val="auto"/>
        </w:rPr>
        <w:t xml:space="preserve">The principal source of revenues has been from royalties from the sale of our product. During the past three years, we received $541,293, $753,209, and $945,461in royalty payments from Hospira and CJ from the sale of </w:t>
      </w:r>
      <w:r>
        <w:rPr>
          <w:rFonts w:ascii="Arial" w:cs="Arial" w:eastAsia="Arial" w:hAnsi="Arial"/>
          <w:sz w:val="16"/>
          <w:szCs w:val="16"/>
          <w:i w:val="1"/>
          <w:iCs w:val="1"/>
          <w:color w:val="auto"/>
        </w:rPr>
        <w:t>Hextend</w:t>
      </w:r>
      <w:r>
        <w:rPr>
          <w:rFonts w:ascii="Arial" w:cs="Arial" w:eastAsia="Arial" w:hAnsi="Arial"/>
          <w:sz w:val="26"/>
          <w:szCs w:val="26"/>
          <w:color w:val="auto"/>
          <w:vertAlign w:val="superscript"/>
        </w:rPr>
        <w:t>®</w:t>
      </w:r>
      <w:r>
        <w:rPr>
          <w:rFonts w:ascii="Arial" w:cs="Arial" w:eastAsia="Arial" w:hAnsi="Arial"/>
          <w:sz w:val="16"/>
          <w:szCs w:val="16"/>
          <w:color w:val="auto"/>
        </w:rPr>
        <w:t>. In 2013 and 2012, license fee revenues include subscription and advertisement revenues received by LifeMap Sciences. Revenues earned in Asia during 2013 reflect, in part, the recognition of the unamortized balance of the pre-paid Summit license fees, as a result of the termination of our license agreements with them. The following table shows the source of our 2013, 2012, and 2011 royalty and license fee revenues by geographic areas, based on the country of domicile of the licensee: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49"/>
        </w:trPr>
        <w:tc>
          <w:tcPr>
            <w:tcW w:w="7440" w:type="dxa"/>
            <w:vAlign w:val="bottom"/>
            <w:gridSpan w:val="2"/>
          </w:tcPr>
          <w:p>
            <w:pPr>
              <w:spacing w:after="0"/>
              <w:rPr>
                <w:rFonts w:ascii="Arial" w:cs="Arial" w:eastAsia="Arial" w:hAnsi="Arial"/>
                <w:sz w:val="13"/>
                <w:szCs w:val="13"/>
                <w:i w:val="1"/>
                <w:iCs w:val="1"/>
                <w:color w:val="0000EE"/>
              </w:rPr>
            </w:pPr>
            <w:hyperlink w:anchor="page3">
              <w:r>
                <w:rPr>
                  <w:rFonts w:ascii="Arial" w:cs="Arial" w:eastAsia="Arial" w:hAnsi="Arial"/>
                  <w:sz w:val="13"/>
                  <w:szCs w:val="13"/>
                  <w:i w:val="1"/>
                  <w:iCs w:val="1"/>
                  <w:color w:val="0000EE"/>
                </w:rPr>
                <w:t>Table of Contents</w:t>
              </w:r>
            </w:hyperlink>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38"/>
        </w:trPr>
        <w:tc>
          <w:tcPr>
            <w:tcW w:w="880" w:type="dxa"/>
            <w:vAlign w:val="bottom"/>
            <w:tcBorders>
              <w:top w:val="single" w:sz="8" w:color="0000EE"/>
            </w:tcBorders>
          </w:tcPr>
          <w:p>
            <w:pPr>
              <w:spacing w:after="0"/>
              <w:rPr>
                <w:sz w:val="24"/>
                <w:szCs w:val="24"/>
                <w:color w:val="auto"/>
              </w:rPr>
            </w:pPr>
          </w:p>
        </w:tc>
        <w:tc>
          <w:tcPr>
            <w:tcW w:w="6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9"/>
          </w:tcPr>
          <w:p>
            <w:pPr>
              <w:jc w:val="right"/>
              <w:ind w:right="700"/>
              <w:spacing w:after="0"/>
              <w:rPr>
                <w:sz w:val="20"/>
                <w:szCs w:val="20"/>
                <w:color w:val="auto"/>
              </w:rPr>
            </w:pPr>
            <w:r>
              <w:rPr>
                <w:rFonts w:ascii="Arial" w:cs="Arial" w:eastAsia="Arial" w:hAnsi="Arial"/>
                <w:sz w:val="16"/>
                <w:szCs w:val="16"/>
                <w:b w:val="1"/>
                <w:bCs w:val="1"/>
                <w:color w:val="auto"/>
                <w:w w:val="98"/>
              </w:rPr>
              <w:t>Revenues for Year Ending December 31,</w:t>
            </w:r>
          </w:p>
        </w:tc>
      </w:tr>
      <w:tr>
        <w:trPr>
          <w:trHeight w:val="193"/>
        </w:trPr>
        <w:tc>
          <w:tcPr>
            <w:tcW w:w="7440" w:type="dxa"/>
            <w:vAlign w:val="bottom"/>
            <w:gridSpan w:val="2"/>
          </w:tcPr>
          <w:p>
            <w:pPr>
              <w:spacing w:after="0"/>
              <w:rPr>
                <w:sz w:val="20"/>
                <w:szCs w:val="20"/>
                <w:color w:val="auto"/>
              </w:rPr>
            </w:pPr>
            <w:r>
              <w:rPr>
                <w:rFonts w:ascii="Arial" w:cs="Arial" w:eastAsia="Arial" w:hAnsi="Arial"/>
                <w:sz w:val="16"/>
                <w:szCs w:val="16"/>
                <w:b w:val="1"/>
                <w:bCs w:val="1"/>
                <w:color w:val="auto"/>
              </w:rPr>
              <w:t>Geographic Area</w:t>
            </w: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2013</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r>
      <w:tr>
        <w:trPr>
          <w:trHeight w:val="189"/>
        </w:trPr>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Domestic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1,606,945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1,183,638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719,958</w:t>
            </w:r>
          </w:p>
        </w:tc>
        <w:tc>
          <w:tcPr>
            <w:tcW w:w="120" w:type="dxa"/>
            <w:vAlign w:val="bottom"/>
            <w:shd w:val="clear" w:color="auto" w:fill="CCEEFF"/>
          </w:tcPr>
          <w:p>
            <w:pPr>
              <w:spacing w:after="0"/>
              <w:rPr>
                <w:sz w:val="16"/>
                <w:szCs w:val="16"/>
                <w:color w:val="auto"/>
              </w:rPr>
            </w:pPr>
          </w:p>
        </w:tc>
      </w:tr>
      <w:tr>
        <w:trPr>
          <w:trHeight w:val="193"/>
        </w:trPr>
        <w:tc>
          <w:tcPr>
            <w:tcW w:w="7440" w:type="dxa"/>
            <w:vAlign w:val="bottom"/>
            <w:gridSpan w:val="2"/>
          </w:tcPr>
          <w:p>
            <w:pPr>
              <w:spacing w:after="0"/>
              <w:rPr>
                <w:sz w:val="20"/>
                <w:szCs w:val="20"/>
                <w:color w:val="auto"/>
              </w:rPr>
            </w:pPr>
            <w:r>
              <w:rPr>
                <w:rFonts w:ascii="Arial" w:cs="Arial" w:eastAsia="Arial" w:hAnsi="Arial"/>
                <w:sz w:val="16"/>
                <w:szCs w:val="16"/>
                <w:color w:val="auto"/>
              </w:rPr>
              <w:t>Asia</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978,004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258,041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300,680</w:t>
            </w:r>
          </w:p>
        </w:tc>
      </w:tr>
      <w:tr>
        <w:trPr>
          <w:trHeight w:val="189"/>
        </w:trPr>
        <w:tc>
          <w:tcPr>
            <w:tcW w:w="880" w:type="dxa"/>
            <w:vAlign w:val="bottom"/>
            <w:shd w:val="clear" w:color="auto" w:fill="CCEEFF"/>
          </w:tcPr>
          <w:p>
            <w:pPr>
              <w:spacing w:after="0"/>
              <w:rPr>
                <w:sz w:val="16"/>
                <w:szCs w:val="16"/>
                <w:color w:val="auto"/>
              </w:rPr>
            </w:pPr>
          </w:p>
        </w:tc>
        <w:tc>
          <w:tcPr>
            <w:tcW w:w="65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440" w:type="dxa"/>
            <w:vAlign w:val="bottom"/>
            <w:gridSpan w:val="2"/>
          </w:tcPr>
          <w:p>
            <w:pPr>
              <w:spacing w:after="0"/>
              <w:rPr>
                <w:sz w:val="20"/>
                <w:szCs w:val="20"/>
                <w:color w:val="auto"/>
              </w:rPr>
            </w:pPr>
            <w:r>
              <w:rPr>
                <w:rFonts w:ascii="Arial" w:cs="Arial" w:eastAsia="Arial" w:hAnsi="Arial"/>
                <w:sz w:val="16"/>
                <w:szCs w:val="16"/>
                <w:color w:val="auto"/>
              </w:rPr>
              <w:t>Total Revenues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2,584,949</w:t>
            </w:r>
          </w:p>
        </w:tc>
        <w:tc>
          <w:tcPr>
            <w:tcW w:w="24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1,441,679</w:t>
            </w:r>
          </w:p>
        </w:tc>
        <w:tc>
          <w:tcPr>
            <w:tcW w:w="36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1,020,638</w:t>
            </w:r>
          </w:p>
        </w:tc>
      </w:tr>
      <w:tr>
        <w:trPr>
          <w:trHeight w:val="20"/>
        </w:trPr>
        <w:tc>
          <w:tcPr>
            <w:tcW w:w="8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Facilities Required—Stem Cell Products</w:t>
      </w:r>
    </w:p>
    <w:p>
      <w:pPr>
        <w:spacing w:after="0" w:line="218" w:lineRule="exact"/>
        <w:rPr>
          <w:sz w:val="20"/>
          <w:szCs w:val="20"/>
          <w:color w:val="auto"/>
        </w:rPr>
      </w:pPr>
    </w:p>
    <w:p>
      <w:pPr>
        <w:ind w:right="160" w:firstLine="567"/>
        <w:spacing w:after="0" w:line="257" w:lineRule="auto"/>
        <w:rPr>
          <w:sz w:val="20"/>
          <w:szCs w:val="20"/>
          <w:color w:val="auto"/>
        </w:rPr>
      </w:pPr>
      <w:r>
        <w:rPr>
          <w:rFonts w:ascii="Arial" w:cs="Arial" w:eastAsia="Arial" w:hAnsi="Arial"/>
          <w:sz w:val="16"/>
          <w:szCs w:val="16"/>
          <w:color w:val="auto"/>
        </w:rPr>
        <w:t>We lease a 19,000 square-foot building in Alameda, California. The building is cGMP-capable and has previously been certified as Class 1,000 and Class 10,000 laboratory space, and includes cell culture and manufacturing equipment previously validated for use in the cGMP of cell-based products. Our subsidiaries, OncoCyte, OrthoCyte, and ReCyte Therapeutics are also conducting their research and development activities at our Alameda facility.</w:t>
      </w:r>
    </w:p>
    <w:p>
      <w:pPr>
        <w:spacing w:after="0" w:line="189" w:lineRule="exact"/>
        <w:rPr>
          <w:sz w:val="20"/>
          <w:szCs w:val="20"/>
          <w:color w:val="auto"/>
        </w:rPr>
      </w:pPr>
    </w:p>
    <w:p>
      <w:pPr>
        <w:ind w:right="20" w:firstLine="567"/>
        <w:spacing w:after="0" w:line="257" w:lineRule="auto"/>
        <w:rPr>
          <w:sz w:val="20"/>
          <w:szCs w:val="20"/>
          <w:color w:val="auto"/>
        </w:rPr>
      </w:pPr>
      <w:r>
        <w:rPr>
          <w:rFonts w:ascii="Arial" w:cs="Arial" w:eastAsia="Arial" w:hAnsi="Arial"/>
          <w:sz w:val="16"/>
          <w:szCs w:val="16"/>
          <w:color w:val="auto"/>
        </w:rPr>
        <w:t>ESI had leased approximately 125 square meters of laboratory space in Singapore that ESI used as a manufacturing and shipping point for sales in parts of Asia through February 28, 2014. ESI will continue to pursue our ongoing plans to establish new laboratory facilities in Singapore for manufacturing and distribution of ESI BIO research products in Asia.</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Cell Cure Neurosciences leases approximately 290 square meters of office and laboratory space located at Hadassah Ein Kerem, in Jerusalem, Israel.</w:t>
      </w:r>
    </w:p>
    <w:p>
      <w:pPr>
        <w:spacing w:after="0" w:line="218" w:lineRule="exact"/>
        <w:rPr>
          <w:sz w:val="20"/>
          <w:szCs w:val="20"/>
          <w:color w:val="auto"/>
        </w:rPr>
      </w:pPr>
    </w:p>
    <w:p>
      <w:pPr>
        <w:ind w:right="240" w:firstLine="567"/>
        <w:spacing w:after="0" w:line="253" w:lineRule="auto"/>
        <w:rPr>
          <w:sz w:val="20"/>
          <w:szCs w:val="20"/>
          <w:color w:val="auto"/>
        </w:rPr>
      </w:pPr>
      <w:r>
        <w:rPr>
          <w:rFonts w:ascii="Arial" w:cs="Arial" w:eastAsia="Arial" w:hAnsi="Arial"/>
          <w:sz w:val="16"/>
          <w:szCs w:val="16"/>
          <w:color w:val="auto"/>
        </w:rPr>
        <w:t>We have leased an office and research facility located in Menlo Park, California for use by Asterias. The building on the leased premises contains approximately 24,080 square feet of space. The lease is for a term of three years. Asterias has also entered into a new lease for a 44,000 square foot facility in Fremont, California at which it plans to construct a cGMP compliant facility for the production of its product candidates, using a $4,400,000 tenant improvement allowance from the landlord. Occupancy of the newly leased facility is expected to commence during the fourth quarter of 2014.</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Facilities Required—Plasma Volume Expanders</w:t>
      </w:r>
    </w:p>
    <w:p>
      <w:pPr>
        <w:spacing w:after="0" w:line="218" w:lineRule="exact"/>
        <w:rPr>
          <w:sz w:val="20"/>
          <w:szCs w:val="20"/>
          <w:color w:val="auto"/>
        </w:rPr>
      </w:pPr>
    </w:p>
    <w:p>
      <w:pPr>
        <w:ind w:right="240" w:firstLine="567"/>
        <w:spacing w:after="0" w:line="301" w:lineRule="auto"/>
        <w:rPr>
          <w:sz w:val="20"/>
          <w:szCs w:val="20"/>
          <w:color w:val="auto"/>
        </w:rPr>
      </w:pPr>
      <w:r>
        <w:rPr>
          <w:rFonts w:ascii="Arial" w:cs="Arial" w:eastAsia="Arial" w:hAnsi="Arial"/>
          <w:sz w:val="14"/>
          <w:szCs w:val="14"/>
          <w:color w:val="auto"/>
        </w:rPr>
        <w:t>Any products that are used in clinical trials for regulatory approval in the U.S. or abroad, or that are approved by the FDA or foreign regulatory authorities for marketing have to be manufactured according to cGMP at a facility that has passed regulatory inspection. In addition, products that are approved for sale will have to be manufactured in commercial quantities, and with sufficient stability to withstand the distribution process, and in compliance with such domestic and foreign regulatory requirements as may be applicable. The active ingredients and component parts of the products must be of medical grade or themselves be manufactured according to FDA-acceptable cGMP.</w:t>
      </w:r>
    </w:p>
    <w:p>
      <w:pPr>
        <w:spacing w:after="0" w:line="153" w:lineRule="exact"/>
        <w:rPr>
          <w:sz w:val="20"/>
          <w:szCs w:val="20"/>
          <w:color w:val="auto"/>
        </w:rPr>
      </w:pPr>
    </w:p>
    <w:p>
      <w:pPr>
        <w:ind w:right="80" w:firstLine="567"/>
        <w:spacing w:after="0" w:line="213" w:lineRule="auto"/>
        <w:rPr>
          <w:sz w:val="20"/>
          <w:szCs w:val="20"/>
          <w:color w:val="auto"/>
        </w:rPr>
      </w:pPr>
      <w:r>
        <w:rPr>
          <w:rFonts w:ascii="Arial" w:cs="Arial" w:eastAsia="Arial" w:hAnsi="Arial"/>
          <w:sz w:val="15"/>
          <w:szCs w:val="15"/>
          <w:color w:val="auto"/>
        </w:rPr>
        <w:t xml:space="preserve">Hospira manufactures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use in the North American market, and CJ manufactures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for use in South Korea. Hospira and CJ have the facilities to manufacture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our other products in commercial quantities. If Hospira and CJ choose not to manufacture and market other BioTime products, other manufacturers will have to be identified that would be willing to manufacture products for us or any licensee of our products as we do not have facilities to manufacture our plasma volume expander products in commercial quantities, or under cGMP. Acquiring a manufacturing facility would involve significant expenditure of time and money for design and construction of the facility, purchasing equipment, hiring and training a production staff, purchasing raw material, and attaining an efficient level of production. Although we have not determined the cost of constructing production facilities that meet FDA requirements, we expect that the cost would be substantial, and that we would need to raise additional capital in the future for that purpose. To avoid the incurrence of those expenses and delays, we are relying on Hospira and CJ for the production of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but there can be no assurance that satisfactory arrangements will be made for any new products that we may develop.</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48" w:name="page49"/>
    <w:bookmarkEnd w:id="4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Raw Materials—Plasma Volume Expanders</w:t>
      </w:r>
    </w:p>
    <w:p>
      <w:pPr>
        <w:spacing w:after="0" w:line="218" w:lineRule="exact"/>
        <w:rPr>
          <w:sz w:val="20"/>
          <w:szCs w:val="20"/>
          <w:color w:val="auto"/>
        </w:rPr>
      </w:pPr>
    </w:p>
    <w:p>
      <w:pPr>
        <w:ind w:right="80" w:firstLine="567"/>
        <w:spacing w:after="0" w:line="245" w:lineRule="auto"/>
        <w:rPr>
          <w:sz w:val="20"/>
          <w:szCs w:val="20"/>
          <w:color w:val="auto"/>
        </w:rPr>
      </w:pPr>
      <w:r>
        <w:rPr>
          <w:rFonts w:ascii="Arial" w:cs="Arial" w:eastAsia="Arial" w:hAnsi="Arial"/>
          <w:sz w:val="14"/>
          <w:szCs w:val="14"/>
          <w:color w:val="auto"/>
        </w:rPr>
        <w:t xml:space="preserve">Although most ingredients in the products we are developing are readily obtainable from multiple sources, we know of only a few manufacturers of the hydroxyethyl starches that serve as the primary drug substance in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Hospira and CJ presently have a source of supply of the hydroxyethyl starch used in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have agreed to maintain a supply sufficient to meet market demand for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the countries in which they market the product. We believe that we will be able to obtain a sufficient supply of starch for our needs in the foreseeable future, although we do not have supply agreements in place. If for any reason a sufficient supply of hydroxyethyl starch could not be obtained, we or a licensee would have to acquire a manufacturing facility and the technology to produce the hydroxyethyl starch according to cGMP. We would have to raise additional capital to participate in the development and acquisition of the necessary production technology and facilities, which may not be feasible. The use of a different hydroxyethyl starch could require us or a licensee to conduct additional clinical trials for FDA or foreign regulatory approval to market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with the new starch.</w:t>
      </w:r>
    </w:p>
    <w:p>
      <w:pPr>
        <w:spacing w:after="0" w:line="69" w:lineRule="exact"/>
        <w:rPr>
          <w:sz w:val="20"/>
          <w:szCs w:val="20"/>
          <w:color w:val="auto"/>
        </w:rPr>
      </w:pPr>
    </w:p>
    <w:p>
      <w:pPr>
        <w:ind w:firstLine="567"/>
        <w:spacing w:after="0" w:line="250" w:lineRule="auto"/>
        <w:rPr>
          <w:sz w:val="20"/>
          <w:szCs w:val="20"/>
          <w:color w:val="auto"/>
        </w:rPr>
      </w:pPr>
      <w:r>
        <w:rPr>
          <w:rFonts w:ascii="Arial" w:cs="Arial" w:eastAsia="Arial" w:hAnsi="Arial"/>
          <w:sz w:val="16"/>
          <w:szCs w:val="16"/>
          <w:color w:val="auto"/>
        </w:rPr>
        <w:t>If arrangements cannot be made for a source of supply of hydroxyethyl starch, we would have to reformulate our solutions to use one or more other starches that are more readily available. In order to reformulate our products, we would have to perform new laboratory and clinical testing to determine whether the alternative starches could be used in a safe and effective synthetic plasma volume expander, low-temperature blood substitute, or organ preservation solution. We or our licensees would also have to obtain new regulatory approvals from the FDA and foreign regulatory agencies to market the reformulated product. If needed, such testing and regulatory approvals would require the incurrence of substantial cost and delay, and there is no certainty that any such testing would demonstrate that an alternative ingredient, even if chemically similar to the one currently used, would be safe or effective.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Marketing</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Stem Cell Research Products</w:t>
      </w:r>
    </w:p>
    <w:p>
      <w:pPr>
        <w:spacing w:after="0" w:line="213" w:lineRule="exact"/>
        <w:rPr>
          <w:sz w:val="20"/>
          <w:szCs w:val="20"/>
          <w:color w:val="auto"/>
        </w:rPr>
      </w:pPr>
    </w:p>
    <w:p>
      <w:pPr>
        <w:ind w:right="100" w:firstLine="567"/>
        <w:spacing w:after="0" w:line="225" w:lineRule="auto"/>
        <w:rPr>
          <w:sz w:val="20"/>
          <w:szCs w:val="20"/>
          <w:color w:val="auto"/>
        </w:rPr>
      </w:pPr>
      <w:r>
        <w:rPr>
          <w:rFonts w:ascii="Arial" w:cs="Arial" w:eastAsia="Arial" w:hAnsi="Arial"/>
          <w:sz w:val="15"/>
          <w:szCs w:val="15"/>
          <w:color w:val="auto"/>
        </w:rPr>
        <w:t xml:space="preserve">Our products for use in stem cell research are being offered through our ESI BIO division, and our marketing of existing sub-brands </w:t>
      </w:r>
      <w:r>
        <w:rPr>
          <w:rFonts w:ascii="Arial" w:cs="Arial" w:eastAsia="Arial" w:hAnsi="Arial"/>
          <w:sz w:val="15"/>
          <w:szCs w:val="15"/>
          <w:i w:val="1"/>
          <w:iCs w:val="1"/>
          <w:color w:val="auto"/>
        </w:rPr>
        <w:t>PureStem</w:t>
      </w:r>
      <w:r>
        <w:rPr>
          <w:rFonts w:ascii="Arial" w:cs="Arial" w:eastAsia="Arial" w:hAnsi="Arial"/>
          <w:sz w:val="24"/>
          <w:szCs w:val="24"/>
          <w:color w:val="auto"/>
          <w:vertAlign w:val="superscript"/>
        </w:rPr>
        <w:t>®</w:t>
      </w:r>
      <w:r>
        <w:rPr>
          <w:rFonts w:ascii="Arial" w:cs="Arial" w:eastAsia="Arial" w:hAnsi="Arial"/>
          <w:sz w:val="15"/>
          <w:szCs w:val="15"/>
          <w:color w:val="auto"/>
        </w:rPr>
        <w:t xml:space="preserve"> embryonic progenitors, </w:t>
      </w:r>
      <w:r>
        <w:rPr>
          <w:rFonts w:ascii="Arial" w:cs="Arial" w:eastAsia="Arial" w:hAnsi="Arial"/>
          <w:sz w:val="15"/>
          <w:szCs w:val="15"/>
          <w:i w:val="1"/>
          <w:iCs w:val="1"/>
          <w:color w:val="auto"/>
        </w:rPr>
        <w:t>HyStem</w:t>
      </w:r>
      <w:r>
        <w:rPr>
          <w:rFonts w:ascii="Arial" w:cs="Arial" w:eastAsia="Arial" w:hAnsi="Arial"/>
          <w:sz w:val="25"/>
          <w:szCs w:val="25"/>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hydrogel matrix products,</w:t>
      </w:r>
      <w:r>
        <w:rPr>
          <w:rFonts w:ascii="Arial" w:cs="Arial" w:eastAsia="Arial" w:hAnsi="Arial"/>
          <w:sz w:val="15"/>
          <w:szCs w:val="15"/>
          <w:i w:val="1"/>
          <w:iCs w:val="1"/>
          <w:color w:val="auto"/>
        </w:rPr>
        <w:t xml:space="preserve"> ESI </w:t>
      </w:r>
      <w:r>
        <w:rPr>
          <w:rFonts w:ascii="Arial" w:cs="Arial" w:eastAsia="Arial" w:hAnsi="Arial"/>
          <w:sz w:val="15"/>
          <w:szCs w:val="15"/>
          <w:color w:val="auto"/>
        </w:rPr>
        <w:t>cGMP hES cell lines, and our new differentiation and stem cell reprogramming products is being consolidated under the new ESI BIO</w:t>
      </w:r>
      <w:r>
        <w:rPr>
          <w:rFonts w:ascii="Arial" w:cs="Arial" w:eastAsia="Arial" w:hAnsi="Arial"/>
          <w:sz w:val="15"/>
          <w:szCs w:val="15"/>
          <w:i w:val="1"/>
          <w:iCs w:val="1"/>
          <w:color w:val="auto"/>
        </w:rPr>
        <w:t xml:space="preserve"> </w:t>
      </w:r>
      <w:r>
        <w:rPr>
          <w:rFonts w:ascii="Arial" w:cs="Arial" w:eastAsia="Arial" w:hAnsi="Arial"/>
          <w:sz w:val="15"/>
          <w:szCs w:val="15"/>
          <w:color w:val="auto"/>
        </w:rPr>
        <w:t>branding program and through our subsidiary LifeMap Sciences. These research products are being offered to researchers at universities and other institutions, at companies in the bioscience and biopharmaceutical industries, and at other companies that provide research products to companies in those industries. We are focusing our branding program on our product features and strengths of being “translatable” to the clinic, extending to our customers the benefit of an easier transition of their research into clinical applications. We expect our products and technologies for the research market to provide us with a source of revenues more quickly, and with the expenditure of less capital, than our therapeutic products, and to generate therapeutic out-licensing opportunities as well.</w:t>
      </w:r>
    </w:p>
    <w:p>
      <w:pPr>
        <w:spacing w:after="0" w:line="197" w:lineRule="exact"/>
        <w:rPr>
          <w:sz w:val="20"/>
          <w:szCs w:val="20"/>
          <w:color w:val="auto"/>
        </w:rPr>
      </w:pPr>
    </w:p>
    <w:p>
      <w:pPr>
        <w:jc w:val="both"/>
        <w:ind w:right="100" w:firstLine="567"/>
        <w:spacing w:after="0" w:line="232" w:lineRule="auto"/>
        <w:rPr>
          <w:sz w:val="20"/>
          <w:szCs w:val="20"/>
          <w:color w:val="auto"/>
        </w:rPr>
      </w:pPr>
      <w:r>
        <w:rPr>
          <w:rFonts w:ascii="Arial" w:cs="Arial" w:eastAsia="Arial" w:hAnsi="Arial"/>
          <w:sz w:val="15"/>
          <w:szCs w:val="15"/>
          <w:color w:val="auto"/>
        </w:rPr>
        <w:t xml:space="preserve">LifeMap Sciences sells subscriptions to its database products to biotech and pharmaceutical companies worldwide. The </w:t>
      </w:r>
      <w:r>
        <w:rPr>
          <w:rFonts w:ascii="Arial" w:cs="Arial" w:eastAsia="Arial" w:hAnsi="Arial"/>
          <w:sz w:val="15"/>
          <w:szCs w:val="15"/>
          <w:i w:val="1"/>
          <w:iCs w:val="1"/>
          <w:color w:val="auto"/>
        </w:rPr>
        <w:t>LifeMap Discovery</w:t>
      </w:r>
      <w:r>
        <w:rPr>
          <w:rFonts w:ascii="Arial" w:cs="Arial" w:eastAsia="Arial" w:hAnsi="Arial"/>
          <w:sz w:val="25"/>
          <w:szCs w:val="25"/>
          <w:color w:val="auto"/>
          <w:vertAlign w:val="superscript"/>
        </w:rPr>
        <w:t>®</w:t>
      </w:r>
      <w:r>
        <w:rPr>
          <w:rFonts w:ascii="Arial" w:cs="Arial" w:eastAsia="Arial" w:hAnsi="Arial"/>
          <w:sz w:val="15"/>
          <w:szCs w:val="15"/>
          <w:color w:val="auto"/>
        </w:rPr>
        <w:t xml:space="preserve"> data base provides access to available cell-related information and resources necessary to improve stem cell research and development of therapeutics based on regenerative medicine and may promote the sale of our </w:t>
      </w:r>
      <w:r>
        <w:rPr>
          <w:rFonts w:ascii="Arial" w:cs="Arial" w:eastAsia="Arial" w:hAnsi="Arial"/>
          <w:sz w:val="15"/>
          <w:szCs w:val="15"/>
          <w:i w:val="1"/>
          <w:iCs w:val="1"/>
          <w:color w:val="auto"/>
        </w:rPr>
        <w:t>PureStem</w:t>
      </w:r>
      <w:r>
        <w:rPr>
          <w:rFonts w:ascii="Arial" w:cs="Arial" w:eastAsia="Arial" w:hAnsi="Arial"/>
          <w:sz w:val="24"/>
          <w:szCs w:val="24"/>
          <w:color w:val="auto"/>
          <w:vertAlign w:val="superscript"/>
        </w:rPr>
        <w:t>®</w:t>
      </w:r>
      <w:r>
        <w:rPr>
          <w:rFonts w:ascii="Arial" w:cs="Arial" w:eastAsia="Arial" w:hAnsi="Arial"/>
          <w:sz w:val="15"/>
          <w:szCs w:val="15"/>
          <w:color w:val="auto"/>
        </w:rPr>
        <w:t xml:space="preserve"> progenitors by permitting data base users to follow the development of hES cell lines to the purified progenitors state.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market for our stem cell products may be impacted by the amount of government funding available for research in the development of stem cell therapies.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Plasma Volume Expanders</w:t>
      </w:r>
    </w:p>
    <w:p>
      <w:pPr>
        <w:spacing w:after="0" w:line="210" w:lineRule="exact"/>
        <w:rPr>
          <w:sz w:val="20"/>
          <w:szCs w:val="20"/>
          <w:color w:val="auto"/>
        </w:rPr>
      </w:pPr>
    </w:p>
    <w:p>
      <w:pPr>
        <w:ind w:right="760" w:firstLine="567"/>
        <w:spacing w:after="0" w:line="197" w:lineRule="auto"/>
        <w:rPr>
          <w:sz w:val="20"/>
          <w:szCs w:val="20"/>
          <w:color w:val="auto"/>
        </w:rPr>
      </w:pPr>
      <w:r>
        <w:rPr>
          <w:rFonts w:ascii="Arial" w:cs="Arial" w:eastAsia="Arial" w:hAnsi="Arial"/>
          <w:sz w:val="16"/>
          <w:szCs w:val="16"/>
          <w:i w:val="1"/>
          <w:iCs w:val="1"/>
          <w:color w:val="auto"/>
        </w:rPr>
        <w:t>Hextend</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is being distributed in the U.S. by Hospira and in South Korea by CJ under exclusive licenses from us. Hospira also has the right to obtain licenses to</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 and sell our other plasma volume expander products.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9" w:name="page50"/>
    <w:bookmarkEnd w:id="4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240" w:firstLine="567"/>
        <w:spacing w:after="0" w:line="257" w:lineRule="auto"/>
        <w:rPr>
          <w:sz w:val="20"/>
          <w:szCs w:val="20"/>
          <w:color w:val="auto"/>
        </w:rPr>
      </w:pPr>
      <w:r>
        <w:rPr>
          <w:rFonts w:ascii="Arial" w:cs="Arial" w:eastAsia="Arial" w:hAnsi="Arial"/>
          <w:sz w:val="16"/>
          <w:szCs w:val="16"/>
          <w:color w:val="auto"/>
        </w:rPr>
        <w:t xml:space="preserve">Because </w:t>
      </w:r>
      <w:r>
        <w:rPr>
          <w:rFonts w:ascii="Arial" w:cs="Arial" w:eastAsia="Arial" w:hAnsi="Arial"/>
          <w:sz w:val="16"/>
          <w:szCs w:val="16"/>
          <w:i w:val="1"/>
          <w:iCs w:val="1"/>
          <w:color w:val="auto"/>
        </w:rPr>
        <w:t>Hextend</w:t>
      </w:r>
      <w:r>
        <w:rPr>
          <w:rFonts w:ascii="Arial" w:cs="Arial" w:eastAsia="Arial" w:hAnsi="Arial"/>
          <w:sz w:val="16"/>
          <w:szCs w:val="16"/>
          <w:color w:val="auto"/>
        </w:rPr>
        <w:t xml:space="preserve">® is a surgical product, sales efforts must be directed to physicians and hospitals. The </w:t>
      </w:r>
      <w:r>
        <w:rPr>
          <w:rFonts w:ascii="Arial" w:cs="Arial" w:eastAsia="Arial" w:hAnsi="Arial"/>
          <w:sz w:val="16"/>
          <w:szCs w:val="16"/>
          <w:i w:val="1"/>
          <w:iCs w:val="1"/>
          <w:color w:val="auto"/>
        </w:rPr>
        <w:t>Hextend</w:t>
      </w:r>
      <w:r>
        <w:rPr>
          <w:rFonts w:ascii="Arial" w:cs="Arial" w:eastAsia="Arial" w:hAnsi="Arial"/>
          <w:sz w:val="16"/>
          <w:szCs w:val="16"/>
          <w:color w:val="auto"/>
        </w:rPr>
        <w:t xml:space="preserve">® marketing strategy is designed to reach its target customer base through sales calls, through an advertising campaign focused on the use of a plasma-like substance to replace lost blood volume, and on the ability of </w:t>
      </w:r>
      <w:r>
        <w:rPr>
          <w:rFonts w:ascii="Arial" w:cs="Arial" w:eastAsia="Arial" w:hAnsi="Arial"/>
          <w:sz w:val="16"/>
          <w:szCs w:val="16"/>
          <w:i w:val="1"/>
          <w:iCs w:val="1"/>
          <w:color w:val="auto"/>
        </w:rPr>
        <w:t>Hextend</w:t>
      </w:r>
      <w:r>
        <w:rPr>
          <w:rFonts w:ascii="Arial" w:cs="Arial" w:eastAsia="Arial" w:hAnsi="Arial"/>
          <w:sz w:val="16"/>
          <w:szCs w:val="16"/>
          <w:color w:val="auto"/>
        </w:rPr>
        <w:t>® to support vital physiological processes.</w:t>
      </w:r>
    </w:p>
    <w:p>
      <w:pPr>
        <w:spacing w:after="0" w:line="165" w:lineRule="exact"/>
        <w:rPr>
          <w:sz w:val="20"/>
          <w:szCs w:val="20"/>
          <w:color w:val="auto"/>
        </w:rPr>
      </w:pPr>
    </w:p>
    <w:p>
      <w:pPr>
        <w:ind w:right="80" w:firstLine="567"/>
        <w:spacing w:after="0" w:line="250" w:lineRule="auto"/>
        <w:rPr>
          <w:sz w:val="20"/>
          <w:szCs w:val="20"/>
          <w:color w:val="auto"/>
        </w:rPr>
      </w:pPr>
      <w:r>
        <w:rPr>
          <w:rFonts w:ascii="Arial" w:cs="Arial" w:eastAsia="Arial" w:hAnsi="Arial"/>
          <w:sz w:val="16"/>
          <w:szCs w:val="16"/>
          <w:color w:val="auto"/>
        </w:rPr>
        <w:t>As part of the marketing program, a number of studies have been conducted that show the advantages of receiving Hextend® and our other products during surgery. As these studies are completed, the results are presented at medical conferences and articles are written for publication in medical journals. We are also aware of independent studies using Hextend® that are being conducted by physicians and hospitals who may publish their findings in medical journals or report their findings at medical conferences. For example, an independent study in hemodynamically unstable trauma patients conducted at the Ryder Trauma Center at University of Miami reported that initial resuscitation with Hextend® was associated with reduced mortality and no obvious coagulopathy compared to fluid resuscitation without Hextend®. This study was published in the May 2010 issue of the Journal of the American College of Surgeons. The outcome of future medical studies and timing of the publication or presentation of the results could have an effect on Hextend® sales.</w:t>
      </w:r>
    </w:p>
    <w:p>
      <w:pPr>
        <w:spacing w:after="0" w:line="171" w:lineRule="exact"/>
        <w:rPr>
          <w:sz w:val="20"/>
          <w:szCs w:val="20"/>
          <w:color w:val="auto"/>
        </w:rPr>
      </w:pPr>
    </w:p>
    <w:p>
      <w:pPr>
        <w:ind w:right="260" w:firstLine="567"/>
        <w:spacing w:after="0" w:line="276" w:lineRule="auto"/>
        <w:rPr>
          <w:sz w:val="20"/>
          <w:szCs w:val="20"/>
          <w:color w:val="auto"/>
        </w:rPr>
      </w:pPr>
      <w:r>
        <w:rPr>
          <w:rFonts w:ascii="Arial" w:cs="Arial" w:eastAsia="Arial" w:hAnsi="Arial"/>
          <w:sz w:val="15"/>
          <w:szCs w:val="15"/>
          <w:color w:val="auto"/>
        </w:rPr>
        <w:t>Hextend® competes with other products used to treat or prevent hypovolemia, including albumin, generic 6% hetastarch solutions, and crystalloid solutions. The competing products have been commonly used in surgery and trauma care for many years, and in order to sell Hextend®, physicians must be convinced to change their product loyalties. Although albumin is expensive, crystalloid solutions and generic 6% hetastarch solutions sell at low prices. In order to compete with other products, particularly those that sell at lower prices, Hextend® will have to be recognized as providing medically significant advantages.</w:t>
      </w:r>
    </w:p>
    <w:p>
      <w:pPr>
        <w:spacing w:after="0" w:line="152" w:lineRule="exact"/>
        <w:rPr>
          <w:sz w:val="20"/>
          <w:szCs w:val="20"/>
          <w:color w:val="auto"/>
        </w:rPr>
      </w:pPr>
    </w:p>
    <w:p>
      <w:pPr>
        <w:ind w:firstLine="567"/>
        <w:spacing w:after="0" w:line="290" w:lineRule="auto"/>
        <w:rPr>
          <w:sz w:val="20"/>
          <w:szCs w:val="20"/>
          <w:color w:val="auto"/>
        </w:rPr>
      </w:pPr>
      <w:r>
        <w:rPr>
          <w:rFonts w:ascii="Arial" w:cs="Arial" w:eastAsia="Arial" w:hAnsi="Arial"/>
          <w:sz w:val="14"/>
          <w:szCs w:val="14"/>
          <w:color w:val="auto"/>
        </w:rPr>
        <w:t>In addition to price competition, sales of Hextend® could be adversely affected if certain safety labeling changes required by the FDA for the entire class of hydroxyethyl starch products, including Hextend®. The labeling changes were approved by the FDA in November 2013 and include a boxed warning stating that the use of hydroxyethyl starch products, including Hextend®, increases the risk of mortality and renal injury requiring renal replacement therapy in critically ill adult patients, including patients with sepsis, and that Hextend® should not be used in critically ill adult patients, including patients with sepsis. New warning and precaution information is also required along with new information about contraindications, adverse reactions, and information about certain recent studies. The new warning and precautions include statements to the effect that the use of Hextend® should be avoided in patients with pre-existing renal dysfunction, and the coagulation status of patients undergoing open heart surgery in association with cardiopulmonary bypass should be monitored as excess bleeding has been reported with hydroxyethyl starch solutions in that population and use of Hextend® should be discontinued at the first sign of coagulopathy. The liver function of patients receiving hydroxyethyl starch products, including Hextend® should also be monitored.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Therapeutic Products and Medical Devices</w:t>
      </w:r>
    </w:p>
    <w:p>
      <w:pPr>
        <w:spacing w:after="0" w:line="218" w:lineRule="exact"/>
        <w:rPr>
          <w:sz w:val="20"/>
          <w:szCs w:val="20"/>
          <w:color w:val="auto"/>
        </w:rPr>
      </w:pPr>
    </w:p>
    <w:p>
      <w:pPr>
        <w:ind w:right="100" w:firstLine="567"/>
        <w:spacing w:after="0" w:line="276" w:lineRule="auto"/>
        <w:rPr>
          <w:sz w:val="20"/>
          <w:szCs w:val="20"/>
          <w:color w:val="auto"/>
        </w:rPr>
      </w:pPr>
      <w:r>
        <w:rPr>
          <w:rFonts w:ascii="Arial" w:cs="Arial" w:eastAsia="Arial" w:hAnsi="Arial"/>
          <w:sz w:val="15"/>
          <w:szCs w:val="15"/>
          <w:color w:val="auto"/>
        </w:rPr>
        <w:t>Because our planned therapeutic products and medical devices are still in the research and development stage, we and our subsidiaries will not initially need to have our own marketing personnel. If we or our subsidiaries are successful in developing marketable therapeutic products and medical devices we will need to build our own marketing and distribution capability for those products, which would require the investment of significant financial and management resources, or we and our subsidiaries will need to find collaborative marketing partners, independent sales representatives, or wholesale distributors for the commercial sale of those products.</w:t>
      </w:r>
    </w:p>
    <w:p>
      <w:pPr>
        <w:spacing w:after="0" w:line="176" w:lineRule="exact"/>
        <w:rPr>
          <w:sz w:val="20"/>
          <w:szCs w:val="20"/>
          <w:color w:val="auto"/>
        </w:rPr>
      </w:pPr>
    </w:p>
    <w:p>
      <w:pPr>
        <w:ind w:right="60" w:firstLine="567"/>
        <w:spacing w:after="0" w:line="272" w:lineRule="auto"/>
        <w:rPr>
          <w:sz w:val="20"/>
          <w:szCs w:val="20"/>
          <w:color w:val="auto"/>
        </w:rPr>
      </w:pPr>
      <w:r>
        <w:rPr>
          <w:rFonts w:ascii="Arial" w:cs="Arial" w:eastAsia="Arial" w:hAnsi="Arial"/>
          <w:sz w:val="15"/>
          <w:szCs w:val="15"/>
          <w:color w:val="auto"/>
        </w:rPr>
        <w:t>If we market products through arrangements with third parties, we may pay sales commissions to sales representatives or we may sell or consign products to distributors at wholesale prices. This means that our gross profit from product sales may be less than would be the case if we were to sell our products directly to end users at retail prices through our own sales force. On the other hand, selling to distributors or through independent sales representatives would allow us to avoid the cost of hiring and training our own sales employees. There can be no assurance we or any of our subsidiaries will be able to negotiate distribution or sales agreements with third parties on favorable terms to justify our investment in our products or achieve sufficient revenues to support our operations.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0" w:name="page51"/>
    <w:bookmarkEnd w:id="5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Patents and Trade Secrets</w:t>
      </w:r>
    </w:p>
    <w:p>
      <w:pPr>
        <w:spacing w:after="0" w:line="222" w:lineRule="exact"/>
        <w:rPr>
          <w:sz w:val="20"/>
          <w:szCs w:val="20"/>
          <w:color w:val="auto"/>
        </w:rPr>
      </w:pPr>
    </w:p>
    <w:p>
      <w:pPr>
        <w:ind w:firstLine="567"/>
        <w:spacing w:after="0" w:line="296" w:lineRule="auto"/>
        <w:rPr>
          <w:sz w:val="20"/>
          <w:szCs w:val="20"/>
          <w:color w:val="auto"/>
        </w:rPr>
      </w:pPr>
      <w:r>
        <w:rPr>
          <w:rFonts w:ascii="Arial" w:cs="Arial" w:eastAsia="Arial" w:hAnsi="Arial"/>
          <w:sz w:val="14"/>
          <w:szCs w:val="14"/>
          <w:color w:val="auto"/>
        </w:rPr>
        <w:t>We rely primarily on patents and contractual obligations with employees and third parties to protect our proprietary rights. We have sought, and intend to continue to seek, appropriate patent protection for important and strategic components of our proprietary technologies by filing patent applications in the U.S. and certain foreign countries. There can be no assurance that any of our patents will guarantee protection or market exclusivity for our products and product candidates. We also use license agreements both to access technologies developed by other companies and universities and to convey certain intellectual property rights to others. Our financial success will be dependent in part on our ability to obtain commercially valuable patent claims and to protect our intellectual property rights and to operate without infringing upon the proprietary rights of others.</w:t>
      </w:r>
    </w:p>
    <w:p>
      <w:pPr>
        <w:spacing w:after="0" w:line="165" w:lineRule="exact"/>
        <w:rPr>
          <w:sz w:val="20"/>
          <w:szCs w:val="20"/>
          <w:color w:val="auto"/>
        </w:rPr>
      </w:pPr>
    </w:p>
    <w:p>
      <w:pPr>
        <w:ind w:firstLine="567"/>
        <w:spacing w:after="0" w:line="257" w:lineRule="auto"/>
        <w:rPr>
          <w:sz w:val="20"/>
          <w:szCs w:val="20"/>
          <w:color w:val="auto"/>
        </w:rPr>
      </w:pPr>
      <w:r>
        <w:rPr>
          <w:rFonts w:ascii="Arial" w:cs="Arial" w:eastAsia="Arial" w:hAnsi="Arial"/>
          <w:sz w:val="16"/>
          <w:szCs w:val="16"/>
          <w:color w:val="auto"/>
        </w:rPr>
        <w:t>As of March 11, 2014, we owned or controlled or licensed directly or through our subsidiaries over 700 patents and pending patent applications worldwide including more than 340 issued or allowed U.S. patents. We also owned or controlled over 210 pending U.S. patent applications, including provisional patent applications, to protect our proprietary technologies. We also licensed 140 patents and applications from WARF.</w:t>
      </w:r>
    </w:p>
    <w:p>
      <w:pPr>
        <w:spacing w:after="0" w:line="189" w:lineRule="exact"/>
        <w:rPr>
          <w:sz w:val="20"/>
          <w:szCs w:val="20"/>
          <w:color w:val="auto"/>
        </w:rPr>
      </w:pPr>
    </w:p>
    <w:p>
      <w:pPr>
        <w:ind w:right="20" w:firstLine="567"/>
        <w:spacing w:after="0" w:line="282" w:lineRule="auto"/>
        <w:rPr>
          <w:sz w:val="20"/>
          <w:szCs w:val="20"/>
          <w:color w:val="auto"/>
        </w:rPr>
      </w:pPr>
      <w:r>
        <w:rPr>
          <w:rFonts w:ascii="Arial" w:cs="Arial" w:eastAsia="Arial" w:hAnsi="Arial"/>
          <w:sz w:val="15"/>
          <w:szCs w:val="15"/>
          <w:color w:val="auto"/>
        </w:rPr>
        <w:t>Our patents and patent applications are directed to compositions of matter, formulations, methods of use and/or methods of manufacturing, as appropriate. In addition to patenting our own technology and that of our subsidiaries, we and our subsidiaries have licensed patents and patent applications for certain stem cell technology, hEPC, and hES cell lines from other companies. See “Licensed Stem Cell Technologies and Stem Cell Product Development Agreements.”</w:t>
      </w:r>
    </w:p>
    <w:p>
      <w:pPr>
        <w:spacing w:after="0" w:line="172" w:lineRule="exact"/>
        <w:rPr>
          <w:sz w:val="20"/>
          <w:szCs w:val="20"/>
          <w:color w:val="auto"/>
        </w:rPr>
      </w:pPr>
    </w:p>
    <w:p>
      <w:pPr>
        <w:ind w:right="540" w:firstLine="567"/>
        <w:spacing w:after="0" w:line="267" w:lineRule="auto"/>
        <w:rPr>
          <w:sz w:val="20"/>
          <w:szCs w:val="20"/>
          <w:color w:val="auto"/>
        </w:rPr>
      </w:pPr>
      <w:r>
        <w:rPr>
          <w:rFonts w:ascii="Arial" w:cs="Arial" w:eastAsia="Arial" w:hAnsi="Arial"/>
          <w:sz w:val="16"/>
          <w:szCs w:val="16"/>
          <w:color w:val="auto"/>
        </w:rPr>
        <w:t>The patent positions of pharmaceutical and biotechnology companies, including ours, are generally uncertain and involve complex legal and factual questions. Our business could be negatively impacted by any of the following:</w:t>
      </w:r>
    </w:p>
    <w:p>
      <w:pPr>
        <w:spacing w:after="0" w:line="181" w:lineRule="exact"/>
        <w:rPr>
          <w:sz w:val="20"/>
          <w:szCs w:val="20"/>
          <w:color w:val="auto"/>
        </w:rPr>
      </w:pPr>
    </w:p>
    <w:p>
      <w:pPr>
        <w:ind w:left="840" w:right="120" w:hanging="278"/>
        <w:spacing w:after="0" w:line="253" w:lineRule="auto"/>
        <w:tabs>
          <w:tab w:leader="none" w:pos="840" w:val="left"/>
        </w:tabs>
        <w:numPr>
          <w:ilvl w:val="0"/>
          <w:numId w:val="17"/>
        </w:numPr>
        <w:rPr>
          <w:rFonts w:ascii="Arial" w:cs="Arial" w:eastAsia="Arial" w:hAnsi="Arial"/>
          <w:sz w:val="17"/>
          <w:szCs w:val="17"/>
          <w:color w:val="auto"/>
        </w:rPr>
      </w:pPr>
      <w:r>
        <w:rPr>
          <w:rFonts w:ascii="Arial" w:cs="Arial" w:eastAsia="Arial" w:hAnsi="Arial"/>
          <w:sz w:val="16"/>
          <w:szCs w:val="16"/>
          <w:color w:val="auto"/>
        </w:rPr>
        <w:t>the claims of any patents that are issued may not provide meaningful protection, may not provide a basis for commercially viable products or may not provide us with any competitive advantages;</w:t>
      </w:r>
    </w:p>
    <w:p>
      <w:pPr>
        <w:spacing w:after="0" w:line="190" w:lineRule="exact"/>
        <w:rPr>
          <w:rFonts w:ascii="Arial" w:cs="Arial" w:eastAsia="Arial" w:hAnsi="Arial"/>
          <w:sz w:val="17"/>
          <w:szCs w:val="17"/>
          <w:color w:val="auto"/>
        </w:rPr>
      </w:pPr>
    </w:p>
    <w:p>
      <w:pPr>
        <w:ind w:left="840" w:hanging="278"/>
        <w:spacing w:after="0"/>
        <w:tabs>
          <w:tab w:leader="none" w:pos="840" w:val="left"/>
        </w:tabs>
        <w:numPr>
          <w:ilvl w:val="0"/>
          <w:numId w:val="17"/>
        </w:numPr>
        <w:rPr>
          <w:rFonts w:ascii="Arial" w:cs="Arial" w:eastAsia="Arial" w:hAnsi="Arial"/>
          <w:sz w:val="17"/>
          <w:szCs w:val="17"/>
          <w:color w:val="auto"/>
        </w:rPr>
      </w:pPr>
      <w:r>
        <w:rPr>
          <w:rFonts w:ascii="Arial" w:cs="Arial" w:eastAsia="Arial" w:hAnsi="Arial"/>
          <w:sz w:val="16"/>
          <w:szCs w:val="16"/>
          <w:color w:val="auto"/>
        </w:rPr>
        <w:t>our patents may be challenged by third parties;</w:t>
      </w:r>
    </w:p>
    <w:p>
      <w:pPr>
        <w:spacing w:after="0" w:line="218" w:lineRule="exact"/>
        <w:rPr>
          <w:rFonts w:ascii="Arial" w:cs="Arial" w:eastAsia="Arial" w:hAnsi="Arial"/>
          <w:sz w:val="17"/>
          <w:szCs w:val="17"/>
          <w:color w:val="auto"/>
        </w:rPr>
      </w:pPr>
    </w:p>
    <w:p>
      <w:pPr>
        <w:ind w:left="840" w:right="200" w:hanging="278"/>
        <w:spacing w:after="0" w:line="253" w:lineRule="auto"/>
        <w:tabs>
          <w:tab w:leader="none" w:pos="840" w:val="left"/>
        </w:tabs>
        <w:numPr>
          <w:ilvl w:val="0"/>
          <w:numId w:val="17"/>
        </w:numPr>
        <w:rPr>
          <w:rFonts w:ascii="Arial" w:cs="Arial" w:eastAsia="Arial" w:hAnsi="Arial"/>
          <w:sz w:val="17"/>
          <w:szCs w:val="17"/>
          <w:color w:val="auto"/>
        </w:rPr>
      </w:pPr>
      <w:r>
        <w:rPr>
          <w:rFonts w:ascii="Arial" w:cs="Arial" w:eastAsia="Arial" w:hAnsi="Arial"/>
          <w:sz w:val="16"/>
          <w:szCs w:val="16"/>
          <w:color w:val="auto"/>
        </w:rPr>
        <w:t>others may have patents that relate to our technology or business that may prevent us from marketing our product candidates unless we are able to obtain a license to those patents;</w:t>
      </w:r>
    </w:p>
    <w:p>
      <w:pPr>
        <w:spacing w:after="0" w:line="190" w:lineRule="exact"/>
        <w:rPr>
          <w:rFonts w:ascii="Arial" w:cs="Arial" w:eastAsia="Arial" w:hAnsi="Arial"/>
          <w:sz w:val="17"/>
          <w:szCs w:val="17"/>
          <w:color w:val="auto"/>
        </w:rPr>
      </w:pPr>
    </w:p>
    <w:p>
      <w:pPr>
        <w:ind w:left="840" w:hanging="278"/>
        <w:spacing w:after="0"/>
        <w:tabs>
          <w:tab w:leader="none" w:pos="840" w:val="left"/>
        </w:tabs>
        <w:numPr>
          <w:ilvl w:val="0"/>
          <w:numId w:val="17"/>
        </w:numPr>
        <w:rPr>
          <w:rFonts w:ascii="Arial" w:cs="Arial" w:eastAsia="Arial" w:hAnsi="Arial"/>
          <w:sz w:val="17"/>
          <w:szCs w:val="17"/>
          <w:color w:val="auto"/>
        </w:rPr>
      </w:pPr>
      <w:r>
        <w:rPr>
          <w:rFonts w:ascii="Arial" w:cs="Arial" w:eastAsia="Arial" w:hAnsi="Arial"/>
          <w:sz w:val="16"/>
          <w:szCs w:val="16"/>
          <w:color w:val="auto"/>
        </w:rPr>
        <w:t>the pending patent applications to which we have rights may not result in issued patents;</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17"/>
        </w:numPr>
        <w:rPr>
          <w:rFonts w:ascii="Arial" w:cs="Arial" w:eastAsia="Arial" w:hAnsi="Arial"/>
          <w:sz w:val="17"/>
          <w:szCs w:val="17"/>
          <w:color w:val="auto"/>
        </w:rPr>
      </w:pPr>
      <w:r>
        <w:rPr>
          <w:rFonts w:ascii="Arial" w:cs="Arial" w:eastAsia="Arial" w:hAnsi="Arial"/>
          <w:sz w:val="16"/>
          <w:szCs w:val="16"/>
          <w:color w:val="auto"/>
        </w:rPr>
        <w:t>we may not be successful in developing additional proprietary technologies that are patentable.</w:t>
      </w:r>
    </w:p>
    <w:p>
      <w:pPr>
        <w:spacing w:after="0" w:line="218" w:lineRule="exact"/>
        <w:rPr>
          <w:sz w:val="20"/>
          <w:szCs w:val="20"/>
          <w:color w:val="auto"/>
        </w:rPr>
      </w:pPr>
    </w:p>
    <w:p>
      <w:pPr>
        <w:ind w:right="180" w:firstLine="567"/>
        <w:spacing w:after="0" w:line="257" w:lineRule="auto"/>
        <w:rPr>
          <w:sz w:val="20"/>
          <w:szCs w:val="20"/>
          <w:color w:val="auto"/>
        </w:rPr>
      </w:pPr>
      <w:r>
        <w:rPr>
          <w:rFonts w:ascii="Arial" w:cs="Arial" w:eastAsia="Arial" w:hAnsi="Arial"/>
          <w:sz w:val="16"/>
          <w:szCs w:val="16"/>
          <w:color w:val="auto"/>
        </w:rPr>
        <w:t>In addition, others may independently develop similar or alternative technologies, duplicate any of our technologies and, if patents are licensed or issued to us, design around the patented technologies licensed to or developed by us. Moreover, we could incur substantial costs in litigation if we have to defend ourselves in patent lawsuits brought by third parties or if we initiate such lawsuits</w:t>
      </w:r>
    </w:p>
    <w:p>
      <w:pPr>
        <w:spacing w:after="0" w:line="189" w:lineRule="exact"/>
        <w:rPr>
          <w:sz w:val="20"/>
          <w:szCs w:val="20"/>
          <w:color w:val="auto"/>
        </w:rPr>
      </w:pPr>
    </w:p>
    <w:p>
      <w:pPr>
        <w:jc w:val="both"/>
        <w:ind w:right="280" w:firstLine="567"/>
        <w:spacing w:after="0" w:line="253" w:lineRule="auto"/>
        <w:rPr>
          <w:sz w:val="20"/>
          <w:szCs w:val="20"/>
          <w:color w:val="auto"/>
        </w:rPr>
      </w:pPr>
      <w:r>
        <w:rPr>
          <w:rFonts w:ascii="Arial" w:cs="Arial" w:eastAsia="Arial" w:hAnsi="Arial"/>
          <w:sz w:val="16"/>
          <w:szCs w:val="16"/>
          <w:color w:val="auto"/>
        </w:rPr>
        <w:t>In Europe, the European Patent Convention prohibits the granting of European patents for inventions that concern "uses of human embryos for industrial or commercial purposes." The European Patent Office is presently interpreting this prohibition broadly, and is applying it to reject patent claims that pertain to hES cells. However, this broad interpretation is being challenged through the European Patent Office appeals system. As a result, we do not yet know whether or to what extent we will be able to obtain patent protection for our hES cell technologies in Europe.</w:t>
      </w:r>
    </w:p>
    <w:p>
      <w:pPr>
        <w:spacing w:after="0" w:line="193" w:lineRule="exact"/>
        <w:rPr>
          <w:sz w:val="20"/>
          <w:szCs w:val="20"/>
          <w:color w:val="auto"/>
        </w:rPr>
      </w:pPr>
    </w:p>
    <w:p>
      <w:pPr>
        <w:ind w:right="100" w:firstLine="567"/>
        <w:spacing w:after="0" w:line="227" w:lineRule="auto"/>
        <w:rPr>
          <w:sz w:val="20"/>
          <w:szCs w:val="20"/>
          <w:color w:val="auto"/>
        </w:rPr>
      </w:pPr>
      <w:r>
        <w:rPr>
          <w:rFonts w:ascii="Arial" w:cs="Arial" w:eastAsia="Arial" w:hAnsi="Arial"/>
          <w:sz w:val="15"/>
          <w:szCs w:val="15"/>
          <w:color w:val="auto"/>
        </w:rPr>
        <w:t xml:space="preserve">The recent Supreme Court decision in Mayo Collaborative Services v. Prometheus Laboratories, Inc., will need to be considered in determining whether certain diagnostic methods can be patented, since the Court denied patent protection for the use of a mathematical correlation of the presence of a well-known naturally occurring metabolite as a means of determining proper drug dosage. Our subsidiary OncoCyte is developing </w:t>
      </w:r>
      <w:r>
        <w:rPr>
          <w:rFonts w:ascii="Arial" w:cs="Arial" w:eastAsia="Arial" w:hAnsi="Arial"/>
          <w:sz w:val="15"/>
          <w:szCs w:val="15"/>
          <w:i w:val="1"/>
          <w:iCs w:val="1"/>
          <w:color w:val="auto"/>
        </w:rPr>
        <w:t>PanC-Dx</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as a cancer diagnostic test, based on the presence of certain genetic markers for a variety of cancers. Because </w:t>
      </w:r>
      <w:r>
        <w:rPr>
          <w:rFonts w:ascii="Arial" w:cs="Arial" w:eastAsia="Arial" w:hAnsi="Arial"/>
          <w:sz w:val="15"/>
          <w:szCs w:val="15"/>
          <w:i w:val="1"/>
          <w:iCs w:val="1"/>
          <w:color w:val="auto"/>
        </w:rPr>
        <w:t>PanC-Dx</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combines an innovative methodology with newly discovered compositions of matter, we are hopeful that this Supreme Court decision will not preclude the availability of patent protection for OncoCyte’s new product. However, like other developers of diagnostic products, we are evaluating this new Supreme Court decision. The United States Patent and Trademark Office (“USPTO”) has issued interim guidelines in light of the Supreme Court decision indicating that process claims having a natural principle as a limiting step will be evaluated to determine if the claim includes additional steps that practically apply the natural principle such that the claim amounts to significantly more than the natural principle itself.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1" w:name="page52"/>
    <w:bookmarkEnd w:id="5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Patents Used in Our Stem Cell Business</w:t>
      </w:r>
    </w:p>
    <w:p>
      <w:pPr>
        <w:spacing w:after="0" w:line="218" w:lineRule="exact"/>
        <w:rPr>
          <w:sz w:val="20"/>
          <w:szCs w:val="20"/>
          <w:color w:val="auto"/>
        </w:rPr>
      </w:pPr>
    </w:p>
    <w:p>
      <w:pPr>
        <w:ind w:right="200" w:firstLine="567"/>
        <w:spacing w:after="0" w:line="267" w:lineRule="auto"/>
        <w:rPr>
          <w:sz w:val="20"/>
          <w:szCs w:val="20"/>
          <w:color w:val="auto"/>
        </w:rPr>
      </w:pPr>
      <w:r>
        <w:rPr>
          <w:rFonts w:ascii="Arial" w:cs="Arial" w:eastAsia="Arial" w:hAnsi="Arial"/>
          <w:sz w:val="16"/>
          <w:szCs w:val="16"/>
          <w:color w:val="auto"/>
        </w:rPr>
        <w:t>The patents Asterias acquired from Geron and that have been licensed to Asterias by assignment of third party licenses have been issued in certain key countries and will expire at various times.</w:t>
      </w:r>
    </w:p>
    <w:p>
      <w:pPr>
        <w:spacing w:after="0" w:line="181" w:lineRule="exact"/>
        <w:rPr>
          <w:sz w:val="20"/>
          <w:szCs w:val="20"/>
          <w:color w:val="auto"/>
        </w:rPr>
      </w:pPr>
    </w:p>
    <w:p>
      <w:pPr>
        <w:ind w:right="440" w:firstLine="567"/>
        <w:spacing w:after="0" w:line="257" w:lineRule="auto"/>
        <w:rPr>
          <w:sz w:val="20"/>
          <w:szCs w:val="20"/>
          <w:color w:val="auto"/>
        </w:rPr>
      </w:pPr>
      <w:r>
        <w:rPr>
          <w:rFonts w:ascii="Arial" w:cs="Arial" w:eastAsia="Arial" w:hAnsi="Arial"/>
          <w:sz w:val="16"/>
          <w:szCs w:val="16"/>
          <w:u w:val="single" w:color="auto"/>
          <w:color w:val="auto"/>
        </w:rPr>
        <w:t>Oligodendrocyte progenitor cells:</w:t>
      </w:r>
      <w:r>
        <w:rPr>
          <w:rFonts w:ascii="Arial" w:cs="Arial" w:eastAsia="Arial" w:hAnsi="Arial"/>
          <w:sz w:val="16"/>
          <w:szCs w:val="16"/>
          <w:color w:val="auto"/>
        </w:rPr>
        <w:t xml:space="preserve"> The patent rights relevant to oligodendrocyte progenitor cells include rights licensed from the University of California and various developed patent families covering the growth of hES cells and their differentiation into neural cells. There are issued patents in the United States, Australia, China, United Kingdom, Japan, Singapore and Israel. The expiration dates of these patents range from 2023 to 2030.</w:t>
      </w:r>
    </w:p>
    <w:p>
      <w:pPr>
        <w:spacing w:after="0" w:line="189" w:lineRule="exact"/>
        <w:rPr>
          <w:sz w:val="20"/>
          <w:szCs w:val="20"/>
          <w:color w:val="auto"/>
        </w:rPr>
      </w:pPr>
    </w:p>
    <w:p>
      <w:pPr>
        <w:ind w:right="280" w:firstLine="567"/>
        <w:spacing w:after="0" w:line="257" w:lineRule="auto"/>
        <w:rPr>
          <w:sz w:val="20"/>
          <w:szCs w:val="20"/>
          <w:color w:val="auto"/>
        </w:rPr>
      </w:pPr>
      <w:r>
        <w:rPr>
          <w:rFonts w:ascii="Arial" w:cs="Arial" w:eastAsia="Arial" w:hAnsi="Arial"/>
          <w:sz w:val="16"/>
          <w:szCs w:val="16"/>
          <w:u w:val="single" w:color="auto"/>
          <w:color w:val="auto"/>
        </w:rPr>
        <w:t>Cardiomyocytes</w:t>
      </w:r>
      <w:r>
        <w:rPr>
          <w:rFonts w:ascii="Arial" w:cs="Arial" w:eastAsia="Arial" w:hAnsi="Arial"/>
          <w:sz w:val="16"/>
          <w:szCs w:val="16"/>
          <w:color w:val="auto"/>
        </w:rPr>
        <w:t>: The patent rights relevant to cardiomyocytes include various patent families covering the growth of hES cells and their differentiation into cardiomyocytes. There are issued patents in the United States, Australia, United Kingdom, Hong Kong, Korea, Japan, India, Singapore and Israel. The expiration dates of these patents range from 2022 to 2031.</w:t>
      </w:r>
    </w:p>
    <w:p>
      <w:pPr>
        <w:spacing w:after="0" w:line="189" w:lineRule="exact"/>
        <w:rPr>
          <w:sz w:val="20"/>
          <w:szCs w:val="20"/>
          <w:color w:val="auto"/>
        </w:rPr>
      </w:pPr>
    </w:p>
    <w:p>
      <w:pPr>
        <w:ind w:right="300" w:firstLine="567"/>
        <w:spacing w:after="0" w:line="257" w:lineRule="auto"/>
        <w:rPr>
          <w:sz w:val="20"/>
          <w:szCs w:val="20"/>
          <w:color w:val="auto"/>
        </w:rPr>
      </w:pPr>
      <w:r>
        <w:rPr>
          <w:rFonts w:ascii="Arial" w:cs="Arial" w:eastAsia="Arial" w:hAnsi="Arial"/>
          <w:sz w:val="16"/>
          <w:szCs w:val="16"/>
          <w:u w:val="single" w:color="auto"/>
          <w:color w:val="auto"/>
        </w:rPr>
        <w:t>Pancreatic islet cells</w:t>
      </w:r>
      <w:r>
        <w:rPr>
          <w:rFonts w:ascii="Arial" w:cs="Arial" w:eastAsia="Arial" w:hAnsi="Arial"/>
          <w:sz w:val="16"/>
          <w:szCs w:val="16"/>
          <w:color w:val="auto"/>
        </w:rPr>
        <w:t>: The patent rights relevant to pancreatic islet cells include various patent families covering the growth of hES cells and their differentiation into pancreatic islet cells. There are issued patents in the United States, Australia, Canada, United Kingdom, Hong Kong, Korea, Japan, China, Singapore and Israel. The expiration dates of these patents are in 2022.</w:t>
      </w:r>
    </w:p>
    <w:p>
      <w:pPr>
        <w:spacing w:after="0" w:line="189" w:lineRule="exact"/>
        <w:rPr>
          <w:sz w:val="20"/>
          <w:szCs w:val="20"/>
          <w:color w:val="auto"/>
        </w:rPr>
      </w:pPr>
    </w:p>
    <w:p>
      <w:pPr>
        <w:ind w:firstLine="567"/>
        <w:spacing w:after="0" w:line="301" w:lineRule="auto"/>
        <w:rPr>
          <w:sz w:val="20"/>
          <w:szCs w:val="20"/>
          <w:color w:val="auto"/>
        </w:rPr>
      </w:pPr>
      <w:r>
        <w:rPr>
          <w:rFonts w:ascii="Arial" w:cs="Arial" w:eastAsia="Arial" w:hAnsi="Arial"/>
          <w:sz w:val="15"/>
          <w:szCs w:val="15"/>
          <w:u w:val="single" w:color="auto"/>
          <w:color w:val="auto"/>
        </w:rPr>
        <w:t>Hepatocytes</w:t>
      </w:r>
      <w:r>
        <w:rPr>
          <w:rFonts w:ascii="Arial" w:cs="Arial" w:eastAsia="Arial" w:hAnsi="Arial"/>
          <w:sz w:val="15"/>
          <w:szCs w:val="15"/>
          <w:color w:val="auto"/>
        </w:rPr>
        <w:t>: The patent rights relevant to hepatocytes include various patent families covering the growth of hES cells and their differentiation into hepatocytes. There are issued patents in the United States, Australia, Canada, United Kingdom, Korea, India, Singapore and Israel. The expiration dates of these patents are in 2021.</w:t>
      </w:r>
    </w:p>
    <w:p>
      <w:pPr>
        <w:spacing w:after="0" w:line="158" w:lineRule="exact"/>
        <w:rPr>
          <w:sz w:val="20"/>
          <w:szCs w:val="20"/>
          <w:color w:val="auto"/>
        </w:rPr>
      </w:pPr>
    </w:p>
    <w:p>
      <w:pPr>
        <w:ind w:right="60" w:firstLine="567"/>
        <w:spacing w:after="0" w:line="257" w:lineRule="auto"/>
        <w:rPr>
          <w:sz w:val="20"/>
          <w:szCs w:val="20"/>
          <w:color w:val="auto"/>
        </w:rPr>
      </w:pPr>
      <w:r>
        <w:rPr>
          <w:rFonts w:ascii="Arial" w:cs="Arial" w:eastAsia="Arial" w:hAnsi="Arial"/>
          <w:sz w:val="16"/>
          <w:szCs w:val="16"/>
          <w:u w:val="single" w:color="auto"/>
          <w:color w:val="auto"/>
        </w:rPr>
        <w:t>Neural cells</w:t>
      </w:r>
      <w:r>
        <w:rPr>
          <w:rFonts w:ascii="Arial" w:cs="Arial" w:eastAsia="Arial" w:hAnsi="Arial"/>
          <w:sz w:val="16"/>
          <w:szCs w:val="16"/>
          <w:color w:val="auto"/>
        </w:rPr>
        <w:t>: The patent rights relevant to neural cells include various patent families covering the growth of hES cells and their differentiation into neural cells. There are issued patents in the United States, Australia, Canada, United Kingdom, Japan, China, Hong Kong, India, Korea, Singapore and Israel. The expiration dates of these patents are in 2021.</w:t>
      </w:r>
    </w:p>
    <w:p>
      <w:pPr>
        <w:spacing w:after="0" w:line="189" w:lineRule="exact"/>
        <w:rPr>
          <w:sz w:val="20"/>
          <w:szCs w:val="20"/>
          <w:color w:val="auto"/>
        </w:rPr>
      </w:pPr>
    </w:p>
    <w:p>
      <w:pPr>
        <w:jc w:val="both"/>
        <w:ind w:right="100" w:firstLine="567"/>
        <w:spacing w:after="0" w:line="257" w:lineRule="auto"/>
        <w:rPr>
          <w:sz w:val="20"/>
          <w:szCs w:val="20"/>
          <w:color w:val="auto"/>
        </w:rPr>
      </w:pPr>
      <w:r>
        <w:rPr>
          <w:rFonts w:ascii="Arial" w:cs="Arial" w:eastAsia="Arial" w:hAnsi="Arial"/>
          <w:sz w:val="16"/>
          <w:szCs w:val="16"/>
          <w:u w:val="single" w:color="auto"/>
          <w:color w:val="auto"/>
        </w:rPr>
        <w:t>Hematopoietic cells</w:t>
      </w:r>
      <w:r>
        <w:rPr>
          <w:rFonts w:ascii="Arial" w:cs="Arial" w:eastAsia="Arial" w:hAnsi="Arial"/>
          <w:sz w:val="16"/>
          <w:szCs w:val="16"/>
          <w:color w:val="auto"/>
        </w:rPr>
        <w:t>: The patent rights relevant to hematopoietic cells include rights licensed from certain third parties and various patent families covering the growth of hES cells and their differentiation into hematopoietic cells. There are issued patents in the United States, Australia, United Kingdom, Singapore and Israel. The expiration dates of these patents are in 2022.</w:t>
      </w:r>
    </w:p>
    <w:p>
      <w:pPr>
        <w:spacing w:after="0" w:line="189" w:lineRule="exact"/>
        <w:rPr>
          <w:sz w:val="20"/>
          <w:szCs w:val="20"/>
          <w:color w:val="auto"/>
        </w:rPr>
      </w:pPr>
    </w:p>
    <w:p>
      <w:pPr>
        <w:ind w:right="160" w:firstLine="567"/>
        <w:spacing w:after="0" w:line="267" w:lineRule="auto"/>
        <w:rPr>
          <w:sz w:val="20"/>
          <w:szCs w:val="20"/>
          <w:color w:val="auto"/>
        </w:rPr>
      </w:pPr>
      <w:r>
        <w:rPr>
          <w:rFonts w:ascii="Arial" w:cs="Arial" w:eastAsia="Arial" w:hAnsi="Arial"/>
          <w:sz w:val="16"/>
          <w:szCs w:val="16"/>
          <w:u w:val="single" w:color="auto"/>
          <w:color w:val="auto"/>
        </w:rPr>
        <w:t>Osteoblasts</w:t>
      </w:r>
      <w:r>
        <w:rPr>
          <w:rFonts w:ascii="Arial" w:cs="Arial" w:eastAsia="Arial" w:hAnsi="Arial"/>
          <w:sz w:val="16"/>
          <w:szCs w:val="16"/>
          <w:color w:val="auto"/>
        </w:rPr>
        <w:t>: The patent rights relevant to osteoblasts include various patent families covering the growth of hES cells and their differentiation into osteoblasts. There are issued patents in the Australia, United Kingdom, India, Singapore and Israel. The expiration dates of these patents are in 2022.</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4"/>
          <w:szCs w:val="14"/>
          <w:u w:val="single" w:color="auto"/>
          <w:color w:val="auto"/>
        </w:rPr>
        <w:t>Chondrocytes</w:t>
      </w:r>
      <w:r>
        <w:rPr>
          <w:rFonts w:ascii="Arial" w:cs="Arial" w:eastAsia="Arial" w:hAnsi="Arial"/>
          <w:sz w:val="14"/>
          <w:szCs w:val="14"/>
          <w:color w:val="auto"/>
        </w:rPr>
        <w:t>: The patent rights relevant to chondrocytes include various patent families covering the growth of hES cells and their differentiation into chondrocytes.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There are issued patents in the United States, Australia, Korea, Singapore and Israel. The expiration dates of these patents are in 2022.</w:t>
      </w:r>
    </w:p>
    <w:p>
      <w:pPr>
        <w:spacing w:after="0" w:line="207"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6"/>
          <w:szCs w:val="16"/>
          <w:u w:val="single" w:color="auto"/>
          <w:color w:val="auto"/>
        </w:rPr>
        <w:t>Dendritic cells</w:t>
      </w:r>
      <w:r>
        <w:rPr>
          <w:rFonts w:ascii="Arial" w:cs="Arial" w:eastAsia="Arial" w:hAnsi="Arial"/>
          <w:sz w:val="16"/>
          <w:szCs w:val="16"/>
          <w:color w:val="auto"/>
        </w:rPr>
        <w:t>: The patent rights relevant to dendritic cells include rights licensed from third parties and various patent families covering the growth of hES cells and their differentiation into dendritic cells. There are issued patents in the United States, Australia, Europe, Canada, China, Hong Kong, Japan, Singapore and Israel. The expiration dates of these patents range from 2019 to 2029.</w:t>
      </w:r>
    </w:p>
    <w:p>
      <w:pPr>
        <w:spacing w:after="0" w:line="189" w:lineRule="exact"/>
        <w:rPr>
          <w:sz w:val="20"/>
          <w:szCs w:val="20"/>
          <w:color w:val="auto"/>
        </w:rPr>
      </w:pPr>
    </w:p>
    <w:p>
      <w:pPr>
        <w:ind w:right="400" w:firstLine="567"/>
        <w:spacing w:after="0" w:line="301" w:lineRule="auto"/>
        <w:rPr>
          <w:sz w:val="20"/>
          <w:szCs w:val="20"/>
          <w:color w:val="auto"/>
        </w:rPr>
      </w:pPr>
      <w:r>
        <w:rPr>
          <w:rFonts w:ascii="Arial" w:cs="Arial" w:eastAsia="Arial" w:hAnsi="Arial"/>
          <w:sz w:val="15"/>
          <w:szCs w:val="15"/>
          <w:u w:val="single" w:color="auto"/>
          <w:color w:val="auto"/>
        </w:rPr>
        <w:t>Platform patents</w:t>
      </w:r>
      <w:r>
        <w:rPr>
          <w:rFonts w:ascii="Arial" w:cs="Arial" w:eastAsia="Arial" w:hAnsi="Arial"/>
          <w:sz w:val="15"/>
          <w:szCs w:val="15"/>
          <w:color w:val="auto"/>
        </w:rPr>
        <w:t>: The platform patent rights include various patent families covering the growth of hES cells. There are issued patents in the United States, Australia, Canada, United Kingdom, Hong Kong, China, India, Japan, Singapore and Israel. The expiration dates of these patents range from 2018 to 2020.</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2" w:name="page53"/>
    <w:bookmarkEnd w:id="5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ViaCyte Patent Interference Proceedings</w:t>
      </w:r>
    </w:p>
    <w:p>
      <w:pPr>
        <w:spacing w:after="0" w:line="218" w:lineRule="exact"/>
        <w:rPr>
          <w:sz w:val="20"/>
          <w:szCs w:val="20"/>
          <w:color w:val="auto"/>
        </w:rPr>
      </w:pPr>
    </w:p>
    <w:p>
      <w:pPr>
        <w:ind w:firstLine="567"/>
        <w:spacing w:after="0" w:line="269" w:lineRule="auto"/>
        <w:rPr>
          <w:sz w:val="20"/>
          <w:szCs w:val="20"/>
          <w:color w:val="auto"/>
        </w:rPr>
      </w:pPr>
      <w:r>
        <w:rPr>
          <w:rFonts w:ascii="Arial" w:cs="Arial" w:eastAsia="Arial" w:hAnsi="Arial"/>
          <w:sz w:val="15"/>
          <w:szCs w:val="15"/>
          <w:color w:val="auto"/>
        </w:rPr>
        <w:t>Asterias has been substituted for Geron as a party in interest in an appeal filed by Geron in the United States District Court for the Northern District of California, appealing two adverse rulings in favor of ViaCyte by the United States Patent and Trademark Office’s Board of Patent Appeals and Interferences. These rulings related to interference proceedings involving patent filings relating to definitive endoderm cells. Geron had requested that the Board of Patent Appeals and Interferences declare this interference after ViaCyte was granted patent claims that conflicted with subject matter Geron filed in a patent application having an earlier priority date. Those Geron patent applications are among the patent assets that Geron will contribute to us. Asterias will also assume the USPTO interferences upon which the appeal is based, as well as certain oppositions filed by Geron against certain ViaCyte patent filings in Australia and in the European Patent Office. Asterias has agreed to assume all liabilities relating to the ViaCyte Appeal and the related interference proceedings, including the costs of litigation, other than expenses incurred by Geron prior to October 1, 2013.</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Patents Used in Our Plasma Volume Expander Business</w:t>
      </w:r>
    </w:p>
    <w:p>
      <w:pPr>
        <w:spacing w:after="0" w:line="210" w:lineRule="exact"/>
        <w:rPr>
          <w:sz w:val="20"/>
          <w:szCs w:val="20"/>
          <w:color w:val="auto"/>
        </w:rPr>
      </w:pPr>
    </w:p>
    <w:p>
      <w:pPr>
        <w:ind w:right="40" w:firstLine="567"/>
        <w:spacing w:after="0" w:line="200" w:lineRule="auto"/>
        <w:rPr>
          <w:sz w:val="20"/>
          <w:szCs w:val="20"/>
          <w:color w:val="auto"/>
        </w:rPr>
      </w:pPr>
      <w:r>
        <w:rPr>
          <w:rFonts w:ascii="Arial" w:cs="Arial" w:eastAsia="Arial" w:hAnsi="Arial"/>
          <w:sz w:val="15"/>
          <w:szCs w:val="15"/>
          <w:color w:val="auto"/>
        </w:rPr>
        <w:t xml:space="preserve">We currently hold 26 issued U. S. patents with composition and methods-of-use claims covering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The most recent U.S. patents were issued during March 2009. Some of our allowed claims in the U.S., which include the composition and methods-of-use of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are expected to remain in force until 2014 in the case of the composition patents, and 2019 in the case of the methods-of-use patents. Patents covering certain proprietary solutions have also been issued in several countries of the European Union (“EU”), Australia, Israel, Russia, South Africa, South Korea, Japan, China, Hong Kong, Taiwan, and Singapore, and we have filed patent applications in other foreign countries for certain products, including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There is no assurance that any additional patents will be issued. Furthermore, the enforcement of patent rights often requires litigation against third party infringers, and such litigation can be costly to pursue.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Risks Related to Obtaining and Enforcing Patent Protection</w:t>
      </w:r>
    </w:p>
    <w:p>
      <w:pPr>
        <w:spacing w:after="0" w:line="218" w:lineRule="exact"/>
        <w:rPr>
          <w:sz w:val="20"/>
          <w:szCs w:val="20"/>
          <w:color w:val="auto"/>
        </w:rPr>
      </w:pPr>
    </w:p>
    <w:p>
      <w:pPr>
        <w:ind w:right="20" w:firstLine="567"/>
        <w:spacing w:after="0" w:line="288" w:lineRule="auto"/>
        <w:rPr>
          <w:sz w:val="20"/>
          <w:szCs w:val="20"/>
          <w:color w:val="auto"/>
        </w:rPr>
      </w:pPr>
      <w:r>
        <w:rPr>
          <w:rFonts w:ascii="Arial" w:cs="Arial" w:eastAsia="Arial" w:hAnsi="Arial"/>
          <w:sz w:val="14"/>
          <w:szCs w:val="14"/>
          <w:color w:val="auto"/>
        </w:rPr>
        <w:t>There is a risk that any patent applications that we file and any patents that we hold or later obtain could be challenged by third parties and be declared invalid or infringing on third party claims. A patent interference proceeding may be instituted with the USPTO when more than one person files a patent application covering the same technology, or if someone wishes to challenge the validity of an issued patent on patents and applications filed before March 16, 2013. At the completion of the interference proceeding, the USPTO will determine which competing applicant is entitled to the patent, or whether an issued patent is valid. Patent interference proceedings are complex, highly contested legal proceedings, and the USPTO’s decision is subject to appeal. This means that if an interference proceeding arises with respect to any of our patent applications, we may experience significant expenses and delay in obtaining a patent, and if the outcome of the proceeding is unfavorable to us, the patent could be issued to a competitor rather than to us. For patents and applications filed after March 16, 2013 a derivation proceeding may be initiated where the USPTO may determine if one patent was derived from the work of an inventor on another patent. In addition to interference proceedings, the USPTO can re-examine issued patents at the request of a third party seeking to have the patent invalidated. After March 16, 2013 an inter partes review proceeding will allow third parties to challenge the validity of an issued patent where there is a reasonable likelihood of invalidity. This means that patents owned or licensed by us may be subject to re-examination and may be lost if the outcome of the re-examination is unfavorable to us.</w:t>
      </w:r>
    </w:p>
    <w:p>
      <w:pPr>
        <w:spacing w:after="0" w:line="172" w:lineRule="exact"/>
        <w:rPr>
          <w:sz w:val="20"/>
          <w:szCs w:val="20"/>
          <w:color w:val="auto"/>
        </w:rPr>
      </w:pPr>
    </w:p>
    <w:p>
      <w:pPr>
        <w:ind w:right="120" w:firstLine="567"/>
        <w:spacing w:after="0" w:line="311" w:lineRule="auto"/>
        <w:rPr>
          <w:sz w:val="20"/>
          <w:szCs w:val="20"/>
          <w:color w:val="auto"/>
        </w:rPr>
      </w:pPr>
      <w:r>
        <w:rPr>
          <w:rFonts w:ascii="Arial" w:cs="Arial" w:eastAsia="Arial" w:hAnsi="Arial"/>
          <w:sz w:val="14"/>
          <w:szCs w:val="14"/>
          <w:color w:val="auto"/>
        </w:rPr>
        <w:t>Post Grant Review under the new America Invents Act now makes available opposition-like proceedings in the United States. As with the USPTO interference proceedings, Post Grant Review proceedings will be very expensive to contest and can result in significant delays in obtaining patent protection or can result in a denial of a patent application. Also, a derivation proceeding may be instituted by the USPTO or an inventor alleging that a patent or application was derived from the work of another inventor.</w:t>
      </w:r>
    </w:p>
    <w:p>
      <w:pPr>
        <w:spacing w:after="0" w:line="154" w:lineRule="exact"/>
        <w:rPr>
          <w:sz w:val="20"/>
          <w:szCs w:val="20"/>
          <w:color w:val="auto"/>
        </w:rPr>
      </w:pPr>
    </w:p>
    <w:p>
      <w:pPr>
        <w:ind w:right="20" w:firstLine="567"/>
        <w:spacing w:after="0" w:line="340" w:lineRule="auto"/>
        <w:rPr>
          <w:sz w:val="20"/>
          <w:szCs w:val="20"/>
          <w:color w:val="auto"/>
        </w:rPr>
      </w:pPr>
      <w:r>
        <w:rPr>
          <w:rFonts w:ascii="Arial" w:cs="Arial" w:eastAsia="Arial" w:hAnsi="Arial"/>
          <w:sz w:val="14"/>
          <w:szCs w:val="14"/>
          <w:color w:val="auto"/>
        </w:rPr>
        <w:t>Oppositions to the issuance of patents may be filed under European patent law and the patent laws of certain other countries. As with the USPTO interference proceedings, these foreign proceedings can be very expensive to contest and can result in significant delays in obtaining a patent or can result in a denial of a patent application.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53" w:name="page54"/>
    <w:bookmarkEnd w:id="5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140" w:firstLine="567"/>
        <w:spacing w:after="0" w:line="257" w:lineRule="auto"/>
        <w:rPr>
          <w:sz w:val="20"/>
          <w:szCs w:val="20"/>
          <w:color w:val="auto"/>
        </w:rPr>
      </w:pPr>
      <w:r>
        <w:rPr>
          <w:rFonts w:ascii="Arial" w:cs="Arial" w:eastAsia="Arial" w:hAnsi="Arial"/>
          <w:sz w:val="16"/>
          <w:szCs w:val="16"/>
          <w:color w:val="auto"/>
        </w:rPr>
        <w:t>The enforcement of patent rights often requires litigation against third-party infringers, and such litigation can be costly to pursue. Even if we succeed in having new patents issued or in defending any challenge to issued patents, there is no assurance that our patents will be comprehensive enough to provide us with meaningful patent protection against our competitors.</w:t>
      </w:r>
    </w:p>
    <w:p>
      <w:pPr>
        <w:spacing w:after="0" w:line="189" w:lineRule="exact"/>
        <w:rPr>
          <w:sz w:val="20"/>
          <w:szCs w:val="20"/>
          <w:color w:val="auto"/>
        </w:rPr>
      </w:pPr>
    </w:p>
    <w:p>
      <w:pPr>
        <w:ind w:right="120" w:firstLine="567"/>
        <w:spacing w:after="0" w:line="276" w:lineRule="auto"/>
        <w:rPr>
          <w:sz w:val="20"/>
          <w:szCs w:val="20"/>
          <w:color w:val="auto"/>
        </w:rPr>
      </w:pPr>
      <w:r>
        <w:rPr>
          <w:rFonts w:ascii="Arial" w:cs="Arial" w:eastAsia="Arial" w:hAnsi="Arial"/>
          <w:sz w:val="15"/>
          <w:szCs w:val="15"/>
          <w:color w:val="auto"/>
        </w:rPr>
        <w:t>In addition to relying on patents, we rely on trade secrets, know-how, and continuing technological advancement to maintain our competitive position. We have entered into intellectual property, invention, and non-disclosure agreements with our employees, and it is our practice to enter into confidentiality agreements with our consultants. There can be no assurance, however, that these measures will prevent the unauthorized disclosure or use of our trade secrets and know-how, or that others may not independently develop similar trade secrets and know-how or obtain access to our trade secrets, know-how, or proprietary technology.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22" w:lineRule="exact"/>
        <w:rPr>
          <w:sz w:val="20"/>
          <w:szCs w:val="20"/>
          <w:color w:val="auto"/>
        </w:rPr>
      </w:pPr>
    </w:p>
    <w:p>
      <w:pPr>
        <w:ind w:firstLine="567"/>
        <w:spacing w:after="0" w:line="291" w:lineRule="auto"/>
        <w:rPr>
          <w:sz w:val="20"/>
          <w:szCs w:val="20"/>
          <w:color w:val="auto"/>
        </w:rPr>
      </w:pPr>
      <w:r>
        <w:rPr>
          <w:rFonts w:ascii="Arial" w:cs="Arial" w:eastAsia="Arial" w:hAnsi="Arial"/>
          <w:sz w:val="14"/>
          <w:szCs w:val="14"/>
          <w:color w:val="auto"/>
        </w:rPr>
        <w:t>We and our subsidiaries face substantial competition in both our blood plasma expander business and our regenerative medicine and stem cell business. That competition is likely to intensify as new products and technologies reach the market. Superior new products are likely to sell for higher prices and generate higher profit margins once acceptance by the medical community is achieved. Those companies that are successful at being the first to introduce new products and technologies to the market may gain significant economic advantages over their competitors in the establishment of a customer base and track record for the performance of their products and technologies. Such companies will also benefit from revenues from sales that could be used to strengthen their research and development, production, and marketing resources. All companies engaged in the medical products industry face the risk of obsolescence of their products and technologies as more advanced or cost-effective products and technologies are developed by their competitors. As the industry matures, companies will compete based upon the performance and cost-effectiveness of their products.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Products for Regenerative Medicine</w:t>
      </w:r>
    </w:p>
    <w:p>
      <w:pPr>
        <w:spacing w:after="0" w:line="218" w:lineRule="exact"/>
        <w:rPr>
          <w:sz w:val="20"/>
          <w:szCs w:val="20"/>
          <w:color w:val="auto"/>
        </w:rPr>
      </w:pPr>
    </w:p>
    <w:p>
      <w:pPr>
        <w:ind w:right="40" w:firstLine="567"/>
        <w:spacing w:after="0" w:line="293" w:lineRule="auto"/>
        <w:rPr>
          <w:sz w:val="20"/>
          <w:szCs w:val="20"/>
          <w:color w:val="auto"/>
        </w:rPr>
      </w:pPr>
      <w:r>
        <w:rPr>
          <w:rFonts w:ascii="Arial" w:cs="Arial" w:eastAsia="Arial" w:hAnsi="Arial"/>
          <w:sz w:val="14"/>
          <w:szCs w:val="14"/>
          <w:color w:val="auto"/>
        </w:rPr>
        <w:t>The stem cell industry is characterized by rapidly evolving technology and intense competition. Our competitors include major multinational pharmaceutical companies, specialty biotechnology companies, and chemical and medical products companies operating in the fields of regenerative medicine, cell therapy, tissue engineering, and tissue regeneration. Many of these companies are well established and possess technical, research and development, financial, and sales and marketing resources significantly greater than ours. In addition, certain smaller biotech companies have formed strategic collaborations, partnerships, and other types of joint ventures with larger, well-established industry competitors that afford the smaller companies’ potential research and development as well as commercialization advantages. Academic institutions, governmental agencies, and other public and private research organizations are also conducting and financing research activities, which may produce products directly competitive to those we are developing.</w:t>
      </w:r>
    </w:p>
    <w:p>
      <w:pPr>
        <w:spacing w:after="0" w:line="168" w:lineRule="exact"/>
        <w:rPr>
          <w:sz w:val="20"/>
          <w:szCs w:val="20"/>
          <w:color w:val="auto"/>
        </w:rPr>
      </w:pPr>
    </w:p>
    <w:p>
      <w:pPr>
        <w:ind w:firstLine="567"/>
        <w:spacing w:after="0" w:line="216" w:lineRule="auto"/>
        <w:rPr>
          <w:sz w:val="20"/>
          <w:szCs w:val="20"/>
          <w:color w:val="auto"/>
        </w:rPr>
      </w:pPr>
      <w:r>
        <w:rPr>
          <w:rFonts w:ascii="Arial" w:cs="Arial" w:eastAsia="Arial" w:hAnsi="Arial"/>
          <w:sz w:val="16"/>
          <w:szCs w:val="16"/>
          <w:color w:val="auto"/>
        </w:rPr>
        <w:t xml:space="preserve">We believe that some of our competitors are trying to develop hES cell-, iPS cell-, and hEPC-based technologies and products that may compete with our stem cell products based on efficacy, safety, cost, and intellectual property positions. We are aware that ACT has obtained approval from the FDA to commence clinical trials of a hES cell product designed to treat age-related macular degeneration. If the ACT product is proven to be safe and effective, it may reach the market ahead of Cell Cure Neuroscience’s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color w:val="auto"/>
        </w:rPr>
        <w:t>, which is not yet in clinical trials.</w:t>
      </w:r>
    </w:p>
    <w:p>
      <w:pPr>
        <w:spacing w:after="0" w:line="203" w:lineRule="exact"/>
        <w:rPr>
          <w:sz w:val="20"/>
          <w:szCs w:val="20"/>
          <w:color w:val="auto"/>
        </w:rPr>
      </w:pPr>
    </w:p>
    <w:p>
      <w:pPr>
        <w:ind w:right="20" w:firstLine="567"/>
        <w:spacing w:after="0" w:line="251" w:lineRule="auto"/>
        <w:rPr>
          <w:sz w:val="20"/>
          <w:szCs w:val="20"/>
          <w:color w:val="auto"/>
        </w:rPr>
      </w:pPr>
      <w:r>
        <w:rPr>
          <w:rFonts w:ascii="Arial" w:cs="Arial" w:eastAsia="Arial" w:hAnsi="Arial"/>
          <w:sz w:val="16"/>
          <w:szCs w:val="16"/>
          <w:color w:val="auto"/>
        </w:rPr>
        <w:t>We may also face competition from companies that have filed patent applications relating to the cloning or differentiation of stem cells. Those companies include ACT, which has had claims allowed on a patent for RPE cells. We may be required to seek licenses from these competitors in order to commercialize certain products proposed by us, and such licenses may not be granted. Upon consummation of the asset acquisition transaction under the Asset Contribution Agreement, Asterias was substituted as the appellant in an appeal of certain decisions of the USPTO in favor of ViaCyte in two patent interference proceedings that were brought by Geron against ViaCyte. ViaCyte is primarily engaged in the development of stem cell derived remedies for diabetes.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4" w:name="page55"/>
    <w:bookmarkEnd w:id="5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Plasma Volume Expanders</w:t>
      </w:r>
    </w:p>
    <w:p>
      <w:pPr>
        <w:spacing w:after="0" w:line="210" w:lineRule="exact"/>
        <w:rPr>
          <w:sz w:val="20"/>
          <w:szCs w:val="20"/>
          <w:color w:val="auto"/>
        </w:rPr>
      </w:pPr>
    </w:p>
    <w:p>
      <w:pPr>
        <w:ind w:right="20" w:firstLine="567"/>
        <w:spacing w:after="0" w:line="226" w:lineRule="auto"/>
        <w:rPr>
          <w:sz w:val="20"/>
          <w:szCs w:val="20"/>
          <w:color w:val="auto"/>
        </w:rPr>
      </w:pPr>
      <w:r>
        <w:rPr>
          <w:rFonts w:ascii="Arial" w:cs="Arial" w:eastAsia="Arial" w:hAnsi="Arial"/>
          <w:sz w:val="14"/>
          <w:szCs w:val="14"/>
          <w:color w:val="auto"/>
        </w:rPr>
        <w:t xml:space="preserve">Our plasma volume expander solutions, including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will compete with products currently used to treat or prevent hypovolemia, including albumin, other colloid solutions, and crystalloid solutions presently manufactured by established pharmaceutical companies, and with human blood products. Some of these products–crystalloid solutions in particular–are commonly used in surgery and trauma care, and they sell at low prices. In order to compete with other products, particularly those that sell at lower prices, our products will have to be recognized as providing medically significant advantages. The competing products are being manufactured and marketed by established pharmaceutical companies with large research facilities, technical staffs, and financial and marketing resources. B. Braun presently markets </w:t>
      </w:r>
      <w:r>
        <w:rPr>
          <w:rFonts w:ascii="Arial" w:cs="Arial" w:eastAsia="Arial" w:hAnsi="Arial"/>
          <w:sz w:val="14"/>
          <w:szCs w:val="14"/>
          <w:i w:val="1"/>
          <w:iCs w:val="1"/>
          <w:color w:val="auto"/>
        </w:rPr>
        <w:t>Hespan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 artificial plasma volume expander containing 6% hetastarch in saline solution. Hospira and Baxter International manufacture and sell a generic equivalent of </w:t>
      </w:r>
      <w:r>
        <w:rPr>
          <w:rFonts w:ascii="Arial" w:cs="Arial" w:eastAsia="Arial" w:hAnsi="Arial"/>
          <w:sz w:val="14"/>
          <w:szCs w:val="14"/>
          <w:i w:val="1"/>
          <w:iCs w:val="1"/>
          <w:color w:val="auto"/>
        </w:rPr>
        <w:t>Hespan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Hospira, which markets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 the U.S., is also the leading seller of generic 6% hetastarch in saline solution, and </w:t>
      </w:r>
      <w:r>
        <w:rPr>
          <w:rFonts w:ascii="Arial" w:cs="Arial" w:eastAsia="Arial" w:hAnsi="Arial"/>
          <w:sz w:val="14"/>
          <w:szCs w:val="14"/>
          <w:i w:val="1"/>
          <w:iCs w:val="1"/>
          <w:color w:val="auto"/>
        </w:rPr>
        <w:t>Voluven</w:t>
      </w:r>
      <w:r>
        <w:rPr>
          <w:rFonts w:ascii="Arial" w:cs="Arial" w:eastAsia="Arial" w:hAnsi="Arial"/>
          <w:sz w:val="23"/>
          <w:szCs w:val="23"/>
          <w:color w:val="auto"/>
          <w:vertAlign w:val="superscript"/>
        </w:rPr>
        <w:t>®</w:t>
      </w:r>
      <w:r>
        <w:rPr>
          <w:rFonts w:ascii="Arial" w:cs="Arial" w:eastAsia="Arial" w:hAnsi="Arial"/>
          <w:sz w:val="14"/>
          <w:szCs w:val="14"/>
          <w:color w:val="auto"/>
        </w:rPr>
        <w:t>, a plasma volume expander containing a 6% low molecular weight hydroxyethyl starch in saline solution. Sanofi-Aventis, Baxter International, and Alpha Therapeutics sell albumin, and Hospira, Baxter International, and B. Braun sell crystalloid solutions. As a result of the introduction of generic plasma expanders and new proprietary products, competition in the plasma expander market has intensified, and wholesale prices of both hetastarch products and albumin have declined which has forced Hospira and other vendors of hetastarch products to make additional price cuts in order to maintain their share of the market.</w:t>
      </w:r>
    </w:p>
    <w:p>
      <w:pPr>
        <w:spacing w:after="0" w:line="206" w:lineRule="exact"/>
        <w:rPr>
          <w:sz w:val="20"/>
          <w:szCs w:val="20"/>
          <w:color w:val="auto"/>
        </w:rPr>
      </w:pPr>
    </w:p>
    <w:p>
      <w:pPr>
        <w:ind w:right="120" w:firstLine="567"/>
        <w:spacing w:after="0" w:line="257" w:lineRule="auto"/>
        <w:rPr>
          <w:sz w:val="20"/>
          <w:szCs w:val="20"/>
          <w:color w:val="auto"/>
        </w:rPr>
      </w:pPr>
      <w:r>
        <w:rPr>
          <w:rFonts w:ascii="Arial" w:cs="Arial" w:eastAsia="Arial" w:hAnsi="Arial"/>
          <w:sz w:val="16"/>
          <w:szCs w:val="16"/>
          <w:color w:val="auto"/>
        </w:rPr>
        <w:t>To compete with new and existing plasma expanders, we have developed products that contain constituents that may prevent or reduce the physiological imbalances, bleeding, fluid overload, edema, poor oxygenation, and organ failure that can occur when competing products are used. To compete with existing organ preservation solutions, we have developed solutions that can be used to preserve all organs simultaneously and for long periods of time.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222" w:lineRule="exact"/>
        <w:rPr>
          <w:sz w:val="20"/>
          <w:szCs w:val="20"/>
          <w:color w:val="auto"/>
        </w:rPr>
      </w:pPr>
    </w:p>
    <w:p>
      <w:pPr>
        <w:ind w:right="80" w:firstLine="567"/>
        <w:spacing w:after="0" w:line="257" w:lineRule="auto"/>
        <w:rPr>
          <w:sz w:val="20"/>
          <w:szCs w:val="20"/>
          <w:color w:val="auto"/>
        </w:rPr>
      </w:pPr>
      <w:r>
        <w:rPr>
          <w:rFonts w:ascii="Arial" w:cs="Arial" w:eastAsia="Arial" w:hAnsi="Arial"/>
          <w:sz w:val="16"/>
          <w:szCs w:val="16"/>
          <w:color w:val="auto"/>
        </w:rPr>
        <w:t>Government authorities at the federal, state and local level, and in other countries, extensively regulate among other things, the development, testing, manufacture, quality, approval, distribution, labeling, packaging, storage, record keeping, marketing, import/export and promotion of drugs, biologics, and medical devices. Authorities also heavily regulate many of these activities for human cells, tissues and cellular and tissue-based products or HCT/Ps.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FDA and Foreign Regulation</w:t>
      </w:r>
    </w:p>
    <w:p>
      <w:pPr>
        <w:spacing w:after="0" w:line="218" w:lineRule="exact"/>
        <w:rPr>
          <w:sz w:val="20"/>
          <w:szCs w:val="20"/>
          <w:color w:val="auto"/>
        </w:rPr>
      </w:pPr>
    </w:p>
    <w:p>
      <w:pPr>
        <w:ind w:right="100" w:firstLine="567"/>
        <w:spacing w:after="0" w:line="296" w:lineRule="auto"/>
        <w:rPr>
          <w:sz w:val="20"/>
          <w:szCs w:val="20"/>
          <w:color w:val="auto"/>
        </w:rPr>
      </w:pPr>
      <w:r>
        <w:rPr>
          <w:rFonts w:ascii="Arial" w:cs="Arial" w:eastAsia="Arial" w:hAnsi="Arial"/>
          <w:sz w:val="14"/>
          <w:szCs w:val="14"/>
          <w:color w:val="auto"/>
        </w:rPr>
        <w:t>The FDA and foreign regulatory authorities will regulate our proposed products as drugs, biologicals, or medical devices, depending upon such factors as the use to which the product will be put, the chemical composition, and the interaction of the product with the human body. In the United States, the FDA regulates drugs and biologicals under the Federal Food, Drug and Cosmetic Act or FDCA, the Public Health Service Act, or PHSA, and implementing regulations. In addition, establishments that manufacture human cells, tissues, and cellular and tissue-based products are subject to additional registration and listing requirements, including current good tissue practice regulations. Many of Asterias’ proposed products will be reviewed by the FDA staff in its Center for Biologics Evaluation and Research (CBER) Office of Cellular, Tissue and Gene Therapies</w:t>
      </w:r>
    </w:p>
    <w:p>
      <w:pPr>
        <w:spacing w:after="0" w:line="165" w:lineRule="exact"/>
        <w:rPr>
          <w:sz w:val="20"/>
          <w:szCs w:val="20"/>
          <w:color w:val="auto"/>
        </w:rPr>
      </w:pPr>
    </w:p>
    <w:p>
      <w:pPr>
        <w:ind w:right="40" w:firstLine="567"/>
        <w:spacing w:after="0" w:line="251" w:lineRule="auto"/>
        <w:rPr>
          <w:sz w:val="20"/>
          <w:szCs w:val="20"/>
          <w:color w:val="auto"/>
        </w:rPr>
      </w:pPr>
      <w:r>
        <w:rPr>
          <w:rFonts w:ascii="Arial" w:cs="Arial" w:eastAsia="Arial" w:hAnsi="Arial"/>
          <w:sz w:val="16"/>
          <w:szCs w:val="16"/>
          <w:color w:val="auto"/>
        </w:rPr>
        <w:t>Our domestic human drug and biological products will be subject to rigorous FDA review and approval procedures. After testing in animals to evaluate the potential efficacy and safety of the product candidate, an IND must be submitted to the FDA to obtain authorization for human testing. Extensive clinical testing, which is generally done in three phases, must then be undertaken at a hospital or medical center to demonstrate optimal use, safety, and efficacy of each product in humans. Each clinical study is conducted under the auspices of an independent Institutional Review Board (“IRB”). The IRB will consider, among other things, ethical factors, the safety of human subjects, and the possible liability of the institution.</w:t>
      </w:r>
    </w:p>
    <w:p>
      <w:pPr>
        <w:spacing w:after="0" w:line="196" w:lineRule="exact"/>
        <w:rPr>
          <w:sz w:val="20"/>
          <w:szCs w:val="20"/>
          <w:color w:val="auto"/>
        </w:rPr>
      </w:pPr>
    </w:p>
    <w:p>
      <w:pPr>
        <w:ind w:firstLine="567"/>
        <w:spacing w:after="0" w:line="290" w:lineRule="auto"/>
        <w:rPr>
          <w:sz w:val="20"/>
          <w:szCs w:val="20"/>
          <w:color w:val="auto"/>
        </w:rPr>
      </w:pPr>
      <w:r>
        <w:rPr>
          <w:rFonts w:ascii="Arial" w:cs="Arial" w:eastAsia="Arial" w:hAnsi="Arial"/>
          <w:sz w:val="14"/>
          <w:szCs w:val="14"/>
          <w:color w:val="auto"/>
        </w:rPr>
        <w:t>Clinical trials are generally conducted in three “phases.” Phase I clinical trials are conducted in a small number of healthy volunteers or volunteers with the target disease or condition to assess safety. Phase II clinical trials are conducted with groups of patients afflicted with the target disease or condition in order to determine preliminary efficacy, optimal dosages and expanded evidence of safety. In some cases, an initial trial is conducted in diseased patients to assess both preliminary efficacy and preliminary safety, in which case it is referred to as a Phase I/II trial. Phase III trials are large-scale, multi-center, comparative trials and are conducted with patients afflicted with the target disease or condition in order to provide enough data to demonstrate the efficacy and safety required by the FDA. The FDA closely monitors the progress of each of the three phases of clinical testing and may, at its discretion, re-evaluate, alter, suspend, or terminate the clinical trial based upon the data which have been accumulated to that point and its assessment of the risk/benefit ratio to the intended patient population. All adverse events must be reported to the FDA. Monitoring of all aspects of the study to minimize risks is a continuing process. The time and expense required to perform this clinical testing can far exceed the time and expense of the research and development initially required to create the product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55" w:name="page56"/>
    <w:bookmarkEnd w:id="5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120" w:firstLine="567"/>
        <w:spacing w:after="0" w:line="250" w:lineRule="auto"/>
        <w:rPr>
          <w:sz w:val="20"/>
          <w:szCs w:val="20"/>
          <w:color w:val="auto"/>
        </w:rPr>
      </w:pPr>
      <w:r>
        <w:rPr>
          <w:rFonts w:ascii="Arial" w:cs="Arial" w:eastAsia="Arial" w:hAnsi="Arial"/>
          <w:sz w:val="16"/>
          <w:szCs w:val="16"/>
          <w:color w:val="auto"/>
        </w:rPr>
        <w:t>No action can be taken to market any therapeutic product in the U.S. until an appropriate New Drug Application (“NDA”) or Biologics License Application (BLA) has been approved by the FDA. Submission of the application is no guarantee that the FDA will find it complete and accept it for filing. If an application is accepted for filing, following the FDA’s review, the FDA may grant marketing approval, request additional information or deny the application if it determines that the application does not provide an adequate basis for approval. FDA regulations also restrict the export of therapeutic products for clinical use prior to FDA approval. To date, the FDA has not granted marketing approval to any hES-based therapeutic products and it is possible that the FDA or foreign regulatory agencies may subject our product candidates to additional or more stringent review than drugs or biologicals derived from other technologies.</w:t>
      </w:r>
    </w:p>
    <w:p>
      <w:pPr>
        <w:spacing w:after="0" w:line="197" w:lineRule="exact"/>
        <w:rPr>
          <w:sz w:val="20"/>
          <w:szCs w:val="20"/>
          <w:color w:val="auto"/>
        </w:rPr>
      </w:pPr>
    </w:p>
    <w:p>
      <w:pPr>
        <w:ind w:right="20" w:firstLine="567"/>
        <w:spacing w:after="0" w:line="291" w:lineRule="auto"/>
        <w:rPr>
          <w:sz w:val="20"/>
          <w:szCs w:val="20"/>
          <w:color w:val="auto"/>
        </w:rPr>
      </w:pPr>
      <w:r>
        <w:rPr>
          <w:rFonts w:ascii="Arial" w:cs="Arial" w:eastAsia="Arial" w:hAnsi="Arial"/>
          <w:sz w:val="14"/>
          <w:szCs w:val="14"/>
          <w:color w:val="auto"/>
        </w:rPr>
        <w:t>The FDA may grant accelerated approval status to products that treat serious or life-threatening illnesses and that provide meaningful therapeutic benefits to patients over existing treatments. Under its accelerated approval regulations, the FDA may approve a product based on a surrogate endpoint that is reasonably likely to predict clinical benefits or based on an effect on a clinical endpoint other than survival or irreversible morbidity. The applicant will then be required to conduct additional, post-approval confirmatory trials to verify and describe clinical benefit, and the product may have certain post-marketing restrictions as necessary to assure safe use. The FDA may withdraw approval granted under the traditional route or under an accelerated approval, if it is warranted. The FDA may also consider ways to use the accelerated approval pathway for rare or very rare diseases, and a new review designation has been created to help foster the innovation of promising new therapies with the potential to shorten the timeframe for conducting pivotal trials and speed up patient access to the approved product. There is no assurance that the FDA will grant accelerated approval status to any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Medical Devices</w:t>
      </w:r>
    </w:p>
    <w:p>
      <w:pPr>
        <w:spacing w:after="0" w:line="210" w:lineRule="exact"/>
        <w:rPr>
          <w:sz w:val="20"/>
          <w:szCs w:val="20"/>
          <w:color w:val="auto"/>
        </w:rPr>
      </w:pPr>
    </w:p>
    <w:p>
      <w:pPr>
        <w:ind w:right="40" w:firstLine="567"/>
        <w:spacing w:after="0" w:line="227" w:lineRule="auto"/>
        <w:rPr>
          <w:sz w:val="20"/>
          <w:szCs w:val="20"/>
          <w:color w:val="auto"/>
        </w:rPr>
      </w:pPr>
      <w:r>
        <w:rPr>
          <w:rFonts w:ascii="Arial" w:cs="Arial" w:eastAsia="Arial" w:hAnsi="Arial"/>
          <w:sz w:val="16"/>
          <w:szCs w:val="16"/>
          <w:color w:val="auto"/>
        </w:rPr>
        <w:t xml:space="preserve">Obtaining regulatory approval of </w:t>
      </w:r>
      <w:r>
        <w:rPr>
          <w:rFonts w:ascii="Arial" w:cs="Arial" w:eastAsia="Arial" w:hAnsi="Arial"/>
          <w:sz w:val="16"/>
          <w:szCs w:val="16"/>
          <w:i w:val="1"/>
          <w:iCs w:val="1"/>
          <w:color w:val="auto"/>
        </w:rPr>
        <w:t>Renevia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a similar implantable matrix for tissue transplant or stem cell therapy will require the preparation of a Device Master File containing details on the basic chemistry of the product manufacturing and production methods, analytical controls to assure that the product meets its release specification, and data from analytical assay and process validations, ISO 10993 biocompatibility testing. Preparation of a Device Master File and completion of ISO biocompatibility testing represents a majority of the expenses associated with the regulatory application process in Europe. Clinical trials may also be required on pre-approval or post-approval basis in Europe. The procedures for obtaining FDA approval to sell products in the U.S. are likely to be more stringent, and the cost greater, than would be the case in an application for approval in Europe.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Combination Products</w:t>
      </w:r>
    </w:p>
    <w:p>
      <w:pPr>
        <w:spacing w:after="0" w:line="218" w:lineRule="exact"/>
        <w:rPr>
          <w:sz w:val="20"/>
          <w:szCs w:val="20"/>
          <w:color w:val="auto"/>
        </w:rPr>
      </w:pPr>
    </w:p>
    <w:p>
      <w:pPr>
        <w:ind w:firstLine="567"/>
        <w:spacing w:after="0" w:line="242" w:lineRule="auto"/>
        <w:rPr>
          <w:sz w:val="20"/>
          <w:szCs w:val="20"/>
          <w:color w:val="auto"/>
        </w:rPr>
      </w:pPr>
      <w:r>
        <w:rPr>
          <w:rFonts w:ascii="Arial" w:cs="Arial" w:eastAsia="Arial" w:hAnsi="Arial"/>
          <w:sz w:val="15"/>
          <w:szCs w:val="15"/>
          <w:color w:val="auto"/>
        </w:rPr>
        <w:t xml:space="preserve">If we develop any products that are used with medical devices, they may be considered combination products, which are defined by the FDA to include products comprised of two or more regulated components or parts such as a biologic and a device. For example, our </w:t>
      </w:r>
      <w:r>
        <w:rPr>
          <w:rFonts w:ascii="Arial" w:cs="Arial" w:eastAsia="Arial" w:hAnsi="Arial"/>
          <w:sz w:val="15"/>
          <w:szCs w:val="15"/>
          <w:i w:val="1"/>
          <w:iCs w:val="1"/>
          <w:color w:val="auto"/>
        </w:rPr>
        <w:t>HyStem</w:t>
      </w:r>
      <w:r>
        <w:rPr>
          <w:rFonts w:ascii="Arial" w:cs="Arial" w:eastAsia="Arial" w:hAnsi="Arial"/>
          <w:sz w:val="25"/>
          <w:szCs w:val="25"/>
          <w:color w:val="auto"/>
          <w:vertAlign w:val="superscript"/>
        </w:rPr>
        <w:t>®</w:t>
      </w:r>
      <w:r>
        <w:rPr>
          <w:rFonts w:ascii="Arial" w:cs="Arial" w:eastAsia="Arial" w:hAnsi="Arial"/>
          <w:sz w:val="15"/>
          <w:szCs w:val="15"/>
          <w:color w:val="auto"/>
        </w:rPr>
        <w:t xml:space="preserve"> hydrogel products such as </w:t>
      </w:r>
      <w:r>
        <w:rPr>
          <w:rFonts w:ascii="Arial" w:cs="Arial" w:eastAsia="Arial" w:hAnsi="Arial"/>
          <w:sz w:val="15"/>
          <w:szCs w:val="15"/>
          <w:i w:val="1"/>
          <w:iCs w:val="1"/>
          <w:color w:val="auto"/>
        </w:rPr>
        <w:t>Renevia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may be used to administer one or more hES cell-based therapy products. When regulated independently, biologics and devices each have their own regulatory requirements. However, the regulatory requirements for a combination product comprised of a biologic administered with a delivery device can be more complex, because in addition to the individual regulatory requirements for each component, additional combination product regulatory requirements may apply. There is an Office of Combination Products at the FDA that coordinates the review of such products and determines the primary mode of action of a combination product. The definition and regulatory requirements for combination products may differ significantly among other countries in which we may seek approval of our product candidates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6" w:name="page57"/>
    <w:bookmarkEnd w:id="5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Post-Approval Matters</w:t>
      </w:r>
    </w:p>
    <w:p>
      <w:pPr>
        <w:spacing w:after="0" w:line="218" w:lineRule="exact"/>
        <w:rPr>
          <w:sz w:val="20"/>
          <w:szCs w:val="20"/>
          <w:color w:val="auto"/>
        </w:rPr>
      </w:pPr>
    </w:p>
    <w:p>
      <w:pPr>
        <w:ind w:firstLine="567"/>
        <w:spacing w:after="0" w:line="269" w:lineRule="auto"/>
        <w:rPr>
          <w:sz w:val="20"/>
          <w:szCs w:val="20"/>
          <w:color w:val="auto"/>
        </w:rPr>
      </w:pPr>
      <w:r>
        <w:rPr>
          <w:rFonts w:ascii="Arial" w:cs="Arial" w:eastAsia="Arial" w:hAnsi="Arial"/>
          <w:sz w:val="15"/>
          <w:szCs w:val="15"/>
          <w:color w:val="auto"/>
        </w:rPr>
        <w:t>Even after initial FDA approval has been obtained, further studies may be required to provide additional data on safety or to gain approval for the use of a product as a treatment for clinical indications other than those initially targeted. Use of a product during testing and after marketing could reveal side effects that could delay, impede, or prevent FDA marketing approval, result in an FDA-ordered product recall, or in FDA-imposed limitations on permissible uses or in withdrawal of approval. For example, if the FDA becomes aware of new safety information after approval of a product, it may require us to conduct further clinical trials to assess a known or potential serious risk and to assure that the benefit of the product outweigh the risks. If we are required to conduct such a post-approval study, periodic status reports must be submitted to the FDA. Failure to conduct such post-approval studies in a timely manner may result in substantial civil or criminal penalties. Data resulting from these clinical trials may result in expansions or restrictions to the labeled indications for which a product has already been approved.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FDA Regulation of Manufacturing</w:t>
      </w:r>
    </w:p>
    <w:p>
      <w:pPr>
        <w:spacing w:after="0" w:line="218" w:lineRule="exact"/>
        <w:rPr>
          <w:sz w:val="20"/>
          <w:szCs w:val="20"/>
          <w:color w:val="auto"/>
        </w:rPr>
      </w:pPr>
    </w:p>
    <w:p>
      <w:pPr>
        <w:ind w:right="100" w:firstLine="567"/>
        <w:spacing w:after="0" w:line="291" w:lineRule="auto"/>
        <w:rPr>
          <w:sz w:val="20"/>
          <w:szCs w:val="20"/>
          <w:color w:val="auto"/>
        </w:rPr>
      </w:pPr>
      <w:r>
        <w:rPr>
          <w:rFonts w:ascii="Arial" w:cs="Arial" w:eastAsia="Arial" w:hAnsi="Arial"/>
          <w:sz w:val="14"/>
          <w:szCs w:val="14"/>
          <w:color w:val="auto"/>
        </w:rPr>
        <w:t>The FDA regulates the manufacturing process of pharmaceutical products, and human tissue and cell products, requiring that they be produced in compliance with cGMP. See “Manufacturing.” The FDA regulates and inspects equipment, facilities, laboratories and processes used in the manufacturing and testing of products prior to providing approval to market products. If after receiving approval from the FDA, a material change is made to manufacturing equipment or to the location or manufacturing process, additional regulatory review may be required. The FDA also conducts regular, periodic visits to re-inspect the equipment, facilities, laboratories and processes of manufacturers following an initial approval. If, as a result of those inspections, the FDA determines that that equipment, facilities, laboratories or processes do not comply with applicable FDA regulations and conditions of product approval, the FDA may seek civil, criminal or administrative sanctions and/or remedies against the manufacturer, including suspension of manufacturing operations. Issues pertaining to manufacturing equipment, facilities or processes may also delay the approval of new products undergoing FDA review.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FDA Regulation of Advertising and Product Promotion</w:t>
      </w:r>
    </w:p>
    <w:p>
      <w:pPr>
        <w:spacing w:after="0" w:line="218" w:lineRule="exact"/>
        <w:rPr>
          <w:sz w:val="20"/>
          <w:szCs w:val="20"/>
          <w:color w:val="auto"/>
        </w:rPr>
      </w:pPr>
    </w:p>
    <w:p>
      <w:pPr>
        <w:ind w:firstLine="567"/>
        <w:spacing w:after="0" w:line="257" w:lineRule="auto"/>
        <w:rPr>
          <w:sz w:val="20"/>
          <w:szCs w:val="20"/>
          <w:color w:val="auto"/>
        </w:rPr>
      </w:pPr>
      <w:r>
        <w:rPr>
          <w:rFonts w:ascii="Arial" w:cs="Arial" w:eastAsia="Arial" w:hAnsi="Arial"/>
          <w:sz w:val="16"/>
          <w:szCs w:val="16"/>
          <w:color w:val="auto"/>
        </w:rPr>
        <w:t>The FDA also regulates the content of advertisements used to market pharmaceutical and biological products. Claims made in advertisements concerning the safety and efficacy of a product, or any advantages of a product over another product, must be supported by clinical data filed as part of an NDA or BLA or an amendment to an NDA or BLA, and must be consistent with the FDA approved labeling and dosage information for that product.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Regulation</w:t>
      </w:r>
    </w:p>
    <w:p>
      <w:pPr>
        <w:spacing w:after="0" w:line="218" w:lineRule="exact"/>
        <w:rPr>
          <w:sz w:val="20"/>
          <w:szCs w:val="20"/>
          <w:color w:val="auto"/>
        </w:rPr>
      </w:pPr>
    </w:p>
    <w:p>
      <w:pPr>
        <w:jc w:val="both"/>
        <w:ind w:right="60" w:firstLine="567"/>
        <w:spacing w:after="0" w:line="257" w:lineRule="auto"/>
        <w:rPr>
          <w:sz w:val="20"/>
          <w:szCs w:val="20"/>
          <w:color w:val="auto"/>
        </w:rPr>
      </w:pPr>
      <w:r>
        <w:rPr>
          <w:rFonts w:ascii="Arial" w:cs="Arial" w:eastAsia="Arial" w:hAnsi="Arial"/>
          <w:sz w:val="16"/>
          <w:szCs w:val="16"/>
          <w:color w:val="auto"/>
        </w:rPr>
        <w:t>Sales of pharmaceutical products outside the U.S. are subject to foreign regulatory requirements that vary widely from country to country. Even if FDA approval has been obtained, approval of a product by comparable regulatory authorities of foreign countries must be obtained prior to the commencement of marketing the product in those countries. The time required to obtain such approval may be longer or shorter than that required for FDA approval.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Federal Funding of Research</w:t>
      </w:r>
    </w:p>
    <w:p>
      <w:pPr>
        <w:spacing w:after="0" w:line="218" w:lineRule="exact"/>
        <w:rPr>
          <w:sz w:val="20"/>
          <w:szCs w:val="20"/>
          <w:color w:val="auto"/>
        </w:rPr>
      </w:pPr>
    </w:p>
    <w:p>
      <w:pPr>
        <w:ind w:firstLine="567"/>
        <w:spacing w:after="0" w:line="267" w:lineRule="auto"/>
        <w:rPr>
          <w:sz w:val="20"/>
          <w:szCs w:val="20"/>
          <w:color w:val="auto"/>
        </w:rPr>
      </w:pPr>
      <w:r>
        <w:rPr>
          <w:rFonts w:ascii="Arial" w:cs="Arial" w:eastAsia="Arial" w:hAnsi="Arial"/>
          <w:sz w:val="15"/>
          <w:szCs w:val="15"/>
          <w:color w:val="auto"/>
        </w:rPr>
        <w:t>The United States government and its agencies have until recently refused to fund research which involves the use of human embryonic tissue. President Bush issued Executive Orders on August 9, 2001 and June 20, 2007 that permitted federal funding of research on hES cells using only the limited number of hES cell lines that had already been created as of August 9, 2001. On March 9, 2009, President Obama issued an Executive Order rescinding President Bush’s August 9, 2001 and June 20, 2007 Executive Orders. President Obama’s Executive Order also instructed the NIH to review existing guidance on human stem cell research and to issue new guidance on the use of hES cells in federally funded research, consistent with President’s new Executive Order and existing law. The NIH has adopted new guidelines that went into effect July 7, 2009. The central focus of the new guidelines is to assure that hES cells used in federally funded research were derived from human embryos that were created for reproductive purposes, were no longer needed for this purpose, and were voluntarily donated for research purposes with the informed written consent of the donors. Those hES cells that were derived from embryos created for research purposes rather than reproductive purposes, and other hES cells that were not derived in compliance with the guidelines, are not eligible for use in federally funded research.</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57" w:name="page58"/>
    <w:bookmarkEnd w:id="5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60" w:firstLine="567"/>
        <w:spacing w:after="0" w:line="291" w:lineRule="auto"/>
        <w:rPr>
          <w:sz w:val="20"/>
          <w:szCs w:val="20"/>
          <w:color w:val="auto"/>
        </w:rPr>
      </w:pPr>
      <w:r>
        <w:rPr>
          <w:rFonts w:ascii="Arial" w:cs="Arial" w:eastAsia="Arial" w:hAnsi="Arial"/>
          <w:sz w:val="14"/>
          <w:szCs w:val="14"/>
          <w:color w:val="auto"/>
        </w:rPr>
        <w:t>In addition to President Obama’s Executive Order, a bipartisan bill has been introduced in the U.S. Senate that would allow Federal funding of hES research. The Senate bill is identical to one that was previously approved by both Houses of Congress but vetoed by President Bush. The Senate Bill provides that hES cells will be eligible for use in research conducted or supported by federal funding if the cells meet each of the following guidelines: (1) the stem cells were derived from human embryos that have been donated from IVF clinics, were created for the purposes of fertility treatment, and were in excess of the clinical need of the individuals seeking such treatment, (2) prior to the consideration of embryo donation and through consultation with the individuals seeking fertility treatment, it was determined that the embryos would never be implanted in a woman and would otherwise be discarded, and (3) the individuals seeking fertility treatment donated the embryos with written informed consent and without receiving any financial or other inducements to make the donation. The Senate Bill authorizes the NIH to adopt further guidelines consistent with the legislation.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California State Regulations</w:t>
      </w:r>
    </w:p>
    <w:p>
      <w:pPr>
        <w:spacing w:after="0" w:line="218" w:lineRule="exact"/>
        <w:rPr>
          <w:sz w:val="20"/>
          <w:szCs w:val="20"/>
          <w:color w:val="auto"/>
        </w:rPr>
      </w:pPr>
    </w:p>
    <w:p>
      <w:pPr>
        <w:ind w:firstLine="567"/>
        <w:spacing w:after="0" w:line="250" w:lineRule="auto"/>
        <w:rPr>
          <w:sz w:val="20"/>
          <w:szCs w:val="20"/>
          <w:color w:val="auto"/>
        </w:rPr>
      </w:pPr>
      <w:r>
        <w:rPr>
          <w:rFonts w:ascii="Arial" w:cs="Arial" w:eastAsia="Arial" w:hAnsi="Arial"/>
          <w:sz w:val="16"/>
          <w:szCs w:val="16"/>
          <w:color w:val="auto"/>
        </w:rPr>
        <w:t xml:space="preserve">The state of California has adopted legislation and regulations that require institutions that conduct stem cell research to notify, and in certain cases obtain approval from, a Stem Cell Research Oversight Committee (“SCRO Committee”) before conducting the research. Advance notice, but not approval by the SCRO Committee, is required in the case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research that does not derive new stem cell lines. Research that derives new stem cell lines or that involves fertilized human oocytes or blastocysts, or that involves clinical trials or the introduction of stem cells into humans, or that involves introducing stem cells into animals, requires advanced approval by the SCRO Committee. Clinical trials may also entail approvals from IRB at the medical center at which the study is conducted, and animal studies may require approval by an Institutional Animal Care and Use Committee.</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hES cell lines that will be used in our research must be acceptably derived. To be acceptably derived, the pluripotent stem cell line must have either:</w:t>
      </w:r>
    </w:p>
    <w:p>
      <w:pPr>
        <w:spacing w:after="0" w:line="218" w:lineRule="exact"/>
        <w:rPr>
          <w:sz w:val="20"/>
          <w:szCs w:val="20"/>
          <w:color w:val="auto"/>
        </w:rPr>
      </w:pPr>
    </w:p>
    <w:p>
      <w:pPr>
        <w:ind w:left="840" w:hanging="278"/>
        <w:spacing w:after="0"/>
        <w:tabs>
          <w:tab w:leader="none" w:pos="840" w:val="left"/>
        </w:tabs>
        <w:numPr>
          <w:ilvl w:val="0"/>
          <w:numId w:val="18"/>
        </w:numPr>
        <w:rPr>
          <w:rFonts w:ascii="Arial" w:cs="Arial" w:eastAsia="Arial" w:hAnsi="Arial"/>
          <w:sz w:val="17"/>
          <w:szCs w:val="17"/>
          <w:color w:val="auto"/>
        </w:rPr>
      </w:pPr>
      <w:r>
        <w:rPr>
          <w:rFonts w:ascii="Arial" w:cs="Arial" w:eastAsia="Arial" w:hAnsi="Arial"/>
          <w:sz w:val="16"/>
          <w:szCs w:val="16"/>
          <w:color w:val="auto"/>
        </w:rPr>
        <w:t>Been listed on the National Institutes of Health Human Embryonic Stem Cell Registry; or</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18"/>
        </w:numPr>
        <w:rPr>
          <w:rFonts w:ascii="Arial" w:cs="Arial" w:eastAsia="Arial" w:hAnsi="Arial"/>
          <w:sz w:val="17"/>
          <w:szCs w:val="17"/>
          <w:color w:val="auto"/>
        </w:rPr>
      </w:pPr>
      <w:r>
        <w:rPr>
          <w:rFonts w:ascii="Arial" w:cs="Arial" w:eastAsia="Arial" w:hAnsi="Arial"/>
          <w:sz w:val="16"/>
          <w:szCs w:val="16"/>
          <w:color w:val="auto"/>
        </w:rPr>
        <w:t>Been deposited in the United Kingdom Stem Cell Bank; or</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18"/>
        </w:numPr>
        <w:rPr>
          <w:rFonts w:ascii="Arial" w:cs="Arial" w:eastAsia="Arial" w:hAnsi="Arial"/>
          <w:sz w:val="17"/>
          <w:szCs w:val="17"/>
          <w:color w:val="auto"/>
        </w:rPr>
      </w:pPr>
      <w:r>
        <w:rPr>
          <w:rFonts w:ascii="Arial" w:cs="Arial" w:eastAsia="Arial" w:hAnsi="Arial"/>
          <w:sz w:val="16"/>
          <w:szCs w:val="16"/>
          <w:color w:val="auto"/>
        </w:rPr>
        <w:t>Been derived by, or approved for use by, a licensee of the United Kingdom Human Fertilisation and Embryology Authority; or</w:t>
      </w:r>
    </w:p>
    <w:p>
      <w:pPr>
        <w:spacing w:after="0" w:line="218" w:lineRule="exact"/>
        <w:rPr>
          <w:rFonts w:ascii="Arial" w:cs="Arial" w:eastAsia="Arial" w:hAnsi="Arial"/>
          <w:sz w:val="17"/>
          <w:szCs w:val="17"/>
          <w:color w:val="auto"/>
        </w:rPr>
      </w:pPr>
    </w:p>
    <w:p>
      <w:pPr>
        <w:ind w:left="840" w:right="60" w:hanging="278"/>
        <w:spacing w:after="0" w:line="253" w:lineRule="auto"/>
        <w:tabs>
          <w:tab w:leader="none" w:pos="840" w:val="left"/>
        </w:tabs>
        <w:numPr>
          <w:ilvl w:val="0"/>
          <w:numId w:val="18"/>
        </w:numPr>
        <w:rPr>
          <w:rFonts w:ascii="Arial" w:cs="Arial" w:eastAsia="Arial" w:hAnsi="Arial"/>
          <w:sz w:val="17"/>
          <w:szCs w:val="17"/>
          <w:color w:val="auto"/>
        </w:rPr>
      </w:pPr>
      <w:r>
        <w:rPr>
          <w:rFonts w:ascii="Arial" w:cs="Arial" w:eastAsia="Arial" w:hAnsi="Arial"/>
          <w:sz w:val="16"/>
          <w:szCs w:val="16"/>
          <w:color w:val="auto"/>
        </w:rPr>
        <w:t>Been derived in accordance with the Canadian Institutes of Health Research Guidelines for Human Stem Cell Research under an application approved by the National Stem Cell Oversight Committee; or</w:t>
      </w:r>
    </w:p>
    <w:p>
      <w:pPr>
        <w:spacing w:after="0" w:line="190" w:lineRule="exact"/>
        <w:rPr>
          <w:rFonts w:ascii="Arial" w:cs="Arial" w:eastAsia="Arial" w:hAnsi="Arial"/>
          <w:sz w:val="17"/>
          <w:szCs w:val="17"/>
          <w:color w:val="auto"/>
        </w:rPr>
      </w:pPr>
    </w:p>
    <w:p>
      <w:pPr>
        <w:ind w:left="840" w:hanging="278"/>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5"/>
          <w:szCs w:val="15"/>
          <w:color w:val="auto"/>
        </w:rPr>
        <w:t>Been approved by the California Institute for Regenerative Medicine (“CIRM”) in accordance with California Code of Regulation Title 17, Section 100081; or</w:t>
      </w:r>
    </w:p>
    <w:p>
      <w:pPr>
        <w:spacing w:after="0" w:line="229" w:lineRule="exact"/>
        <w:rPr>
          <w:rFonts w:ascii="Arial" w:cs="Arial" w:eastAsia="Arial" w:hAnsi="Arial"/>
          <w:sz w:val="16"/>
          <w:szCs w:val="16"/>
          <w:color w:val="auto"/>
        </w:rPr>
      </w:pPr>
    </w:p>
    <w:p>
      <w:pPr>
        <w:ind w:left="840" w:hanging="278"/>
        <w:spacing w:after="0"/>
        <w:tabs>
          <w:tab w:leader="none" w:pos="840" w:val="left"/>
        </w:tabs>
        <w:numPr>
          <w:ilvl w:val="0"/>
          <w:numId w:val="18"/>
        </w:numPr>
        <w:rPr>
          <w:rFonts w:ascii="Arial" w:cs="Arial" w:eastAsia="Arial" w:hAnsi="Arial"/>
          <w:sz w:val="17"/>
          <w:szCs w:val="17"/>
          <w:color w:val="auto"/>
        </w:rPr>
      </w:pPr>
      <w:r>
        <w:rPr>
          <w:rFonts w:ascii="Arial" w:cs="Arial" w:eastAsia="Arial" w:hAnsi="Arial"/>
          <w:sz w:val="16"/>
          <w:szCs w:val="16"/>
          <w:color w:val="auto"/>
        </w:rPr>
        <w:t>Been derived under the following conditions:</w:t>
      </w:r>
    </w:p>
    <w:p>
      <w:pPr>
        <w:spacing w:after="0" w:line="218" w:lineRule="exact"/>
        <w:rPr>
          <w:rFonts w:ascii="Arial" w:cs="Arial" w:eastAsia="Arial" w:hAnsi="Arial"/>
          <w:sz w:val="17"/>
          <w:szCs w:val="17"/>
          <w:color w:val="auto"/>
        </w:rPr>
      </w:pPr>
    </w:p>
    <w:p>
      <w:pPr>
        <w:ind w:left="1100" w:hanging="255"/>
        <w:spacing w:after="0"/>
        <w:tabs>
          <w:tab w:leader="none" w:pos="11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Donors of gametes, embryos, somatic cells, or human tissue gave voluntary and informed consent,</w:t>
      </w:r>
    </w:p>
    <w:p>
      <w:pPr>
        <w:spacing w:after="0" w:line="217" w:lineRule="exact"/>
        <w:rPr>
          <w:rFonts w:ascii="Arial" w:cs="Arial" w:eastAsia="Arial" w:hAnsi="Arial"/>
          <w:sz w:val="16"/>
          <w:szCs w:val="16"/>
          <w:color w:val="auto"/>
        </w:rPr>
      </w:pPr>
    </w:p>
    <w:p>
      <w:pPr>
        <w:ind w:left="840" w:right="700" w:firstLine="5"/>
        <w:spacing w:after="0" w:line="267" w:lineRule="auto"/>
        <w:tabs>
          <w:tab w:leader="none" w:pos="1102" w:val="left"/>
        </w:tabs>
        <w:numPr>
          <w:ilvl w:val="1"/>
          <w:numId w:val="18"/>
        </w:numPr>
        <w:rPr>
          <w:rFonts w:ascii="Arial" w:cs="Arial" w:eastAsia="Arial" w:hAnsi="Arial"/>
          <w:sz w:val="16"/>
          <w:szCs w:val="16"/>
          <w:color w:val="auto"/>
        </w:rPr>
      </w:pPr>
      <w:r>
        <w:rPr>
          <w:rFonts w:ascii="Arial" w:cs="Arial" w:eastAsia="Arial" w:hAnsi="Arial"/>
          <w:sz w:val="16"/>
          <w:szCs w:val="16"/>
          <w:color w:val="auto"/>
        </w:rPr>
        <w:t>Donors of gametes, embryos, somatic cells, or human tissue did not receive valuable consideration. This provision does not prohibit reimbursement for permissible expenses as determined by an IRB,</w:t>
      </w:r>
    </w:p>
    <w:p>
      <w:pPr>
        <w:spacing w:after="0" w:line="181" w:lineRule="exact"/>
        <w:rPr>
          <w:rFonts w:ascii="Arial" w:cs="Arial" w:eastAsia="Arial" w:hAnsi="Arial"/>
          <w:sz w:val="16"/>
          <w:szCs w:val="16"/>
          <w:color w:val="auto"/>
        </w:rPr>
      </w:pPr>
    </w:p>
    <w:p>
      <w:pPr>
        <w:ind w:left="1100" w:hanging="255"/>
        <w:spacing w:after="0"/>
        <w:tabs>
          <w:tab w:leader="none" w:pos="1100" w:val="left"/>
        </w:tabs>
        <w:numPr>
          <w:ilvl w:val="1"/>
          <w:numId w:val="18"/>
        </w:numPr>
        <w:rPr>
          <w:rFonts w:ascii="Arial" w:cs="Arial" w:eastAsia="Arial" w:hAnsi="Arial"/>
          <w:sz w:val="15"/>
          <w:szCs w:val="15"/>
          <w:color w:val="auto"/>
        </w:rPr>
      </w:pPr>
      <w:r>
        <w:rPr>
          <w:rFonts w:ascii="Arial" w:cs="Arial" w:eastAsia="Arial" w:hAnsi="Arial"/>
          <w:sz w:val="15"/>
          <w:szCs w:val="15"/>
          <w:color w:val="auto"/>
        </w:rPr>
        <w:t>Donation of gametes, embryos, somatic cells, or human tissue was overseen by an IRB (or, in the case of foreign sources, an IRB equivalent), and</w:t>
      </w:r>
    </w:p>
    <w:p>
      <w:pPr>
        <w:spacing w:after="0" w:line="229" w:lineRule="exact"/>
        <w:rPr>
          <w:rFonts w:ascii="Arial" w:cs="Arial" w:eastAsia="Arial" w:hAnsi="Arial"/>
          <w:sz w:val="15"/>
          <w:szCs w:val="15"/>
          <w:color w:val="auto"/>
        </w:rPr>
      </w:pPr>
    </w:p>
    <w:p>
      <w:pPr>
        <w:ind w:left="840" w:right="180" w:firstLine="5"/>
        <w:spacing w:after="0" w:line="267" w:lineRule="auto"/>
        <w:tabs>
          <w:tab w:leader="none" w:pos="1102"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Individuals who consented to donate stored gametes, embryos, somatic cells, or human tissue were not reimbursed for the cost of storage prior to the decision to donate.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58" w:name="page59"/>
    <w:bookmarkEnd w:id="5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jc w:val="both"/>
        <w:ind w:right="60" w:firstLine="567"/>
        <w:spacing w:after="0" w:line="311" w:lineRule="auto"/>
        <w:rPr>
          <w:sz w:val="20"/>
          <w:szCs w:val="20"/>
          <w:color w:val="auto"/>
        </w:rPr>
      </w:pPr>
      <w:r>
        <w:rPr>
          <w:rFonts w:ascii="Arial" w:cs="Arial" w:eastAsia="Arial" w:hAnsi="Arial"/>
          <w:sz w:val="14"/>
          <w:szCs w:val="14"/>
          <w:color w:val="auto"/>
        </w:rPr>
        <w:t>Other hES lines may be deemed acceptably derived if they were derived in accordance with (a), (b), and (d) above and the hES line was derived prior to the publication of the National Academy of Sciences guidelines on April 26, 2005 and a SCRO Committee has determined that the investigator has provided sufficient scientific rationale for the need for use of the line, which should include establishing that the proposed research cannot reasonably be carried out with covered lines that did have IRB approval.</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California regulations also require that certain records be maintained with respect to stem cell research and the materials used, including:</w:t>
      </w:r>
    </w:p>
    <w:p>
      <w:pPr>
        <w:spacing w:after="0" w:line="218" w:lineRule="exact"/>
        <w:rPr>
          <w:sz w:val="20"/>
          <w:szCs w:val="20"/>
          <w:color w:val="auto"/>
        </w:rPr>
      </w:pPr>
    </w:p>
    <w:p>
      <w:pPr>
        <w:ind w:left="840" w:hanging="278"/>
        <w:spacing w:after="0"/>
        <w:tabs>
          <w:tab w:leader="none" w:pos="840" w:val="left"/>
        </w:tabs>
        <w:numPr>
          <w:ilvl w:val="0"/>
          <w:numId w:val="19"/>
        </w:numPr>
        <w:rPr>
          <w:rFonts w:ascii="Arial" w:cs="Arial" w:eastAsia="Arial" w:hAnsi="Arial"/>
          <w:sz w:val="17"/>
          <w:szCs w:val="17"/>
          <w:color w:val="auto"/>
        </w:rPr>
      </w:pPr>
      <w:r>
        <w:rPr>
          <w:rFonts w:ascii="Arial" w:cs="Arial" w:eastAsia="Arial" w:hAnsi="Arial"/>
          <w:sz w:val="16"/>
          <w:szCs w:val="16"/>
          <w:color w:val="auto"/>
        </w:rPr>
        <w:t>A registry of all human stem cell research conducted, and the source(s) of funding for this research; and</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19"/>
        </w:numPr>
        <w:rPr>
          <w:rFonts w:ascii="Arial" w:cs="Arial" w:eastAsia="Arial" w:hAnsi="Arial"/>
          <w:sz w:val="17"/>
          <w:szCs w:val="17"/>
          <w:color w:val="auto"/>
        </w:rPr>
      </w:pPr>
      <w:r>
        <w:rPr>
          <w:rFonts w:ascii="Arial" w:cs="Arial" w:eastAsia="Arial" w:hAnsi="Arial"/>
          <w:sz w:val="16"/>
          <w:szCs w:val="16"/>
          <w:color w:val="auto"/>
        </w:rPr>
        <w:t>A registry of human pluripotent stem cell lines derived or imported, to include, but not necessarily limited to:</w:t>
      </w:r>
    </w:p>
    <w:p>
      <w:pPr>
        <w:spacing w:after="0" w:line="218" w:lineRule="exact"/>
        <w:rPr>
          <w:rFonts w:ascii="Arial" w:cs="Arial" w:eastAsia="Arial" w:hAnsi="Arial"/>
          <w:sz w:val="17"/>
          <w:szCs w:val="17"/>
          <w:color w:val="auto"/>
        </w:rPr>
      </w:pPr>
    </w:p>
    <w:p>
      <w:pPr>
        <w:ind w:left="1100" w:hanging="255"/>
        <w:spacing w:after="0"/>
        <w:tabs>
          <w:tab w:leader="none" w:pos="11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methods utilized to characterize and screen the materials for safety;</w:t>
      </w:r>
    </w:p>
    <w:p>
      <w:pPr>
        <w:spacing w:after="0" w:line="217" w:lineRule="exact"/>
        <w:rPr>
          <w:rFonts w:ascii="Arial" w:cs="Arial" w:eastAsia="Arial" w:hAnsi="Arial"/>
          <w:sz w:val="16"/>
          <w:szCs w:val="16"/>
          <w:color w:val="auto"/>
        </w:rPr>
      </w:pPr>
    </w:p>
    <w:p>
      <w:pPr>
        <w:ind w:left="1100" w:hanging="255"/>
        <w:spacing w:after="0"/>
        <w:tabs>
          <w:tab w:leader="none" w:pos="11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conditions under which the materials have been maintained and stored;</w:t>
      </w:r>
    </w:p>
    <w:p>
      <w:pPr>
        <w:spacing w:after="0" w:line="217" w:lineRule="exact"/>
        <w:rPr>
          <w:rFonts w:ascii="Arial" w:cs="Arial" w:eastAsia="Arial" w:hAnsi="Arial"/>
          <w:sz w:val="16"/>
          <w:szCs w:val="16"/>
          <w:color w:val="auto"/>
        </w:rPr>
      </w:pPr>
    </w:p>
    <w:p>
      <w:pPr>
        <w:ind w:left="1100" w:hanging="255"/>
        <w:spacing w:after="0"/>
        <w:tabs>
          <w:tab w:leader="none" w:pos="1100" w:val="left"/>
        </w:tabs>
        <w:numPr>
          <w:ilvl w:val="1"/>
          <w:numId w:val="19"/>
        </w:numPr>
        <w:rPr>
          <w:rFonts w:ascii="Arial" w:cs="Arial" w:eastAsia="Arial" w:hAnsi="Arial"/>
          <w:sz w:val="14"/>
          <w:szCs w:val="14"/>
          <w:color w:val="auto"/>
        </w:rPr>
      </w:pPr>
      <w:r>
        <w:rPr>
          <w:rFonts w:ascii="Arial" w:cs="Arial" w:eastAsia="Arial" w:hAnsi="Arial"/>
          <w:sz w:val="14"/>
          <w:szCs w:val="14"/>
          <w:color w:val="auto"/>
        </w:rPr>
        <w:t>A record of every gamete donation, somatic cell donation, embryo donation, or product of somatic cell nuclear transfer that has been donated, created, or used;</w:t>
      </w:r>
    </w:p>
    <w:p>
      <w:pPr>
        <w:spacing w:after="0" w:line="240" w:lineRule="exact"/>
        <w:rPr>
          <w:rFonts w:ascii="Arial" w:cs="Arial" w:eastAsia="Arial" w:hAnsi="Arial"/>
          <w:sz w:val="14"/>
          <w:szCs w:val="14"/>
          <w:color w:val="auto"/>
        </w:rPr>
      </w:pPr>
    </w:p>
    <w:p>
      <w:pPr>
        <w:ind w:left="1100" w:hanging="255"/>
        <w:spacing w:after="0"/>
        <w:tabs>
          <w:tab w:leader="none" w:pos="11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 record of each review and approval conducted by the SCRO Committee.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California Proposition 71</w:t>
      </w:r>
    </w:p>
    <w:p>
      <w:pPr>
        <w:spacing w:after="0" w:line="222" w:lineRule="exact"/>
        <w:rPr>
          <w:sz w:val="20"/>
          <w:szCs w:val="20"/>
          <w:color w:val="auto"/>
        </w:rPr>
      </w:pPr>
    </w:p>
    <w:p>
      <w:pPr>
        <w:ind w:right="20" w:firstLine="567"/>
        <w:spacing w:after="0" w:line="253" w:lineRule="auto"/>
        <w:rPr>
          <w:sz w:val="20"/>
          <w:szCs w:val="20"/>
          <w:color w:val="auto"/>
        </w:rPr>
      </w:pPr>
      <w:r>
        <w:rPr>
          <w:rFonts w:ascii="Arial" w:cs="Arial" w:eastAsia="Arial" w:hAnsi="Arial"/>
          <w:sz w:val="16"/>
          <w:szCs w:val="16"/>
          <w:color w:val="auto"/>
        </w:rPr>
        <w:t>During November 2004, California State Proposition 71 (“Prop. 71”), the California Stem Cell Research and Cures Initiative, was adopted by state-wide referendum. Prop. 71 provides for a state-sponsored program designed to encourage stem cell research in the State of California, and to finance such research with State funds totaling approximately $295 million annually for 10 years beginning in 2005. This initiative created CIRM, which will provide grants, primarily but not exclusively, to academic institutions to advance both hES cell research and adult stem cell research.</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Medicare, Medicaid, and Similar Reimbursement Programs</w:t>
      </w:r>
    </w:p>
    <w:p>
      <w:pPr>
        <w:spacing w:after="0" w:line="222" w:lineRule="exact"/>
        <w:rPr>
          <w:sz w:val="20"/>
          <w:szCs w:val="20"/>
          <w:color w:val="auto"/>
        </w:rPr>
      </w:pPr>
    </w:p>
    <w:p>
      <w:pPr>
        <w:ind w:firstLine="567"/>
        <w:spacing w:after="0" w:line="249" w:lineRule="auto"/>
        <w:rPr>
          <w:sz w:val="20"/>
          <w:szCs w:val="20"/>
          <w:color w:val="auto"/>
        </w:rPr>
      </w:pPr>
      <w:r>
        <w:rPr>
          <w:rFonts w:ascii="Arial" w:cs="Arial" w:eastAsia="Arial" w:hAnsi="Arial"/>
          <w:sz w:val="16"/>
          <w:szCs w:val="16"/>
          <w:color w:val="auto"/>
        </w:rPr>
        <w:t>Sales of our products will depend, in part, on the extent to which the costs of our products will be covered by third-party payors, such as government health programs, commercial insurance and managed healthcare organizations. These third-party payors are increasingly challenging the prices charged for medical products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third-party payors do not consider our products to be cost-effective compared to other therapies, they may not cover our products after approved as a benefit under their plans or, if they do, the level of payment may not be sufficient to allow us to sell our products on a profitable basis.</w:t>
      </w:r>
    </w:p>
    <w:p>
      <w:pPr>
        <w:spacing w:after="0" w:line="198" w:lineRule="exact"/>
        <w:rPr>
          <w:sz w:val="20"/>
          <w:szCs w:val="20"/>
          <w:color w:val="auto"/>
        </w:rPr>
      </w:pPr>
    </w:p>
    <w:p>
      <w:pPr>
        <w:ind w:right="40" w:firstLine="567"/>
        <w:spacing w:after="0" w:line="291" w:lineRule="auto"/>
        <w:rPr>
          <w:sz w:val="20"/>
          <w:szCs w:val="20"/>
          <w:color w:val="auto"/>
        </w:rPr>
      </w:pPr>
      <w:r>
        <w:rPr>
          <w:rFonts w:ascii="Arial" w:cs="Arial" w:eastAsia="Arial" w:hAnsi="Arial"/>
          <w:sz w:val="14"/>
          <w:szCs w:val="14"/>
          <w:color w:val="auto"/>
        </w:rPr>
        <w:t>The Patient Protection and Affordable Care Act, as amended by the Health Care and Education Affordability Reconciliation Act of 2010, collectively referred to as the ACA, enacted in March 2010, is expected to have a significant impact on the health care industry. ACA is expected to expand coverage for the uninsured while at the same time containing overall healthcare costs. With regard to pharmaceutical products, among other things, ACA is expected to expand and increase industry rebates for drugs covered under Medicaid programs and make changes to the coverage requirements under the Medicare Part D program. We cannot predict the impact of ACA on pharmaceutical companies, as many of the ACA reforms require the promulgation of detailed regulations implementing the statutory provisions which has not yet occurred. In addition, although the United States Supreme Court upheld the constitutionality of most of the ACA, some states have indicated that they intend to not implement certain sections of the ACA, and some members of the U.S. Congress are still working to repeal parts of the ACA. These challenges add to the uncertainty of the legislative changes enacted as part of ACA.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9" w:name="page60"/>
    <w:bookmarkEnd w:id="5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20" w:firstLine="567"/>
        <w:spacing w:after="0" w:line="270" w:lineRule="auto"/>
        <w:rPr>
          <w:sz w:val="20"/>
          <w:szCs w:val="20"/>
          <w:color w:val="auto"/>
        </w:rPr>
      </w:pPr>
      <w:r>
        <w:rPr>
          <w:rFonts w:ascii="Arial" w:cs="Arial" w:eastAsia="Arial" w:hAnsi="Arial"/>
          <w:sz w:val="15"/>
          <w:szCs w:val="15"/>
          <w:color w:val="auto"/>
        </w:rPr>
        <w:t>In addition, in some non-U.S. jurisdictions, the proposed pricing for a drug must be approved before it may be lawfully marketed. The requirements governing drug pricing vary widely from country to country. For example, the UE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22" w:lineRule="exact"/>
        <w:rPr>
          <w:sz w:val="20"/>
          <w:szCs w:val="20"/>
          <w:color w:val="auto"/>
        </w:rPr>
      </w:pPr>
    </w:p>
    <w:p>
      <w:pPr>
        <w:ind w:right="720" w:firstLine="567"/>
        <w:spacing w:after="0" w:line="301" w:lineRule="auto"/>
        <w:rPr>
          <w:sz w:val="20"/>
          <w:szCs w:val="20"/>
          <w:color w:val="auto"/>
        </w:rPr>
      </w:pPr>
      <w:r>
        <w:rPr>
          <w:rFonts w:ascii="Arial" w:cs="Arial" w:eastAsia="Arial" w:hAnsi="Arial"/>
          <w:sz w:val="15"/>
          <w:szCs w:val="15"/>
          <w:color w:val="auto"/>
        </w:rPr>
        <w:t>As of December 31, 2013, we employed 106 persons on a full-time basis and 3 persons on a part-time basis. Thirty-seven full-time employees and two part-time employees hold Ph.D. Degrees in one or more fields of science. None of our employees are covered by a collective bargaining agreement.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Information</w:t>
      </w:r>
    </w:p>
    <w:p>
      <w:pPr>
        <w:spacing w:after="0" w:line="222" w:lineRule="exact"/>
        <w:rPr>
          <w:sz w:val="20"/>
          <w:szCs w:val="20"/>
          <w:color w:val="auto"/>
        </w:rPr>
      </w:pPr>
    </w:p>
    <w:p>
      <w:pPr>
        <w:ind w:right="100" w:firstLine="567"/>
        <w:spacing w:after="0" w:line="296" w:lineRule="auto"/>
        <w:rPr>
          <w:sz w:val="20"/>
          <w:szCs w:val="20"/>
          <w:color w:val="auto"/>
        </w:rPr>
      </w:pPr>
      <w:r>
        <w:rPr>
          <w:rFonts w:ascii="Arial" w:cs="Arial" w:eastAsia="Arial" w:hAnsi="Arial"/>
          <w:sz w:val="14"/>
          <w:szCs w:val="14"/>
          <w:color w:val="auto"/>
        </w:rPr>
        <w:t xml:space="preserve">We are a reporting company and file annual, quarterly and current reports, proxy statements and other information with the SEC. You may read and copy these reports, proxy statements and other information at the SEC's Public Reference Room at 100 F Street N.E., Washington, D.C. 20549. Please call the SEC at 1-800-SEC-0330 or e-mail the SEC at </w:t>
      </w:r>
      <w:r>
        <w:rPr>
          <w:rFonts w:ascii="Arial" w:cs="Arial" w:eastAsia="Arial" w:hAnsi="Arial"/>
          <w:sz w:val="14"/>
          <w:szCs w:val="14"/>
          <w:i w:val="1"/>
          <w:iCs w:val="1"/>
          <w:color w:val="auto"/>
        </w:rPr>
        <w:t>publicinfo@sec.gov</w:t>
      </w:r>
      <w:r>
        <w:rPr>
          <w:rFonts w:ascii="Arial" w:cs="Arial" w:eastAsia="Arial" w:hAnsi="Arial"/>
          <w:sz w:val="14"/>
          <w:szCs w:val="14"/>
          <w:color w:val="auto"/>
        </w:rPr>
        <w:t xml:space="preserve"> for more information on the operation of the public reference room. Our SEC filings are also available at the SEC's website at </w:t>
      </w:r>
      <w:r>
        <w:rPr>
          <w:rFonts w:ascii="Arial" w:cs="Arial" w:eastAsia="Arial" w:hAnsi="Arial"/>
          <w:sz w:val="14"/>
          <w:szCs w:val="14"/>
          <w:i w:val="1"/>
          <w:iCs w:val="1"/>
          <w:u w:val="single" w:color="auto"/>
          <w:color w:val="auto"/>
        </w:rPr>
        <w:t>http://www.sec.gov</w:t>
      </w:r>
      <w:r>
        <w:rPr>
          <w:rFonts w:ascii="Arial" w:cs="Arial" w:eastAsia="Arial" w:hAnsi="Arial"/>
          <w:sz w:val="14"/>
          <w:szCs w:val="14"/>
          <w:color w:val="auto"/>
        </w:rPr>
        <w:t xml:space="preserve">. Our Internet address is: </w:t>
      </w:r>
      <w:r>
        <w:rPr>
          <w:rFonts w:ascii="Arial" w:cs="Arial" w:eastAsia="Arial" w:hAnsi="Arial"/>
          <w:sz w:val="14"/>
          <w:szCs w:val="14"/>
          <w:i w:val="1"/>
          <w:iCs w:val="1"/>
          <w:u w:val="single" w:color="auto"/>
          <w:color w:val="auto"/>
        </w:rPr>
        <w:t>http://www</w:t>
      </w:r>
      <w:r>
        <w:rPr>
          <w:rFonts w:ascii="Arial" w:cs="Arial" w:eastAsia="Arial" w:hAnsi="Arial"/>
          <w:sz w:val="14"/>
          <w:szCs w:val="14"/>
          <w:u w:val="single" w:color="auto"/>
          <w:color w:val="auto"/>
        </w:rPr>
        <w:t>.</w:t>
      </w:r>
      <w:r>
        <w:rPr>
          <w:rFonts w:ascii="Arial" w:cs="Arial" w:eastAsia="Arial" w:hAnsi="Arial"/>
          <w:sz w:val="14"/>
          <w:szCs w:val="14"/>
          <w:i w:val="1"/>
          <w:iCs w:val="1"/>
          <w:u w:val="single" w:color="auto"/>
          <w:color w:val="auto"/>
        </w:rPr>
        <w:t>biotimeinc.com</w:t>
      </w:r>
      <w:r>
        <w:rPr>
          <w:rFonts w:ascii="Arial" w:cs="Arial" w:eastAsia="Arial" w:hAnsi="Arial"/>
          <w:sz w:val="14"/>
          <w:szCs w:val="14"/>
          <w:color w:val="auto"/>
        </w:rPr>
        <w:t>. There we make available, free of charge, our Annual Reports on Form 10-K, Quarterly Reports on Form 10-Q, Current Reports on Form 8-K, and any amendments to those reports, as soon as reasonably practicable after we electronically file such material with, or furnish such material to, the SEC.</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22" w:lineRule="exact"/>
        <w:rPr>
          <w:sz w:val="20"/>
          <w:szCs w:val="20"/>
          <w:color w:val="auto"/>
        </w:rPr>
      </w:pPr>
    </w:p>
    <w:p>
      <w:pPr>
        <w:jc w:val="both"/>
        <w:ind w:firstLine="567"/>
        <w:spacing w:after="0" w:line="282" w:lineRule="auto"/>
        <w:rPr>
          <w:sz w:val="20"/>
          <w:szCs w:val="20"/>
          <w:color w:val="auto"/>
        </w:rPr>
      </w:pPr>
      <w:r>
        <w:rPr>
          <w:rFonts w:ascii="Arial" w:cs="Arial" w:eastAsia="Arial" w:hAnsi="Arial"/>
          <w:sz w:val="15"/>
          <w:szCs w:val="15"/>
          <w:color w:val="auto"/>
        </w:rPr>
        <w:t>Our business is subject to various risks, including those described below. You should consider the following risk factors, together with all of the other information included in this report, which could materially adversely affect our proposed operations, our business prospects, and financial condition, and the value of an investment in our business. There may be other factors that are not mentioned here or of which we are not presently aware that could also affect our business operations and prospects.</w:t>
      </w:r>
    </w:p>
    <w:p>
      <w:pPr>
        <w:spacing w:after="0" w:line="168"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Risks Related to Our Business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incurred operating losses since inception and we do not know if we will attain profitability</w:t>
      </w:r>
    </w:p>
    <w:p>
      <w:pPr>
        <w:spacing w:after="0" w:line="222" w:lineRule="exact"/>
        <w:rPr>
          <w:sz w:val="20"/>
          <w:szCs w:val="20"/>
          <w:color w:val="auto"/>
        </w:rPr>
      </w:pPr>
    </w:p>
    <w:p>
      <w:pPr>
        <w:ind w:right="60" w:firstLine="567"/>
        <w:spacing w:after="0" w:line="291" w:lineRule="auto"/>
        <w:rPr>
          <w:sz w:val="20"/>
          <w:szCs w:val="20"/>
          <w:color w:val="auto"/>
        </w:rPr>
      </w:pPr>
      <w:r>
        <w:rPr>
          <w:rFonts w:ascii="Arial" w:cs="Arial" w:eastAsia="Arial" w:hAnsi="Arial"/>
          <w:sz w:val="14"/>
          <w:szCs w:val="14"/>
          <w:color w:val="auto"/>
        </w:rPr>
        <w:t>Our comprehensive net losses for the fiscal years ended December 31, 2013, 2012, and 2011 were $43,760,366, $21,362,524, and $17,535,587, respectively, and we had an accumulated deficit of $145,778,547, $101,895,712, and $80,470,009, as of December 31, 2013, 2012, and 2011, respectively. Our net loss for the year ended December 31, 2013 and our accumulated deficit as of that date include $17,458,766 charged as in process research and development expenses in accordance with Accounting Standards Codification (“ASC”) 805-50 on account of Asterias’ acquisition of certain assets from Geron. See Notes 2 and 15 to Consolidated Financial Statements. Since inception, we have primarily financed our operations through the sale of equity securities, licensing fees, royalties on product sales by our licensees, and borrowings. More recently, we have financed a portion of our operations with research grants and subscription fees for the database products marketed by our subsidiary LifeMap Sciences. Ultimately, our ability to generate sufficient operating revenue to earn a profit depends upon our success in developing and marketing or licensing our products and technology.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60" w:name="page61"/>
    <w:bookmarkEnd w:id="6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color w:val="auto"/>
        </w:rPr>
        <w:t>We will spend a substantial amount of our capital on research and development but we might not succeed in developing products and technologies that are useful in medicine</w:t>
      </w:r>
    </w:p>
    <w:p>
      <w:pPr>
        <w:spacing w:after="0" w:line="176" w:lineRule="exact"/>
        <w:rPr>
          <w:sz w:val="20"/>
          <w:szCs w:val="20"/>
          <w:color w:val="auto"/>
        </w:rPr>
      </w:pPr>
    </w:p>
    <w:p>
      <w:pPr>
        <w:ind w:left="840" w:hanging="278"/>
        <w:spacing w:after="0"/>
        <w:tabs>
          <w:tab w:leader="none" w:pos="840" w:val="left"/>
        </w:tabs>
        <w:numPr>
          <w:ilvl w:val="0"/>
          <w:numId w:val="20"/>
        </w:numPr>
        <w:rPr>
          <w:rFonts w:ascii="Arial" w:cs="Arial" w:eastAsia="Arial" w:hAnsi="Arial"/>
          <w:sz w:val="17"/>
          <w:szCs w:val="17"/>
          <w:color w:val="auto"/>
        </w:rPr>
      </w:pPr>
      <w:r>
        <w:rPr>
          <w:rFonts w:ascii="Arial" w:cs="Arial" w:eastAsia="Arial" w:hAnsi="Arial"/>
          <w:sz w:val="16"/>
          <w:szCs w:val="16"/>
          <w:color w:val="auto"/>
        </w:rPr>
        <w:t>We are attempting to develop new medical products and technologies.</w:t>
      </w:r>
    </w:p>
    <w:p>
      <w:pPr>
        <w:spacing w:after="0" w:line="218" w:lineRule="exact"/>
        <w:rPr>
          <w:rFonts w:ascii="Arial" w:cs="Arial" w:eastAsia="Arial" w:hAnsi="Arial"/>
          <w:sz w:val="17"/>
          <w:szCs w:val="17"/>
          <w:color w:val="auto"/>
        </w:rPr>
      </w:pPr>
    </w:p>
    <w:p>
      <w:pPr>
        <w:ind w:left="840" w:right="280" w:hanging="278"/>
        <w:spacing w:after="0" w:line="323" w:lineRule="auto"/>
        <w:tabs>
          <w:tab w:leader="none" w:pos="840" w:val="left"/>
        </w:tabs>
        <w:numPr>
          <w:ilvl w:val="0"/>
          <w:numId w:val="20"/>
        </w:numPr>
        <w:rPr>
          <w:rFonts w:ascii="Arial" w:cs="Arial" w:eastAsia="Arial" w:hAnsi="Arial"/>
          <w:sz w:val="15"/>
          <w:szCs w:val="15"/>
          <w:color w:val="auto"/>
        </w:rPr>
      </w:pPr>
      <w:r>
        <w:rPr>
          <w:rFonts w:ascii="Arial" w:cs="Arial" w:eastAsia="Arial" w:hAnsi="Arial"/>
          <w:sz w:val="14"/>
          <w:szCs w:val="14"/>
          <w:color w:val="auto"/>
        </w:rPr>
        <w:t xml:space="preserve">Many of our experimental products and technologies have not been applied in human medicine and have only been used in laboratory studies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or in animals. These new products and technologies might not prove to be safe and efficacious in the human medical applications for which they were developed.</w:t>
      </w:r>
    </w:p>
    <w:p>
      <w:pPr>
        <w:spacing w:after="0" w:line="142" w:lineRule="exact"/>
        <w:rPr>
          <w:rFonts w:ascii="Arial" w:cs="Arial" w:eastAsia="Arial" w:hAnsi="Arial"/>
          <w:sz w:val="15"/>
          <w:szCs w:val="15"/>
          <w:color w:val="auto"/>
        </w:rPr>
      </w:pPr>
    </w:p>
    <w:p>
      <w:pPr>
        <w:ind w:left="840" w:hanging="278"/>
        <w:spacing w:after="0"/>
        <w:tabs>
          <w:tab w:leader="none" w:pos="840" w:val="left"/>
        </w:tabs>
        <w:numPr>
          <w:ilvl w:val="0"/>
          <w:numId w:val="20"/>
        </w:numPr>
        <w:rPr>
          <w:rFonts w:ascii="Arial" w:cs="Arial" w:eastAsia="Arial" w:hAnsi="Arial"/>
          <w:sz w:val="16"/>
          <w:szCs w:val="16"/>
          <w:color w:val="auto"/>
        </w:rPr>
      </w:pPr>
      <w:r>
        <w:rPr>
          <w:rFonts w:ascii="Arial" w:cs="Arial" w:eastAsia="Arial" w:hAnsi="Arial"/>
          <w:sz w:val="15"/>
          <w:szCs w:val="15"/>
          <w:color w:val="auto"/>
        </w:rPr>
        <w:t>The experimentation we are doing is costly, time consuming, and uncertain as to its results. We incurred research and development expenses amounting to</w:t>
      </w:r>
    </w:p>
    <w:p>
      <w:pPr>
        <w:spacing w:after="0" w:line="19" w:lineRule="exact"/>
        <w:rPr>
          <w:rFonts w:ascii="Arial" w:cs="Arial" w:eastAsia="Arial" w:hAnsi="Arial"/>
          <w:sz w:val="16"/>
          <w:szCs w:val="16"/>
          <w:color w:val="auto"/>
        </w:rPr>
      </w:pPr>
    </w:p>
    <w:p>
      <w:pPr>
        <w:ind w:left="840" w:right="20"/>
        <w:spacing w:after="0" w:line="248" w:lineRule="auto"/>
        <w:rPr>
          <w:rFonts w:ascii="Arial" w:cs="Arial" w:eastAsia="Arial" w:hAnsi="Arial"/>
          <w:sz w:val="16"/>
          <w:szCs w:val="16"/>
          <w:color w:val="auto"/>
        </w:rPr>
      </w:pPr>
      <w:r>
        <w:rPr>
          <w:rFonts w:ascii="Arial" w:cs="Arial" w:eastAsia="Arial" w:hAnsi="Arial"/>
          <w:sz w:val="16"/>
          <w:szCs w:val="16"/>
          <w:color w:val="auto"/>
        </w:rPr>
        <w:t>$26,609,423, $18,116,688, and $13,699,691 during the fiscal years ended December 31, 2013, 2012, and 2011, respectively, excluding $17,458,766 charged as in process research and development expenses during 2013 in accordance with ASC 805-50 on account of Asterias’ acquisition of certain assets from Geron. See Notes 2 and 15 to Consolidated Financial Statements.</w:t>
      </w:r>
    </w:p>
    <w:p>
      <w:pPr>
        <w:spacing w:after="0" w:line="195" w:lineRule="exact"/>
        <w:rPr>
          <w:rFonts w:ascii="Arial" w:cs="Arial" w:eastAsia="Arial" w:hAnsi="Arial"/>
          <w:sz w:val="16"/>
          <w:szCs w:val="16"/>
          <w:color w:val="auto"/>
        </w:rPr>
      </w:pPr>
    </w:p>
    <w:p>
      <w:pPr>
        <w:ind w:left="840" w:hanging="278"/>
        <w:spacing w:after="0" w:line="267" w:lineRule="auto"/>
        <w:tabs>
          <w:tab w:leader="none" w:pos="840" w:val="left"/>
        </w:tabs>
        <w:numPr>
          <w:ilvl w:val="0"/>
          <w:numId w:val="20"/>
        </w:numPr>
        <w:rPr>
          <w:rFonts w:ascii="Arial" w:cs="Arial" w:eastAsia="Arial" w:hAnsi="Arial"/>
          <w:sz w:val="16"/>
          <w:szCs w:val="16"/>
          <w:color w:val="auto"/>
        </w:rPr>
      </w:pPr>
      <w:r>
        <w:rPr>
          <w:rFonts w:ascii="Arial" w:cs="Arial" w:eastAsia="Arial" w:hAnsi="Arial"/>
          <w:sz w:val="15"/>
          <w:szCs w:val="15"/>
          <w:color w:val="auto"/>
        </w:rPr>
        <w:t>If we are successful in developing a new technology or product, refinement of the new technology or product and definition of the practical applications and limitations of the technology or product may take years and require the expenditure of large sums of money. Future clinical trials of new therapeutic products, particularly those products that are regulated as drugs or biological, will be very expensive and will take years to complete. We may not have the financial resources to fund clinical trials on our own and we may have to enter into licensing or collaborative arrangements with larger, well-capitalized pharmaceutical companies in order to bear the cost. Any such arrangements may be dilutive to our ownership or economic interest in the products we develop, and we might have to accept a royalty payment on the sale of the product rather than receiving the gross revenues from product sales.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Asterias’ operations will result in an increase in our operating expenses and losses on a consolidated basis</w:t>
      </w:r>
    </w:p>
    <w:p>
      <w:pPr>
        <w:spacing w:after="0" w:line="222" w:lineRule="exact"/>
        <w:rPr>
          <w:sz w:val="20"/>
          <w:szCs w:val="20"/>
          <w:color w:val="auto"/>
        </w:rPr>
      </w:pPr>
    </w:p>
    <w:p>
      <w:pPr>
        <w:ind w:left="840" w:right="200" w:hanging="278"/>
        <w:spacing w:after="0" w:line="273" w:lineRule="auto"/>
        <w:tabs>
          <w:tab w:leader="none" w:pos="840" w:val="left"/>
        </w:tabs>
        <w:numPr>
          <w:ilvl w:val="0"/>
          <w:numId w:val="21"/>
        </w:numPr>
        <w:rPr>
          <w:rFonts w:ascii="Arial" w:cs="Arial" w:eastAsia="Arial" w:hAnsi="Arial"/>
          <w:sz w:val="16"/>
          <w:szCs w:val="16"/>
          <w:color w:val="auto"/>
        </w:rPr>
      </w:pPr>
      <w:r>
        <w:rPr>
          <w:rFonts w:ascii="Arial" w:cs="Arial" w:eastAsia="Arial" w:hAnsi="Arial"/>
          <w:sz w:val="15"/>
          <w:szCs w:val="15"/>
          <w:color w:val="auto"/>
        </w:rPr>
        <w:t>Asterias will use the stem cell assets that it has acquired from Geron for the research and development of products for regenerative medicine. Asterias’ research and development efforts will involve substantial expense, including but not limited to hiring additional research and management personnel, and possibly the rent of additional research or manufacturing space that will add to our losses on a consolidated basis for the near future.</w:t>
      </w:r>
    </w:p>
    <w:p>
      <w:pPr>
        <w:spacing w:after="0" w:line="178" w:lineRule="exact"/>
        <w:rPr>
          <w:rFonts w:ascii="Arial" w:cs="Arial" w:eastAsia="Arial" w:hAnsi="Arial"/>
          <w:sz w:val="16"/>
          <w:szCs w:val="16"/>
          <w:color w:val="auto"/>
        </w:rPr>
      </w:pPr>
    </w:p>
    <w:p>
      <w:pPr>
        <w:ind w:left="840" w:right="200" w:hanging="278"/>
        <w:spacing w:after="0" w:line="273" w:lineRule="auto"/>
        <w:tabs>
          <w:tab w:leader="none" w:pos="840" w:val="left"/>
        </w:tabs>
        <w:numPr>
          <w:ilvl w:val="0"/>
          <w:numId w:val="21"/>
        </w:numPr>
        <w:rPr>
          <w:rFonts w:ascii="Arial" w:cs="Arial" w:eastAsia="Arial" w:hAnsi="Arial"/>
          <w:sz w:val="16"/>
          <w:szCs w:val="16"/>
          <w:color w:val="auto"/>
        </w:rPr>
      </w:pPr>
      <w:r>
        <w:rPr>
          <w:rFonts w:ascii="Arial" w:cs="Arial" w:eastAsia="Arial" w:hAnsi="Arial"/>
          <w:sz w:val="15"/>
          <w:szCs w:val="15"/>
          <w:color w:val="auto"/>
        </w:rPr>
        <w:t>Asterias has become a public company. As a public company, Asterias will incur costs associated with audits of its financial statements, filing annual, quarterly, and other periodic reports with the Securities and Exchange Commission (the “SEC”), holding annual shareholder meetings, listing its common shares for trading, and public relations and investor relations. These costs will be in addition to those incurred by BioTime for similar purposes.</w:t>
      </w:r>
    </w:p>
    <w:p>
      <w:pPr>
        <w:spacing w:after="0" w:line="178" w:lineRule="exact"/>
        <w:rPr>
          <w:rFonts w:ascii="Arial" w:cs="Arial" w:eastAsia="Arial" w:hAnsi="Arial"/>
          <w:sz w:val="16"/>
          <w:szCs w:val="16"/>
          <w:color w:val="auto"/>
        </w:rPr>
      </w:pPr>
    </w:p>
    <w:p>
      <w:pPr>
        <w:ind w:left="840" w:right="40" w:hanging="278"/>
        <w:spacing w:after="0" w:line="253" w:lineRule="auto"/>
        <w:tabs>
          <w:tab w:leader="none" w:pos="840" w:val="left"/>
        </w:tabs>
        <w:numPr>
          <w:ilvl w:val="0"/>
          <w:numId w:val="21"/>
        </w:numPr>
        <w:rPr>
          <w:rFonts w:ascii="Arial" w:cs="Arial" w:eastAsia="Arial" w:hAnsi="Arial"/>
          <w:sz w:val="17"/>
          <w:szCs w:val="17"/>
          <w:color w:val="auto"/>
        </w:rPr>
      </w:pPr>
      <w:r>
        <w:rPr>
          <w:rFonts w:ascii="Arial" w:cs="Arial" w:eastAsia="Arial" w:hAnsi="Arial"/>
          <w:sz w:val="16"/>
          <w:szCs w:val="16"/>
          <w:color w:val="auto"/>
        </w:rPr>
        <w:t>As a developer of therapeutic products derived from hES or iPS cells, Asterias will face substantially the same kind of risks that affect our business, as well as the risks related to our industry generally.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depends in part on the uncertain growth of the stem cell industry, which is still in its infancy</w:t>
      </w:r>
    </w:p>
    <w:p>
      <w:pPr>
        <w:spacing w:after="0" w:line="222" w:lineRule="exact"/>
        <w:rPr>
          <w:sz w:val="20"/>
          <w:szCs w:val="20"/>
          <w:color w:val="auto"/>
        </w:rPr>
      </w:pPr>
    </w:p>
    <w:p>
      <w:pPr>
        <w:ind w:left="840" w:hanging="278"/>
        <w:spacing w:after="0" w:line="270" w:lineRule="auto"/>
        <w:tabs>
          <w:tab w:leader="none" w:pos="840" w:val="left"/>
        </w:tabs>
        <w:numPr>
          <w:ilvl w:val="0"/>
          <w:numId w:val="22"/>
        </w:numPr>
        <w:rPr>
          <w:rFonts w:ascii="Arial" w:cs="Arial" w:eastAsia="Arial" w:hAnsi="Arial"/>
          <w:sz w:val="16"/>
          <w:szCs w:val="16"/>
          <w:color w:val="auto"/>
        </w:rPr>
      </w:pPr>
      <w:r>
        <w:rPr>
          <w:rFonts w:ascii="Arial" w:cs="Arial" w:eastAsia="Arial" w:hAnsi="Arial"/>
          <w:sz w:val="15"/>
          <w:szCs w:val="15"/>
          <w:color w:val="auto"/>
        </w:rPr>
        <w:t>The success of our business of selling products for use in stem cell research depends on the growth of stem cell research, without which there may be no market or only a very small market for our products and technology. The likelihood that stem cell research will grow depends upon the successful development of stem cell products that can be used to treat disease or injuries in people or that can be used to facilitate the development of other therapeutic products. The growth in stem cell research also depends upon the availability of funding through private investment and government research grants.</w:t>
      </w:r>
    </w:p>
    <w:p>
      <w:pPr>
        <w:spacing w:after="0" w:line="179" w:lineRule="exact"/>
        <w:rPr>
          <w:rFonts w:ascii="Arial" w:cs="Arial" w:eastAsia="Arial" w:hAnsi="Arial"/>
          <w:sz w:val="16"/>
          <w:szCs w:val="16"/>
          <w:color w:val="auto"/>
        </w:rPr>
      </w:pPr>
    </w:p>
    <w:p>
      <w:pPr>
        <w:ind w:left="840" w:hanging="278"/>
        <w:spacing w:after="0"/>
        <w:tabs>
          <w:tab w:leader="none" w:pos="840" w:val="left"/>
        </w:tabs>
        <w:numPr>
          <w:ilvl w:val="0"/>
          <w:numId w:val="22"/>
        </w:numPr>
        <w:rPr>
          <w:rFonts w:ascii="Arial" w:cs="Arial" w:eastAsia="Arial" w:hAnsi="Arial"/>
          <w:sz w:val="17"/>
          <w:szCs w:val="17"/>
          <w:color w:val="auto"/>
        </w:rPr>
      </w:pPr>
      <w:r>
        <w:rPr>
          <w:rFonts w:ascii="Arial" w:cs="Arial" w:eastAsia="Arial" w:hAnsi="Arial"/>
          <w:sz w:val="16"/>
          <w:szCs w:val="16"/>
          <w:color w:val="auto"/>
        </w:rPr>
        <w:t>There can be no assurance that any safe and efficacious human medical applications will be developed using stem cells or related technology.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1" w:name="page62"/>
    <w:bookmarkEnd w:id="6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840" w:right="80" w:hanging="278"/>
        <w:spacing w:after="0" w:line="323" w:lineRule="auto"/>
        <w:tabs>
          <w:tab w:leader="none" w:pos="840" w:val="left"/>
        </w:tabs>
        <w:numPr>
          <w:ilvl w:val="0"/>
          <w:numId w:val="23"/>
        </w:numPr>
        <w:rPr>
          <w:rFonts w:ascii="Arial" w:cs="Arial" w:eastAsia="Arial" w:hAnsi="Arial"/>
          <w:sz w:val="15"/>
          <w:szCs w:val="15"/>
          <w:color w:val="auto"/>
        </w:rPr>
      </w:pPr>
      <w:r>
        <w:rPr>
          <w:rFonts w:ascii="Arial" w:cs="Arial" w:eastAsia="Arial" w:hAnsi="Arial"/>
          <w:sz w:val="14"/>
          <w:szCs w:val="14"/>
          <w:color w:val="auto"/>
        </w:rPr>
        <w:t>Government-imposed bans, restrictions and religious, moral, and ethical concerns with respect to use of embryos or hES cells in research and development could have a material adverse effect on the growth of the stem cell industry, even if research proves that useful medical products can be developed using hES cells.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our products to date have not been sufficient to generate an amount of revenue sufficient to cover our operating expenses</w:t>
      </w:r>
    </w:p>
    <w:p>
      <w:pPr>
        <w:spacing w:after="0" w:line="214" w:lineRule="exact"/>
        <w:rPr>
          <w:sz w:val="20"/>
          <w:szCs w:val="20"/>
          <w:color w:val="auto"/>
        </w:rPr>
      </w:pPr>
    </w:p>
    <w:p>
      <w:pPr>
        <w:ind w:left="840" w:right="160" w:hanging="278"/>
        <w:spacing w:after="0" w:line="188" w:lineRule="auto"/>
        <w:tabs>
          <w:tab w:leader="none" w:pos="840" w:val="left"/>
        </w:tabs>
        <w:numPr>
          <w:ilvl w:val="0"/>
          <w:numId w:val="24"/>
        </w:numPr>
        <w:rPr>
          <w:rFonts w:ascii="Arial" w:cs="Arial" w:eastAsia="Arial" w:hAnsi="Arial"/>
          <w:sz w:val="17"/>
          <w:szCs w:val="17"/>
          <w:color w:val="auto"/>
        </w:rPr>
      </w:pP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is presently the only plasma expander product that we have on the market, and it is being sold only in the U.S. and South Korea. The royalty revenues that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we have received from sales of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have not been sufficient to pay our operating expenses. This means that we need to successfully develop and market or license additional products and earn additional revenues in sufficient amounts to meet our operating expenses.</w:t>
      </w:r>
    </w:p>
    <w:p>
      <w:pPr>
        <w:spacing w:after="0" w:line="202" w:lineRule="exact"/>
        <w:rPr>
          <w:rFonts w:ascii="Arial" w:cs="Arial" w:eastAsia="Arial" w:hAnsi="Arial"/>
          <w:sz w:val="17"/>
          <w:szCs w:val="17"/>
          <w:color w:val="auto"/>
        </w:rPr>
      </w:pPr>
    </w:p>
    <w:p>
      <w:pPr>
        <w:ind w:left="840" w:right="20" w:hanging="278"/>
        <w:spacing w:after="0" w:line="253" w:lineRule="auto"/>
        <w:tabs>
          <w:tab w:leader="none" w:pos="840" w:val="left"/>
        </w:tabs>
        <w:numPr>
          <w:ilvl w:val="0"/>
          <w:numId w:val="24"/>
        </w:numPr>
        <w:rPr>
          <w:rFonts w:ascii="Arial" w:cs="Arial" w:eastAsia="Arial" w:hAnsi="Arial"/>
          <w:sz w:val="17"/>
          <w:szCs w:val="17"/>
          <w:color w:val="auto"/>
        </w:rPr>
      </w:pPr>
      <w:r>
        <w:rPr>
          <w:rFonts w:ascii="Arial" w:cs="Arial" w:eastAsia="Arial" w:hAnsi="Arial"/>
          <w:sz w:val="16"/>
          <w:szCs w:val="16"/>
          <w:color w:val="auto"/>
        </w:rPr>
        <w:t>We are also beginning to bring our first stem cell research products to the market, but there is no assurance that we will succeed in generating significant revenues from the sale of those products.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the products we may develop will be adversely impacted by the availability of competing products</w:t>
      </w:r>
    </w:p>
    <w:p>
      <w:pPr>
        <w:spacing w:after="0" w:line="214" w:lineRule="exact"/>
        <w:rPr>
          <w:sz w:val="20"/>
          <w:szCs w:val="20"/>
          <w:color w:val="auto"/>
        </w:rPr>
      </w:pPr>
    </w:p>
    <w:p>
      <w:pPr>
        <w:ind w:left="840" w:hanging="278"/>
        <w:spacing w:after="0"/>
        <w:tabs>
          <w:tab w:leader="none" w:pos="840" w:val="left"/>
        </w:tabs>
        <w:numPr>
          <w:ilvl w:val="0"/>
          <w:numId w:val="25"/>
        </w:numPr>
        <w:rPr>
          <w:rFonts w:ascii="Arial" w:cs="Arial" w:eastAsia="Arial" w:hAnsi="Arial"/>
          <w:sz w:val="16"/>
          <w:szCs w:val="16"/>
          <w:color w:val="auto"/>
        </w:rPr>
      </w:pPr>
      <w:r>
        <w:rPr>
          <w:rFonts w:ascii="Arial" w:cs="Arial" w:eastAsia="Arial" w:hAnsi="Arial"/>
          <w:sz w:val="14"/>
          <w:szCs w:val="14"/>
          <w:color w:val="auto"/>
        </w:rPr>
        <w:t xml:space="preserve">Sales of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have already been adversely impacted by the availability of other products that are commonly used in surgery and trauma care and sell at low prices.</w:t>
      </w:r>
    </w:p>
    <w:p>
      <w:pPr>
        <w:spacing w:after="0" w:line="157" w:lineRule="exact"/>
        <w:rPr>
          <w:rFonts w:ascii="Arial" w:cs="Arial" w:eastAsia="Arial" w:hAnsi="Arial"/>
          <w:sz w:val="16"/>
          <w:szCs w:val="16"/>
          <w:color w:val="auto"/>
        </w:rPr>
      </w:pPr>
    </w:p>
    <w:p>
      <w:pPr>
        <w:ind w:left="840" w:hanging="278"/>
        <w:spacing w:after="0"/>
        <w:tabs>
          <w:tab w:leader="none" w:pos="840" w:val="left"/>
        </w:tabs>
        <w:numPr>
          <w:ilvl w:val="0"/>
          <w:numId w:val="25"/>
        </w:numPr>
        <w:rPr>
          <w:rFonts w:ascii="Arial" w:cs="Arial" w:eastAsia="Arial" w:hAnsi="Arial"/>
          <w:sz w:val="17"/>
          <w:szCs w:val="17"/>
          <w:color w:val="auto"/>
        </w:rPr>
      </w:pPr>
      <w:r>
        <w:rPr>
          <w:rFonts w:ascii="Arial" w:cs="Arial" w:eastAsia="Arial" w:hAnsi="Arial"/>
          <w:sz w:val="16"/>
          <w:szCs w:val="16"/>
          <w:color w:val="auto"/>
        </w:rPr>
        <w:t>In order to compete with other products, particularly those that sell at lower prices, our products will have to provide medically significant advantages.</w:t>
      </w:r>
    </w:p>
    <w:p>
      <w:pPr>
        <w:spacing w:after="0" w:line="218" w:lineRule="exact"/>
        <w:rPr>
          <w:rFonts w:ascii="Arial" w:cs="Arial" w:eastAsia="Arial" w:hAnsi="Arial"/>
          <w:sz w:val="17"/>
          <w:szCs w:val="17"/>
          <w:color w:val="auto"/>
        </w:rPr>
      </w:pPr>
    </w:p>
    <w:p>
      <w:pPr>
        <w:ind w:left="840" w:right="220" w:hanging="278"/>
        <w:spacing w:after="0" w:line="253"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6"/>
          <w:szCs w:val="16"/>
          <w:color w:val="auto"/>
        </w:rPr>
        <w:t>Physicians and hospitals may be reluctant to try a new product due to the high degree of risk associated with the application of new technologies and products in the field of human medicine.</w:t>
      </w:r>
    </w:p>
    <w:p>
      <w:pPr>
        <w:spacing w:after="0" w:line="182" w:lineRule="exact"/>
        <w:rPr>
          <w:rFonts w:ascii="Arial" w:cs="Arial" w:eastAsia="Arial" w:hAnsi="Arial"/>
          <w:sz w:val="17"/>
          <w:szCs w:val="17"/>
          <w:color w:val="auto"/>
        </w:rPr>
      </w:pPr>
    </w:p>
    <w:p>
      <w:pPr>
        <w:ind w:left="840" w:hanging="278"/>
        <w:spacing w:after="0" w:line="207"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6"/>
          <w:szCs w:val="16"/>
          <w:color w:val="auto"/>
        </w:rPr>
        <w:t xml:space="preserve">Competing products are being manufactured and marketed by established pharmaceutical companies. For example, B. Braun presently markets </w:t>
      </w:r>
      <w:r>
        <w:rPr>
          <w:rFonts w:ascii="Arial" w:cs="Arial" w:eastAsia="Arial" w:hAnsi="Arial"/>
          <w:sz w:val="16"/>
          <w:szCs w:val="16"/>
          <w:i w:val="1"/>
          <w:iCs w:val="1"/>
          <w:color w:val="auto"/>
        </w:rPr>
        <w:t>Hespan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 artificial plasma volume expander, and Hospira and Teva sell a generic equivalent of </w:t>
      </w:r>
      <w:r>
        <w:rPr>
          <w:rFonts w:ascii="Arial" w:cs="Arial" w:eastAsia="Arial" w:hAnsi="Arial"/>
          <w:sz w:val="16"/>
          <w:szCs w:val="16"/>
          <w:i w:val="1"/>
          <w:iCs w:val="1"/>
          <w:color w:val="auto"/>
        </w:rPr>
        <w:t>Hespan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Hospira also markets </w:t>
      </w:r>
      <w:r>
        <w:rPr>
          <w:rFonts w:ascii="Arial" w:cs="Arial" w:eastAsia="Arial" w:hAnsi="Arial"/>
          <w:sz w:val="16"/>
          <w:szCs w:val="16"/>
          <w:i w:val="1"/>
          <w:iCs w:val="1"/>
          <w:color w:val="auto"/>
        </w:rPr>
        <w:t>Voluven</w:t>
      </w:r>
      <w:r>
        <w:rPr>
          <w:rFonts w:ascii="Arial" w:cs="Arial" w:eastAsia="Arial" w:hAnsi="Arial"/>
          <w:sz w:val="26"/>
          <w:szCs w:val="26"/>
          <w:color w:val="auto"/>
          <w:vertAlign w:val="superscript"/>
        </w:rPr>
        <w:t>®</w:t>
      </w:r>
      <w:r>
        <w:rPr>
          <w:rFonts w:ascii="Arial" w:cs="Arial" w:eastAsia="Arial" w:hAnsi="Arial"/>
          <w:sz w:val="16"/>
          <w:szCs w:val="16"/>
          <w:color w:val="auto"/>
        </w:rPr>
        <w:t>, a plasma volume expander containing a 6% low molecular weight hydroxyethyl starch in saline solution.</w:t>
      </w:r>
    </w:p>
    <w:p>
      <w:pPr>
        <w:spacing w:after="0" w:line="202" w:lineRule="exact"/>
        <w:rPr>
          <w:rFonts w:ascii="Arial" w:cs="Arial" w:eastAsia="Arial" w:hAnsi="Arial"/>
          <w:sz w:val="17"/>
          <w:szCs w:val="17"/>
          <w:color w:val="auto"/>
        </w:rPr>
      </w:pPr>
    </w:p>
    <w:p>
      <w:pPr>
        <w:ind w:left="840" w:right="120" w:hanging="278"/>
        <w:spacing w:after="0" w:line="248"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6"/>
          <w:szCs w:val="16"/>
          <w:color w:val="auto"/>
        </w:rPr>
        <w:t>Competing products for the diagnosis and treatment of cancer are being manufactured and marketed by established pharmaceutical companies, and more cancer diagnostics and therapeutics are being developed by those companies and by other smaller biotechnology companies. Other companies, both large and small, are also working on the development of stem cell based therapies for the same diseases and disorders that are the focus of the research and development programs of our subsidiaries.</w:t>
      </w:r>
    </w:p>
    <w:p>
      <w:pPr>
        <w:spacing w:after="0" w:line="196" w:lineRule="exact"/>
        <w:rPr>
          <w:rFonts w:ascii="Arial" w:cs="Arial" w:eastAsia="Arial" w:hAnsi="Arial"/>
          <w:sz w:val="17"/>
          <w:szCs w:val="17"/>
          <w:color w:val="auto"/>
        </w:rPr>
      </w:pPr>
    </w:p>
    <w:p>
      <w:pPr>
        <w:ind w:left="840" w:right="520" w:hanging="278"/>
        <w:spacing w:after="0" w:line="253"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6"/>
          <w:szCs w:val="16"/>
          <w:color w:val="auto"/>
        </w:rPr>
        <w:t>There also is a risk that our competitors may succeed at developing safer or more effective products that could render our products and technologies obsolete or noncompetitive.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Sales of </w:t>
      </w:r>
      <w:r>
        <w:rPr>
          <w:rFonts w:ascii="Arial" w:cs="Arial" w:eastAsia="Arial" w:hAnsi="Arial"/>
          <w:sz w:val="16"/>
          <w:szCs w:val="16"/>
          <w:b w:val="1"/>
          <w:bCs w:val="1"/>
          <w:i w:val="1"/>
          <w:iCs w:val="1"/>
          <w:color w:val="auto"/>
        </w:rPr>
        <w:t>Hextend</w:t>
      </w:r>
      <w:r>
        <w:rPr>
          <w:rFonts w:ascii="Arial" w:cs="Arial" w:eastAsia="Arial" w:hAnsi="Arial"/>
          <w:sz w:val="26"/>
          <w:szCs w:val="26"/>
          <w:color w:val="auto"/>
          <w:vertAlign w:val="superscript"/>
        </w:rPr>
        <w:t>®</w:t>
      </w:r>
      <w:r>
        <w:rPr>
          <w:rFonts w:ascii="Arial" w:cs="Arial" w:eastAsia="Arial" w:hAnsi="Arial"/>
          <w:sz w:val="16"/>
          <w:szCs w:val="16"/>
          <w:b w:val="1"/>
          <w:bCs w:val="1"/>
          <w:color w:val="auto"/>
        </w:rPr>
        <w:t xml:space="preserve"> could be adversely affected by safety and use labeling changes required by the FDA</w:t>
      </w:r>
    </w:p>
    <w:p>
      <w:pPr>
        <w:spacing w:after="0" w:line="103" w:lineRule="exact"/>
        <w:rPr>
          <w:sz w:val="20"/>
          <w:szCs w:val="20"/>
          <w:color w:val="auto"/>
        </w:rPr>
      </w:pPr>
    </w:p>
    <w:p>
      <w:pPr>
        <w:ind w:right="20" w:firstLine="567"/>
        <w:spacing w:after="0" w:line="182" w:lineRule="auto"/>
        <w:rPr>
          <w:sz w:val="20"/>
          <w:szCs w:val="20"/>
          <w:color w:val="auto"/>
        </w:rPr>
      </w:pPr>
      <w:r>
        <w:rPr>
          <w:rFonts w:ascii="Arial" w:cs="Arial" w:eastAsia="Arial" w:hAnsi="Arial"/>
          <w:sz w:val="15"/>
          <w:szCs w:val="15"/>
          <w:color w:val="auto"/>
        </w:rPr>
        <w:t xml:space="preserve">Sales of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could be adversely affected by certain safety labeling changes required by the FDA for the entire class of hydroxyethyl starch products, including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The labeling changes were approved by the FDA in November 2013 and include a boxed warning stating that the use of hydroxyethyl starch products, including</w:t>
      </w:r>
      <w:r>
        <w:rPr>
          <w:rFonts w:ascii="Arial" w:cs="Arial" w:eastAsia="Arial" w:hAnsi="Arial"/>
          <w:sz w:val="15"/>
          <w:szCs w:val="15"/>
          <w:i w:val="1"/>
          <w:iCs w:val="1"/>
          <w:color w:val="auto"/>
        </w:rPr>
        <w:t xml:space="preserve"> Hextend</w:t>
      </w:r>
      <w:r>
        <w:rPr>
          <w:rFonts w:ascii="Arial" w:cs="Arial" w:eastAsia="Arial" w:hAnsi="Arial"/>
          <w:sz w:val="25"/>
          <w:szCs w:val="25"/>
          <w:color w:val="auto"/>
          <w:vertAlign w:val="superscript"/>
        </w:rPr>
        <w:t>®</w:t>
      </w:r>
      <w:r>
        <w:rPr>
          <w:rFonts w:ascii="Arial" w:cs="Arial" w:eastAsia="Arial" w:hAnsi="Arial"/>
          <w:sz w:val="15"/>
          <w:szCs w:val="15"/>
          <w:color w:val="auto"/>
        </w:rPr>
        <w:t>, increases the risk of mortality and renal injury requiring renal replacement therapy in critically ill adult patients, including patients with sepsis, and that</w:t>
      </w:r>
      <w:r>
        <w:rPr>
          <w:rFonts w:ascii="Arial" w:cs="Arial" w:eastAsia="Arial" w:hAnsi="Arial"/>
          <w:sz w:val="15"/>
          <w:szCs w:val="15"/>
          <w:i w:val="1"/>
          <w:iCs w:val="1"/>
          <w:color w:val="auto"/>
        </w:rPr>
        <w:t xml:space="preserve"> Hextend</w:t>
      </w:r>
      <w:r>
        <w:rPr>
          <w:rFonts w:ascii="Arial" w:cs="Arial" w:eastAsia="Arial" w:hAnsi="Arial"/>
          <w:sz w:val="25"/>
          <w:szCs w:val="25"/>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should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not be used in critically ill adult patients, including patients with sepsis. New warning and precaution information is also required along with new information about contraindications, adverse reactions, and information about certain recent studies. The new warning and precautions include statements to the effect that the use of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should be avoided in patients with pre-existing renal dysfunction, and the coagulation status of patients undergoing open heart surgery in association with cardiopulmonary bypass should be monitored as excess bleeding has been reported with hydroxyethyl starch solutions in that population and use of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should be discontinued at the first sign of coagulopathy. The liver function of patients receiving hydroxyethyl starch products, including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should also be monitored.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2" w:name="page63"/>
    <w:bookmarkEnd w:id="6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29" w:lineRule="exact"/>
        <w:rPr>
          <w:sz w:val="20"/>
          <w:szCs w:val="20"/>
          <w:color w:val="auto"/>
        </w:rPr>
      </w:pPr>
    </w:p>
    <w:p>
      <w:pPr>
        <w:ind w:right="240" w:firstLine="567"/>
        <w:spacing w:after="0" w:line="212" w:lineRule="auto"/>
        <w:rPr>
          <w:sz w:val="20"/>
          <w:szCs w:val="20"/>
          <w:color w:val="auto"/>
        </w:rPr>
      </w:pPr>
      <w:r>
        <w:rPr>
          <w:rFonts w:ascii="Arial" w:cs="Arial" w:eastAsia="Arial" w:hAnsi="Arial"/>
          <w:sz w:val="16"/>
          <w:szCs w:val="16"/>
          <w:color w:val="auto"/>
        </w:rPr>
        <w:t xml:space="preserve">The approved revised label may adversely affect </w:t>
      </w:r>
      <w:r>
        <w:rPr>
          <w:rFonts w:ascii="Arial" w:cs="Arial" w:eastAsia="Arial" w:hAnsi="Arial"/>
          <w:sz w:val="16"/>
          <w:szCs w:val="16"/>
          <w:i w:val="1"/>
          <w:iCs w:val="1"/>
          <w:color w:val="auto"/>
        </w:rPr>
        <w:t>Hextend</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sales since some users of plasma volume expanders might elect to abandon the use of all hydroxyethyl starch products, including </w:t>
      </w:r>
      <w:r>
        <w:rPr>
          <w:rFonts w:ascii="Arial" w:cs="Arial" w:eastAsia="Arial" w:hAnsi="Arial"/>
          <w:sz w:val="16"/>
          <w:szCs w:val="16"/>
          <w:i w:val="1"/>
          <w:iCs w:val="1"/>
          <w:color w:val="auto"/>
        </w:rPr>
        <w:t>Hextend</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will need to issue additional equity or debt securities in order to raise additional capital needed to pay our operating expenses</w:t>
      </w:r>
    </w:p>
    <w:p>
      <w:pPr>
        <w:spacing w:after="0" w:line="222" w:lineRule="exact"/>
        <w:rPr>
          <w:sz w:val="20"/>
          <w:szCs w:val="20"/>
          <w:color w:val="auto"/>
        </w:rPr>
      </w:pPr>
    </w:p>
    <w:p>
      <w:pPr>
        <w:ind w:left="840" w:right="260" w:hanging="278"/>
        <w:spacing w:after="0" w:line="285" w:lineRule="auto"/>
        <w:tabs>
          <w:tab w:leader="none" w:pos="840" w:val="left"/>
        </w:tabs>
        <w:numPr>
          <w:ilvl w:val="0"/>
          <w:numId w:val="26"/>
        </w:numPr>
        <w:rPr>
          <w:rFonts w:ascii="Arial" w:cs="Arial" w:eastAsia="Arial" w:hAnsi="Arial"/>
          <w:sz w:val="16"/>
          <w:szCs w:val="16"/>
          <w:color w:val="auto"/>
        </w:rPr>
      </w:pPr>
      <w:r>
        <w:rPr>
          <w:rFonts w:ascii="Arial" w:cs="Arial" w:eastAsia="Arial" w:hAnsi="Arial"/>
          <w:sz w:val="15"/>
          <w:szCs w:val="15"/>
          <w:color w:val="auto"/>
        </w:rPr>
        <w:t>We plan to continue to incur substantial research and product development expenses, largely through our subsidiaries, and we and our subsidiaries will need to raise additional capital to pay operating expenses until we are able to generate sufficient revenues from product sales, royalties, and license fees.</w:t>
      </w:r>
    </w:p>
    <w:p>
      <w:pPr>
        <w:spacing w:after="0" w:line="167" w:lineRule="exact"/>
        <w:rPr>
          <w:rFonts w:ascii="Arial" w:cs="Arial" w:eastAsia="Arial" w:hAnsi="Arial"/>
          <w:sz w:val="16"/>
          <w:szCs w:val="16"/>
          <w:color w:val="auto"/>
        </w:rPr>
      </w:pPr>
    </w:p>
    <w:p>
      <w:pPr>
        <w:jc w:val="both"/>
        <w:ind w:left="840" w:right="60" w:hanging="278"/>
        <w:spacing w:after="0" w:line="249" w:lineRule="auto"/>
        <w:tabs>
          <w:tab w:leader="none" w:pos="840" w:val="left"/>
        </w:tabs>
        <w:numPr>
          <w:ilvl w:val="0"/>
          <w:numId w:val="26"/>
        </w:numPr>
        <w:rPr>
          <w:rFonts w:ascii="Arial" w:cs="Arial" w:eastAsia="Arial" w:hAnsi="Arial"/>
          <w:sz w:val="17"/>
          <w:szCs w:val="17"/>
          <w:color w:val="auto"/>
        </w:rPr>
      </w:pPr>
      <w:r>
        <w:rPr>
          <w:rFonts w:ascii="Arial" w:cs="Arial" w:eastAsia="Arial" w:hAnsi="Arial"/>
          <w:sz w:val="16"/>
          <w:szCs w:val="16"/>
          <w:color w:val="auto"/>
        </w:rPr>
        <w:t>It is likely that additional sales of equity or debt securities will be required to meet our short-term capital needs, unless we receive substantial revenues from the sale of our new products or we are successful at licensing or sublicensing the technology that we develop or acquire from others and we receive substantial licensing fees and royalties.</w:t>
      </w:r>
    </w:p>
    <w:p>
      <w:pPr>
        <w:spacing w:after="0" w:line="195" w:lineRule="exact"/>
        <w:rPr>
          <w:rFonts w:ascii="Arial" w:cs="Arial" w:eastAsia="Arial" w:hAnsi="Arial"/>
          <w:sz w:val="17"/>
          <w:szCs w:val="17"/>
          <w:color w:val="auto"/>
        </w:rPr>
      </w:pPr>
    </w:p>
    <w:p>
      <w:pPr>
        <w:ind w:left="840" w:hanging="278"/>
        <w:spacing w:after="0"/>
        <w:tabs>
          <w:tab w:leader="none" w:pos="840" w:val="left"/>
        </w:tabs>
        <w:numPr>
          <w:ilvl w:val="0"/>
          <w:numId w:val="26"/>
        </w:numPr>
        <w:rPr>
          <w:rFonts w:ascii="Arial" w:cs="Arial" w:eastAsia="Arial" w:hAnsi="Arial"/>
          <w:sz w:val="17"/>
          <w:szCs w:val="17"/>
          <w:color w:val="auto"/>
        </w:rPr>
      </w:pPr>
      <w:r>
        <w:rPr>
          <w:rFonts w:ascii="Arial" w:cs="Arial" w:eastAsia="Arial" w:hAnsi="Arial"/>
          <w:sz w:val="16"/>
          <w:szCs w:val="16"/>
          <w:color w:val="auto"/>
        </w:rPr>
        <w:t>Sales of additional equity securities by us or our subsidiaries could result in the dilution of the interests of present shareholders.</w:t>
      </w:r>
    </w:p>
    <w:p>
      <w:pPr>
        <w:spacing w:after="0" w:line="214" w:lineRule="exact"/>
        <w:rPr>
          <w:sz w:val="20"/>
          <w:szCs w:val="20"/>
          <w:color w:val="auto"/>
        </w:rPr>
      </w:pPr>
    </w:p>
    <w:p>
      <w:pPr>
        <w:spacing w:after="0" w:line="307" w:lineRule="auto"/>
        <w:rPr>
          <w:sz w:val="20"/>
          <w:szCs w:val="20"/>
          <w:color w:val="auto"/>
        </w:rPr>
      </w:pPr>
      <w:r>
        <w:rPr>
          <w:rFonts w:ascii="Arial" w:cs="Arial" w:eastAsia="Arial" w:hAnsi="Arial"/>
          <w:sz w:val="15"/>
          <w:szCs w:val="15"/>
          <w:b w:val="1"/>
          <w:bCs w:val="1"/>
          <w:color w:val="auto"/>
        </w:rPr>
        <w:t>The amount and pace of research and development work that we and our subsidiaries can do or sponsor, and our ability to commence and complete clinical trials required to obtain regulatory approval to market our therapeutic and medical device products, depends upon the amount of money we have</w:t>
      </w:r>
    </w:p>
    <w:p>
      <w:pPr>
        <w:spacing w:after="0" w:line="154" w:lineRule="exact"/>
        <w:rPr>
          <w:sz w:val="20"/>
          <w:szCs w:val="20"/>
          <w:color w:val="auto"/>
        </w:rPr>
      </w:pPr>
    </w:p>
    <w:p>
      <w:pPr>
        <w:ind w:left="840" w:right="80" w:hanging="278"/>
        <w:spacing w:after="0" w:line="294" w:lineRule="auto"/>
        <w:tabs>
          <w:tab w:leader="none" w:pos="840" w:val="left"/>
        </w:tabs>
        <w:numPr>
          <w:ilvl w:val="0"/>
          <w:numId w:val="27"/>
        </w:numPr>
        <w:rPr>
          <w:rFonts w:ascii="Arial" w:cs="Arial" w:eastAsia="Arial" w:hAnsi="Arial"/>
          <w:sz w:val="15"/>
          <w:szCs w:val="15"/>
          <w:color w:val="auto"/>
        </w:rPr>
      </w:pPr>
      <w:r>
        <w:rPr>
          <w:rFonts w:ascii="Arial" w:cs="Arial" w:eastAsia="Arial" w:hAnsi="Arial"/>
          <w:sz w:val="14"/>
          <w:szCs w:val="14"/>
          <w:color w:val="auto"/>
        </w:rPr>
        <w:t>At December 31, 2013, we had $5,495,478 of cash and cash equivalents on hand. Although we have raised an additional $11,974,005 of equity capital during 2014, there can be no assurance that we or our subsidiaries will be able to raise additional funds on favorable terms or at all, or that any funds raised will be sufficient to permit us or our subsidiaries to develop and market our products and technology. Unless we and our subsidiaries are able to generate sufficient revenue or raise additional funds when needed, it is likely that we will be unable to continue our planned activities, even if we make progress in our research and development projects.</w:t>
      </w:r>
    </w:p>
    <w:p>
      <w:pPr>
        <w:spacing w:after="0" w:line="166" w:lineRule="exact"/>
        <w:rPr>
          <w:rFonts w:ascii="Arial" w:cs="Arial" w:eastAsia="Arial" w:hAnsi="Arial"/>
          <w:sz w:val="15"/>
          <w:szCs w:val="15"/>
          <w:color w:val="auto"/>
        </w:rPr>
      </w:pPr>
    </w:p>
    <w:p>
      <w:pPr>
        <w:ind w:left="840" w:right="500" w:hanging="278"/>
        <w:spacing w:after="0" w:line="253" w:lineRule="auto"/>
        <w:tabs>
          <w:tab w:leader="none" w:pos="840" w:val="left"/>
        </w:tabs>
        <w:numPr>
          <w:ilvl w:val="0"/>
          <w:numId w:val="27"/>
        </w:numPr>
        <w:rPr>
          <w:rFonts w:ascii="Arial" w:cs="Arial" w:eastAsia="Arial" w:hAnsi="Arial"/>
          <w:sz w:val="17"/>
          <w:szCs w:val="17"/>
          <w:color w:val="auto"/>
        </w:rPr>
      </w:pPr>
      <w:r>
        <w:rPr>
          <w:rFonts w:ascii="Arial" w:cs="Arial" w:eastAsia="Arial" w:hAnsi="Arial"/>
          <w:sz w:val="16"/>
          <w:szCs w:val="16"/>
          <w:color w:val="auto"/>
        </w:rPr>
        <w:t>We may have to postpone or limit the pace of our research and development work and planned clinical trials of our product candidates unless our cash resources increase through a growth in revenues or additional equity investment or borrowing.</w:t>
      </w:r>
    </w:p>
    <w:p>
      <w:pPr>
        <w:spacing w:after="0" w:line="187" w:lineRule="exact"/>
        <w:rPr>
          <w:sz w:val="20"/>
          <w:szCs w:val="20"/>
          <w:color w:val="auto"/>
        </w:rPr>
      </w:pPr>
    </w:p>
    <w:p>
      <w:pPr>
        <w:ind w:right="300"/>
        <w:spacing w:after="0" w:line="273" w:lineRule="auto"/>
        <w:rPr>
          <w:sz w:val="20"/>
          <w:szCs w:val="20"/>
          <w:color w:val="auto"/>
        </w:rPr>
      </w:pPr>
      <w:r>
        <w:rPr>
          <w:rFonts w:ascii="Arial" w:cs="Arial" w:eastAsia="Arial" w:hAnsi="Arial"/>
          <w:sz w:val="16"/>
          <w:szCs w:val="16"/>
          <w:b w:val="1"/>
          <w:bCs w:val="1"/>
          <w:color w:val="auto"/>
        </w:rPr>
        <w:t>The condition of the cells, cell lines and other biological materials that Asterias acquired from Geron could impact the time and cost of commencing Asterias’ research and product development programs</w:t>
      </w:r>
    </w:p>
    <w:p>
      <w:pPr>
        <w:spacing w:after="0" w:line="176" w:lineRule="exact"/>
        <w:rPr>
          <w:sz w:val="20"/>
          <w:szCs w:val="20"/>
          <w:color w:val="auto"/>
        </w:rPr>
      </w:pPr>
    </w:p>
    <w:p>
      <w:pPr>
        <w:ind w:right="320" w:firstLine="567"/>
        <w:spacing w:after="0" w:line="257" w:lineRule="auto"/>
        <w:rPr>
          <w:sz w:val="20"/>
          <w:szCs w:val="20"/>
          <w:color w:val="auto"/>
        </w:rPr>
      </w:pPr>
      <w:r>
        <w:rPr>
          <w:rFonts w:ascii="Arial" w:cs="Arial" w:eastAsia="Arial" w:hAnsi="Arial"/>
          <w:sz w:val="16"/>
          <w:szCs w:val="16"/>
          <w:color w:val="auto"/>
        </w:rPr>
        <w:t>The cells, cell lines and other biological materials that Asterias acquired are being stored under cryopreservation protocols intended to preserve their functionality. However, the functional condition of those materials cannot be certified until they are tested in an appropriate laboratory setting by qualified scientific personnel using validated equipment, which may not be completed until the second quarter of 2014.</w:t>
      </w:r>
    </w:p>
    <w:p>
      <w:pPr>
        <w:spacing w:after="0" w:line="189" w:lineRule="exact"/>
        <w:rPr>
          <w:sz w:val="20"/>
          <w:szCs w:val="20"/>
          <w:color w:val="auto"/>
        </w:rPr>
      </w:pPr>
    </w:p>
    <w:p>
      <w:pPr>
        <w:ind w:right="40" w:firstLine="567"/>
        <w:spacing w:after="0" w:line="267" w:lineRule="auto"/>
        <w:rPr>
          <w:sz w:val="20"/>
          <w:szCs w:val="20"/>
          <w:color w:val="auto"/>
        </w:rPr>
      </w:pPr>
      <w:r>
        <w:rPr>
          <w:rFonts w:ascii="Arial" w:cs="Arial" w:eastAsia="Arial" w:hAnsi="Arial"/>
          <w:sz w:val="16"/>
          <w:szCs w:val="16"/>
          <w:color w:val="auto"/>
        </w:rPr>
        <w:t>To the extent that cells are not sufficiently functional for Asterias’ purposes, Asterias would need to incur the time and expense of regenerating cell lines from cell banks, or regenerating cell banks from feeder cells, which could delay and increase the cost of its research and development work.</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cell-based products that receive regulatory approval may be difficult and expensive to manufacture on a commercial scale</w:t>
      </w:r>
    </w:p>
    <w:p>
      <w:pPr>
        <w:spacing w:after="0" w:line="222" w:lineRule="exact"/>
        <w:rPr>
          <w:sz w:val="20"/>
          <w:szCs w:val="20"/>
          <w:color w:val="auto"/>
        </w:rPr>
      </w:pPr>
    </w:p>
    <w:p>
      <w:pPr>
        <w:ind w:left="840" w:right="80" w:hanging="278"/>
        <w:spacing w:after="0" w:line="300" w:lineRule="auto"/>
        <w:tabs>
          <w:tab w:leader="none" w:pos="840" w:val="left"/>
        </w:tabs>
        <w:numPr>
          <w:ilvl w:val="0"/>
          <w:numId w:val="28"/>
        </w:numPr>
        <w:rPr>
          <w:rFonts w:ascii="Arial" w:cs="Arial" w:eastAsia="Arial" w:hAnsi="Arial"/>
          <w:sz w:val="15"/>
          <w:szCs w:val="15"/>
          <w:color w:val="auto"/>
        </w:rPr>
      </w:pPr>
      <w:r>
        <w:rPr>
          <w:rFonts w:ascii="Arial" w:cs="Arial" w:eastAsia="Arial" w:hAnsi="Arial"/>
          <w:sz w:val="14"/>
          <w:szCs w:val="14"/>
          <w:color w:val="auto"/>
        </w:rPr>
        <w:t>hES derived therapeutic cells have only been produced on a small scale and not in quantities and at levels of purity and viability that will be needed for wide scale commercialization. If we are successful in developing products that consist of hES cells or other cells or products derived from hES or other cells, we will need to develop, alone or in collaboration with one or more pharmaceutical companies or contract manufacturers, technology for the commercial production of those products.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63" w:name="page64"/>
    <w:bookmarkEnd w:id="6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jc w:val="both"/>
        <w:ind w:left="840" w:right="180" w:hanging="278"/>
        <w:spacing w:after="0" w:line="270" w:lineRule="auto"/>
        <w:tabs>
          <w:tab w:leader="none" w:pos="840" w:val="left"/>
        </w:tabs>
        <w:numPr>
          <w:ilvl w:val="0"/>
          <w:numId w:val="29"/>
        </w:numPr>
        <w:rPr>
          <w:rFonts w:ascii="Arial" w:cs="Arial" w:eastAsia="Arial" w:hAnsi="Arial"/>
          <w:sz w:val="16"/>
          <w:szCs w:val="16"/>
          <w:color w:val="auto"/>
        </w:rPr>
      </w:pPr>
      <w:r>
        <w:rPr>
          <w:rFonts w:ascii="Arial" w:cs="Arial" w:eastAsia="Arial" w:hAnsi="Arial"/>
          <w:sz w:val="15"/>
          <w:szCs w:val="15"/>
          <w:color w:val="auto"/>
        </w:rPr>
        <w:t>Our hES cell or other cell based products are likely to be more expensive to manufacture on a commercial scale than most other drugs on the market today. The high cost of manufacturing a product will require that we charge our customers a high price for the product in order to cover our costs and earn a profit. If the price of our products is too high, hospitals and physicians may be reluctant to purchase our products, especially if lower priced alternative products are available, and we may not be able to sell our products in sufficient volumes to recover our costs of development and manufacture or to earn a profit.</w:t>
      </w:r>
    </w:p>
    <w:p>
      <w:pPr>
        <w:spacing w:after="0" w:line="176"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b w:val="1"/>
          <w:bCs w:val="1"/>
          <w:color w:val="auto"/>
        </w:rPr>
        <w:t>Asterias has assumed certain obligations and potential liabilities with regard to clinical trials conducted by Geron, and we do not yet know the scope of any resulting expense</w:t>
      </w:r>
    </w:p>
    <w:p>
      <w:pPr>
        <w:spacing w:after="0" w:line="176" w:lineRule="exact"/>
        <w:rPr>
          <w:sz w:val="20"/>
          <w:szCs w:val="20"/>
          <w:color w:val="auto"/>
        </w:rPr>
      </w:pPr>
    </w:p>
    <w:p>
      <w:pPr>
        <w:ind w:right="40" w:firstLine="567"/>
        <w:spacing w:after="0" w:line="257" w:lineRule="auto"/>
        <w:rPr>
          <w:sz w:val="20"/>
          <w:szCs w:val="20"/>
          <w:color w:val="auto"/>
        </w:rPr>
      </w:pPr>
      <w:r>
        <w:rPr>
          <w:rFonts w:ascii="Arial" w:cs="Arial" w:eastAsia="Arial" w:hAnsi="Arial"/>
          <w:sz w:val="16"/>
          <w:szCs w:val="16"/>
          <w:color w:val="auto"/>
        </w:rPr>
        <w:t>Asterias has assumed Geron’s obligations to obtain information and prepare reports about the health of patients who participated in clinical trials of Geron’s GRNOPC1 cell replacement therapy for spinal cord damage and its GRNVAC1 immunological therapy for certain cancers. Although the future cost of patient health information gathering and reporting is not presently determinable, we do not expect that the cost will be material to our financial condition.</w:t>
      </w:r>
    </w:p>
    <w:p>
      <w:pPr>
        <w:spacing w:after="0" w:line="189" w:lineRule="exact"/>
        <w:rPr>
          <w:sz w:val="20"/>
          <w:szCs w:val="20"/>
          <w:color w:val="auto"/>
        </w:rPr>
      </w:pPr>
    </w:p>
    <w:p>
      <w:pPr>
        <w:ind w:right="200" w:firstLine="567"/>
        <w:spacing w:after="0" w:line="253" w:lineRule="auto"/>
        <w:rPr>
          <w:sz w:val="20"/>
          <w:szCs w:val="20"/>
          <w:color w:val="auto"/>
        </w:rPr>
      </w:pPr>
      <w:r>
        <w:rPr>
          <w:rFonts w:ascii="Arial" w:cs="Arial" w:eastAsia="Arial" w:hAnsi="Arial"/>
          <w:sz w:val="16"/>
          <w:szCs w:val="16"/>
          <w:color w:val="auto"/>
        </w:rPr>
        <w:t>Asterias has also assumed any liabilities to those patients that might arise as result of any injuries they may have incurred as a result of their participation in the clinical trials. We are not aware of any claims by patients alleging injuries suffered as a result of the Geron clinical trials, but if any claims are made and if liability can be established, the amount of any liability that Asterias may incur, depending upon the nature and extent of any provable injuries incurred, could exceed any insurance coverage that we or Asterias may obtain and the amount of the liability could be material to our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could be adversely affected if we lose the services of the key personnel upon whom we depend</w:t>
      </w:r>
    </w:p>
    <w:p>
      <w:pPr>
        <w:spacing w:after="0" w:line="222" w:lineRule="exact"/>
        <w:rPr>
          <w:sz w:val="20"/>
          <w:szCs w:val="20"/>
          <w:color w:val="auto"/>
        </w:rPr>
      </w:pPr>
    </w:p>
    <w:p>
      <w:pPr>
        <w:ind w:right="180" w:firstLine="567"/>
        <w:spacing w:after="0" w:line="257" w:lineRule="auto"/>
        <w:rPr>
          <w:sz w:val="20"/>
          <w:szCs w:val="20"/>
          <w:color w:val="auto"/>
        </w:rPr>
      </w:pPr>
      <w:r>
        <w:rPr>
          <w:rFonts w:ascii="Arial" w:cs="Arial" w:eastAsia="Arial" w:hAnsi="Arial"/>
          <w:sz w:val="16"/>
          <w:szCs w:val="16"/>
          <w:color w:val="auto"/>
        </w:rPr>
        <w:t>BioTime stem cell research programs, and to a lesser extent, the programs of BioTime’s subsidiaries, are directed primarily by our Chief Executive Officer, Dr. Michael West. BioTime’s subsidiaries are directed by their respective management teams. The loss of the services of Dr. West or members of senior management of our subsidiaries could have a material adverse effect on us.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make strategic acquisitions, we will incur a variety of costs and might never realize the anticipated benefits</w:t>
      </w:r>
    </w:p>
    <w:p>
      <w:pPr>
        <w:spacing w:after="0" w:line="222" w:lineRule="exact"/>
        <w:rPr>
          <w:sz w:val="20"/>
          <w:szCs w:val="20"/>
          <w:color w:val="auto"/>
        </w:rPr>
      </w:pPr>
    </w:p>
    <w:p>
      <w:pPr>
        <w:ind w:firstLine="567"/>
        <w:spacing w:after="0" w:line="268" w:lineRule="auto"/>
        <w:rPr>
          <w:sz w:val="20"/>
          <w:szCs w:val="20"/>
          <w:color w:val="auto"/>
        </w:rPr>
      </w:pPr>
      <w:r>
        <w:rPr>
          <w:rFonts w:ascii="Arial" w:cs="Arial" w:eastAsia="Arial" w:hAnsi="Arial"/>
          <w:sz w:val="15"/>
          <w:szCs w:val="15"/>
          <w:color w:val="auto"/>
        </w:rPr>
        <w:t>Our experience identifying acquisition candidates and integrating their operations with our company is limited to our acquisitions of ESI in 2010, Glycosan BioSystems, Inc. and Cell Targeting, Inc. in 2011, and XenneX, Inc. in 2012. In addition, Asterias acquired stem cell related assets from Geron on October 1, 2013. If appropriate opportunities become available, we might attempt to acquire approved products, additional drug candidates, technologies or businesses that we believe are a strategic fit with our business. If we pursue any transaction of that sort, the process of negotiating the acquisition and integrating an acquired product, drug candidate, technology or business might result in operating difficulties and expenditures and might require significant management attention that would otherwise be available for ongoing development of our business, whether or not any such transaction is ever consummated. Moreover, we might never realize the anticipated benefits of any acquisition. Future acquisitions could result in potentially dilutive issuances of equity securities, the incurrence of debt, contingent liabilities, or impairment expenses related to goodwill, and impairment or amortization expenses related to other intangible assets, which could harm our financial condition.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64" w:name="page65"/>
    <w:bookmarkEnd w:id="6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of our internal control over financial reporting could harm our business and financial results</w:t>
      </w:r>
    </w:p>
    <w:p>
      <w:pPr>
        <w:spacing w:after="0" w:line="222" w:lineRule="exact"/>
        <w:rPr>
          <w:sz w:val="20"/>
          <w:szCs w:val="20"/>
          <w:color w:val="auto"/>
        </w:rPr>
      </w:pPr>
    </w:p>
    <w:p>
      <w:pPr>
        <w:ind w:right="60" w:firstLine="567"/>
        <w:spacing w:after="0" w:line="267"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Internal control over financial reporting is a process to provide reasonable assurance regarding the reliability of financial reporting for external purposes in accordance with accounting principles generally accepted in the U.S. Internal control over financial reporting includes maintaining records that in reasonable detail accurately and fairly reflect our transactions; providing reasonable assurance that transactions are recorded as necessary for preparation of the financial statements; providing reasonable assurance that receipts and expenditures of our assets are made in accordance with management authorization; and providing reasonable assurance that unauthorized acquisition, use or disposition of our assets that could have a material effect on our financial statements would be prevented or detected on a timely basis. Because of its inherent limitations, internal control over financial reporting is not intended to provide absolute assurance that a misstatement of our financial statements would be prevented or detected. Our growth and entry into new products, technologies and markets will place significant additional pressure on our system of internal control over financial reporting. Any failure to maintain an effective system of internal control over financial reporting could limit our ability to report our financial results accurately and timely or to detect and prevent fraud.</w:t>
      </w:r>
    </w:p>
    <w:p>
      <w:pPr>
        <w:spacing w:after="0" w:line="187" w:lineRule="exact"/>
        <w:rPr>
          <w:sz w:val="20"/>
          <w:szCs w:val="20"/>
          <w:color w:val="auto"/>
        </w:rPr>
      </w:pPr>
    </w:p>
    <w:p>
      <w:pPr>
        <w:ind w:right="20" w:firstLine="567"/>
        <w:spacing w:after="0" w:line="270" w:lineRule="auto"/>
        <w:rPr>
          <w:sz w:val="20"/>
          <w:szCs w:val="20"/>
          <w:color w:val="auto"/>
        </w:rPr>
      </w:pPr>
      <w:r>
        <w:rPr>
          <w:rFonts w:ascii="Arial" w:cs="Arial" w:eastAsia="Arial" w:hAnsi="Arial"/>
          <w:sz w:val="15"/>
          <w:szCs w:val="15"/>
          <w:color w:val="auto"/>
        </w:rPr>
        <w:t>Operating our business through subsidiaries, some of which are located in foreign countries, also adds to the complexity of our internal control over financial reporting and adds to the risk of a system failure, an undetected improper use or expenditure of funds or other resources by a subsidiary, or a failure to properly report a transaction or financial results of a subsidiary. We allocate certain expenses among BioTime itself and one or more of our subsidiaries, which creates a risk that the allocations we make may not accurately reflect the benefit of an expenditure or use of financial or other resources by BioTime as the parent company and the subsidiaries among which the allocations are made. An inaccurate allocation may impact our consolidated financial results, particularly in the case of subsidiaries that we do not wholly own since our financial statements include adjustments to reflect the minority ownership interests in our subsidiaries held by others.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and operations could suffer in the event of system failures</w:t>
      </w:r>
    </w:p>
    <w:p>
      <w:pPr>
        <w:spacing w:after="0" w:line="222" w:lineRule="exact"/>
        <w:rPr>
          <w:sz w:val="20"/>
          <w:szCs w:val="20"/>
          <w:color w:val="auto"/>
        </w:rPr>
      </w:pPr>
    </w:p>
    <w:p>
      <w:pPr>
        <w:ind w:right="140" w:firstLine="567"/>
        <w:spacing w:after="0" w:line="251" w:lineRule="auto"/>
        <w:rPr>
          <w:sz w:val="20"/>
          <w:szCs w:val="20"/>
          <w:color w:val="auto"/>
        </w:rPr>
      </w:pPr>
      <w:r>
        <w:rPr>
          <w:rFonts w:ascii="Arial" w:cs="Arial" w:eastAsia="Arial" w:hAnsi="Arial"/>
          <w:sz w:val="16"/>
          <w:szCs w:val="16"/>
          <w:color w:val="auto"/>
        </w:rPr>
        <w:t>Despite the implementation of security measures, our internal computer systems and those of our contractors and consultants are vulnerable to damage from computer viruses, unauthorized access, natural disasters, terrorism, war and telecommunication and electrical failures. Such events could cause interruption of our operations. For example, the loss of data for our product candidates could result in delays in our regulatory filings and development efforts and significantly increase our costs. To the extent that any disruption or security breach was to result in a loss of or damage to our data, or inappropriate disclosure of confidential or proprietary information, we could incur liability and the development of our product candidates could be delayed.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Our Industry</w:t>
      </w:r>
    </w:p>
    <w:p>
      <w:pPr>
        <w:spacing w:after="0" w:line="222" w:lineRule="exact"/>
        <w:rPr>
          <w:sz w:val="20"/>
          <w:szCs w:val="20"/>
          <w:color w:val="auto"/>
        </w:rPr>
      </w:pPr>
    </w:p>
    <w:p>
      <w:pPr>
        <w:ind w:firstLine="567"/>
        <w:spacing w:after="0" w:line="257" w:lineRule="auto"/>
        <w:rPr>
          <w:sz w:val="20"/>
          <w:szCs w:val="20"/>
          <w:color w:val="auto"/>
        </w:rPr>
      </w:pPr>
      <w:r>
        <w:rPr>
          <w:rFonts w:ascii="Arial" w:cs="Arial" w:eastAsia="Arial" w:hAnsi="Arial"/>
          <w:sz w:val="16"/>
          <w:szCs w:val="16"/>
          <w:color w:val="auto"/>
        </w:rPr>
        <w:t>We will face certain risks arising from regulatory, legal, and economic factors that affect our business and the business of other biotechnology and pharmaceutical development companies. Because we are a small company with limited revenues and limited capital resources, we may be less able to bear the financial impact of these risks than is the case with larger companies possessing substantial income and available capital.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receive regulatory approvals we will not be permitted to sell our therapeutic and medical device products</w:t>
      </w:r>
    </w:p>
    <w:p>
      <w:pPr>
        <w:spacing w:after="0" w:line="222" w:lineRule="exact"/>
        <w:rPr>
          <w:sz w:val="20"/>
          <w:szCs w:val="20"/>
          <w:color w:val="auto"/>
        </w:rPr>
      </w:pPr>
    </w:p>
    <w:p>
      <w:pPr>
        <w:ind w:right="180" w:firstLine="567"/>
        <w:spacing w:after="0" w:line="267" w:lineRule="auto"/>
        <w:rPr>
          <w:sz w:val="20"/>
          <w:szCs w:val="20"/>
          <w:color w:val="auto"/>
        </w:rPr>
      </w:pPr>
      <w:r>
        <w:rPr>
          <w:rFonts w:ascii="Arial" w:cs="Arial" w:eastAsia="Arial" w:hAnsi="Arial"/>
          <w:sz w:val="16"/>
          <w:szCs w:val="16"/>
          <w:color w:val="auto"/>
        </w:rPr>
        <w:t>The therapeutic and medical device products that we and our subsidiaries develop cannot be sold until the FDA and corresponding foreign regulatory authorities approve the products for medical use. The need to obtain regulatory approval to market a new product means that:</w:t>
      </w:r>
    </w:p>
    <w:p>
      <w:pPr>
        <w:spacing w:after="0" w:line="181" w:lineRule="exact"/>
        <w:rPr>
          <w:sz w:val="20"/>
          <w:szCs w:val="20"/>
          <w:color w:val="auto"/>
        </w:rPr>
      </w:pPr>
    </w:p>
    <w:p>
      <w:pPr>
        <w:ind w:left="840" w:right="180" w:hanging="278"/>
        <w:spacing w:after="0" w:line="285" w:lineRule="auto"/>
        <w:tabs>
          <w:tab w:leader="none" w:pos="840" w:val="left"/>
        </w:tabs>
        <w:numPr>
          <w:ilvl w:val="0"/>
          <w:numId w:val="30"/>
        </w:numPr>
        <w:rPr>
          <w:rFonts w:ascii="Arial" w:cs="Arial" w:eastAsia="Arial" w:hAnsi="Arial"/>
          <w:sz w:val="16"/>
          <w:szCs w:val="16"/>
          <w:color w:val="auto"/>
        </w:rPr>
      </w:pPr>
      <w:r>
        <w:rPr>
          <w:rFonts w:ascii="Arial" w:cs="Arial" w:eastAsia="Arial" w:hAnsi="Arial"/>
          <w:sz w:val="15"/>
          <w:szCs w:val="15"/>
          <w:color w:val="auto"/>
        </w:rPr>
        <w:t>We will have to conduct expensive and time-consuming clinical trials of new products. The full cost of conducting and completing clinical trials necessary to obtain FDA and foreign regulatory approval of a new product cannot be presently determined, but could exceed our current financial resources.</w:t>
      </w:r>
    </w:p>
    <w:p>
      <w:pPr>
        <w:spacing w:after="0" w:line="167" w:lineRule="exact"/>
        <w:rPr>
          <w:rFonts w:ascii="Arial" w:cs="Arial" w:eastAsia="Arial" w:hAnsi="Arial"/>
          <w:sz w:val="16"/>
          <w:szCs w:val="16"/>
          <w:color w:val="auto"/>
        </w:rPr>
      </w:pPr>
    </w:p>
    <w:p>
      <w:pPr>
        <w:ind w:left="840" w:right="80" w:hanging="278"/>
        <w:spacing w:after="0" w:line="285" w:lineRule="auto"/>
        <w:tabs>
          <w:tab w:leader="none" w:pos="840" w:val="left"/>
        </w:tabs>
        <w:numPr>
          <w:ilvl w:val="0"/>
          <w:numId w:val="30"/>
        </w:numPr>
        <w:rPr>
          <w:rFonts w:ascii="Arial" w:cs="Arial" w:eastAsia="Arial" w:hAnsi="Arial"/>
          <w:sz w:val="16"/>
          <w:szCs w:val="16"/>
          <w:color w:val="auto"/>
        </w:rPr>
      </w:pPr>
      <w:r>
        <w:rPr>
          <w:rFonts w:ascii="Arial" w:cs="Arial" w:eastAsia="Arial" w:hAnsi="Arial"/>
          <w:sz w:val="15"/>
          <w:szCs w:val="15"/>
          <w:color w:val="auto"/>
        </w:rPr>
        <w:t>Clinical trials and the regulatory approval process for a pharmaceutical or cell-based product can take several years to complete. As a result, we will incur the expense and delay inherent in seeking FDA and foreign regulatory approval of new products, even if the results of clinical trials are favorable.</w:t>
      </w:r>
    </w:p>
    <w:p>
      <w:pPr>
        <w:spacing w:after="0" w:line="167" w:lineRule="exact"/>
        <w:rPr>
          <w:rFonts w:ascii="Arial" w:cs="Arial" w:eastAsia="Arial" w:hAnsi="Arial"/>
          <w:sz w:val="16"/>
          <w:szCs w:val="16"/>
          <w:color w:val="auto"/>
        </w:rPr>
      </w:pPr>
    </w:p>
    <w:p>
      <w:pPr>
        <w:ind w:left="840" w:right="200" w:hanging="278"/>
        <w:spacing w:after="0" w:line="323" w:lineRule="auto"/>
        <w:tabs>
          <w:tab w:leader="none" w:pos="840" w:val="left"/>
        </w:tabs>
        <w:numPr>
          <w:ilvl w:val="0"/>
          <w:numId w:val="30"/>
        </w:numPr>
        <w:rPr>
          <w:rFonts w:ascii="Arial" w:cs="Arial" w:eastAsia="Arial" w:hAnsi="Arial"/>
          <w:sz w:val="15"/>
          <w:szCs w:val="15"/>
          <w:color w:val="auto"/>
        </w:rPr>
      </w:pPr>
      <w:r>
        <w:rPr>
          <w:rFonts w:ascii="Arial" w:cs="Arial" w:eastAsia="Arial" w:hAnsi="Arial"/>
          <w:sz w:val="14"/>
          <w:szCs w:val="14"/>
          <w:color w:val="auto"/>
        </w:rPr>
        <w:t>Data obtained from preclinical and clinical studies is susceptible to varying interpretations that could delay, limit, or prevent regulatory agency approvals. Delays in the regulatory approval process or rejections of an application for approval of a new product may be encountered as a result of changes in regulatory agency policy.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65" w:name="page66"/>
    <w:bookmarkEnd w:id="6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840" w:hanging="278"/>
        <w:spacing w:after="0" w:line="323" w:lineRule="auto"/>
        <w:tabs>
          <w:tab w:leader="none" w:pos="840" w:val="left"/>
        </w:tabs>
        <w:numPr>
          <w:ilvl w:val="0"/>
          <w:numId w:val="31"/>
        </w:numPr>
        <w:rPr>
          <w:rFonts w:ascii="Arial" w:cs="Arial" w:eastAsia="Arial" w:hAnsi="Arial"/>
          <w:sz w:val="15"/>
          <w:szCs w:val="15"/>
          <w:color w:val="auto"/>
        </w:rPr>
      </w:pPr>
      <w:r>
        <w:rPr>
          <w:rFonts w:ascii="Arial" w:cs="Arial" w:eastAsia="Arial" w:hAnsi="Arial"/>
          <w:sz w:val="14"/>
          <w:szCs w:val="14"/>
          <w:color w:val="auto"/>
        </w:rPr>
        <w:t>Because the therapeutic products we are developing with hES and iPS technology involve the application of new technologies and approaches to medicine, the FDA or foreign regulatory agencies may subject those products to additional or more stringent review than drugs or biologicals derived from other technologies.</w:t>
      </w:r>
    </w:p>
    <w:p>
      <w:pPr>
        <w:spacing w:after="0" w:line="142" w:lineRule="exact"/>
        <w:rPr>
          <w:rFonts w:ascii="Arial" w:cs="Arial" w:eastAsia="Arial" w:hAnsi="Arial"/>
          <w:sz w:val="15"/>
          <w:szCs w:val="15"/>
          <w:color w:val="auto"/>
        </w:rPr>
      </w:pPr>
    </w:p>
    <w:p>
      <w:pPr>
        <w:ind w:left="840" w:hanging="278"/>
        <w:spacing w:after="0"/>
        <w:tabs>
          <w:tab w:leader="none" w:pos="840" w:val="left"/>
        </w:tabs>
        <w:numPr>
          <w:ilvl w:val="0"/>
          <w:numId w:val="31"/>
        </w:numPr>
        <w:rPr>
          <w:rFonts w:ascii="Arial" w:cs="Arial" w:eastAsia="Arial" w:hAnsi="Arial"/>
          <w:sz w:val="17"/>
          <w:szCs w:val="17"/>
          <w:color w:val="auto"/>
        </w:rPr>
      </w:pPr>
      <w:r>
        <w:rPr>
          <w:rFonts w:ascii="Arial" w:cs="Arial" w:eastAsia="Arial" w:hAnsi="Arial"/>
          <w:sz w:val="16"/>
          <w:szCs w:val="16"/>
          <w:color w:val="auto"/>
        </w:rPr>
        <w:t>A product that is approved may be subject to restrictions on use.</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31"/>
        </w:numPr>
        <w:rPr>
          <w:rFonts w:ascii="Arial" w:cs="Arial" w:eastAsia="Arial" w:hAnsi="Arial"/>
          <w:sz w:val="17"/>
          <w:szCs w:val="17"/>
          <w:color w:val="auto"/>
        </w:rPr>
      </w:pPr>
      <w:r>
        <w:rPr>
          <w:rFonts w:ascii="Arial" w:cs="Arial" w:eastAsia="Arial" w:hAnsi="Arial"/>
          <w:sz w:val="16"/>
          <w:szCs w:val="16"/>
          <w:color w:val="auto"/>
        </w:rPr>
        <w:t>The FDA can recall or withdraw approval of a product if problems arise.</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31"/>
        </w:numPr>
        <w:rPr>
          <w:rFonts w:ascii="Arial" w:cs="Arial" w:eastAsia="Arial" w:hAnsi="Arial"/>
          <w:sz w:val="17"/>
          <w:szCs w:val="17"/>
          <w:color w:val="auto"/>
        </w:rPr>
      </w:pPr>
      <w:r>
        <w:rPr>
          <w:rFonts w:ascii="Arial" w:cs="Arial" w:eastAsia="Arial" w:hAnsi="Arial"/>
          <w:sz w:val="16"/>
          <w:szCs w:val="16"/>
          <w:color w:val="auto"/>
        </w:rPr>
        <w:t>We will face similar regulatory issues in foreign countries.</w:t>
      </w: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b w:val="1"/>
          <w:bCs w:val="1"/>
          <w:color w:val="auto"/>
        </w:rPr>
        <w:t>Clinical trial failures can occur at any stage of the testing and we may experience numerous unforeseen events during, or as a result of, the clinical trial process that could delay or prevent commercialization of our current or future product candidates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Clinical trial failures or delays can occur at any stage of the trials, and may be directly or indirectly caused by a variety of factors, including but not limited to:</w:t>
      </w:r>
    </w:p>
    <w:p>
      <w:pPr>
        <w:spacing w:after="0" w:line="229" w:lineRule="exact"/>
        <w:rPr>
          <w:sz w:val="20"/>
          <w:szCs w:val="20"/>
          <w:color w:val="auto"/>
        </w:rPr>
      </w:pPr>
    </w:p>
    <w:p>
      <w:pPr>
        <w:ind w:left="840" w:hanging="278"/>
        <w:spacing w:after="0"/>
        <w:tabs>
          <w:tab w:leader="none" w:pos="840" w:val="left"/>
        </w:tabs>
        <w:numPr>
          <w:ilvl w:val="0"/>
          <w:numId w:val="32"/>
        </w:numPr>
        <w:rPr>
          <w:rFonts w:ascii="Arial" w:cs="Arial" w:eastAsia="Arial" w:hAnsi="Arial"/>
          <w:sz w:val="17"/>
          <w:szCs w:val="17"/>
          <w:color w:val="auto"/>
        </w:rPr>
      </w:pPr>
      <w:r>
        <w:rPr>
          <w:rFonts w:ascii="Arial" w:cs="Arial" w:eastAsia="Arial" w:hAnsi="Arial"/>
          <w:sz w:val="16"/>
          <w:szCs w:val="16"/>
          <w:color w:val="auto"/>
        </w:rPr>
        <w:t>delays in securing clinical investigators or trial sites for our clinical trials;</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32"/>
        </w:numPr>
        <w:rPr>
          <w:rFonts w:ascii="Arial" w:cs="Arial" w:eastAsia="Arial" w:hAnsi="Arial"/>
          <w:sz w:val="17"/>
          <w:szCs w:val="17"/>
          <w:color w:val="auto"/>
        </w:rPr>
      </w:pPr>
      <w:r>
        <w:rPr>
          <w:rFonts w:ascii="Arial" w:cs="Arial" w:eastAsia="Arial" w:hAnsi="Arial"/>
          <w:sz w:val="16"/>
          <w:szCs w:val="16"/>
          <w:color w:val="auto"/>
        </w:rPr>
        <w:t>delays in obtaining IRB and other regulatory approvals to commence a clinical trial;</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32"/>
        </w:numPr>
        <w:rPr>
          <w:rFonts w:ascii="Arial" w:cs="Arial" w:eastAsia="Arial" w:hAnsi="Arial"/>
          <w:sz w:val="15"/>
          <w:szCs w:val="15"/>
          <w:color w:val="auto"/>
        </w:rPr>
      </w:pPr>
      <w:r>
        <w:rPr>
          <w:rFonts w:ascii="Arial" w:cs="Arial" w:eastAsia="Arial" w:hAnsi="Arial"/>
          <w:sz w:val="14"/>
          <w:szCs w:val="14"/>
          <w:color w:val="auto"/>
        </w:rPr>
        <w:t>slower than anticipated rates of patient recruitment and enrollment, or failing to reach the targeted number of patients due to competition for patients from other trials;</w:t>
      </w:r>
    </w:p>
    <w:p>
      <w:pPr>
        <w:spacing w:after="0" w:line="241" w:lineRule="exact"/>
        <w:rPr>
          <w:rFonts w:ascii="Arial" w:cs="Arial" w:eastAsia="Arial" w:hAnsi="Arial"/>
          <w:sz w:val="15"/>
          <w:szCs w:val="15"/>
          <w:color w:val="auto"/>
        </w:rPr>
      </w:pPr>
    </w:p>
    <w:p>
      <w:pPr>
        <w:ind w:left="840" w:right="120" w:hanging="278"/>
        <w:spacing w:after="0" w:line="252" w:lineRule="auto"/>
        <w:tabs>
          <w:tab w:leader="none" w:pos="840" w:val="left"/>
        </w:tabs>
        <w:numPr>
          <w:ilvl w:val="0"/>
          <w:numId w:val="32"/>
        </w:numPr>
        <w:rPr>
          <w:rFonts w:ascii="Arial" w:cs="Arial" w:eastAsia="Arial" w:hAnsi="Arial"/>
          <w:sz w:val="17"/>
          <w:szCs w:val="17"/>
          <w:color w:val="auto"/>
        </w:rPr>
      </w:pPr>
      <w:r>
        <w:rPr>
          <w:rFonts w:ascii="Arial" w:cs="Arial" w:eastAsia="Arial" w:hAnsi="Arial"/>
          <w:sz w:val="16"/>
          <w:szCs w:val="16"/>
          <w:color w:val="auto"/>
        </w:rPr>
        <w:t>limited or no availability of coverage, reimbursement and adequate payment from health maintenance organizations and other third party payors for the use of agents used in our clinical trials;</w:t>
      </w:r>
    </w:p>
    <w:p>
      <w:pPr>
        <w:spacing w:after="0" w:line="192" w:lineRule="exact"/>
        <w:rPr>
          <w:rFonts w:ascii="Arial" w:cs="Arial" w:eastAsia="Arial" w:hAnsi="Arial"/>
          <w:sz w:val="17"/>
          <w:szCs w:val="17"/>
          <w:color w:val="auto"/>
        </w:rPr>
      </w:pPr>
    </w:p>
    <w:p>
      <w:pPr>
        <w:ind w:left="840" w:hanging="278"/>
        <w:spacing w:after="0"/>
        <w:tabs>
          <w:tab w:leader="none" w:pos="840" w:val="left"/>
        </w:tabs>
        <w:numPr>
          <w:ilvl w:val="0"/>
          <w:numId w:val="32"/>
        </w:numPr>
        <w:rPr>
          <w:rFonts w:ascii="Arial" w:cs="Arial" w:eastAsia="Arial" w:hAnsi="Arial"/>
          <w:sz w:val="17"/>
          <w:szCs w:val="17"/>
          <w:color w:val="auto"/>
        </w:rPr>
      </w:pPr>
      <w:r>
        <w:rPr>
          <w:rFonts w:ascii="Arial" w:cs="Arial" w:eastAsia="Arial" w:hAnsi="Arial"/>
          <w:sz w:val="16"/>
          <w:szCs w:val="16"/>
          <w:color w:val="auto"/>
        </w:rPr>
        <w:t>negative or inconclusive results from clinical trials;</w:t>
      </w:r>
    </w:p>
    <w:p>
      <w:pPr>
        <w:spacing w:after="0" w:line="218" w:lineRule="exact"/>
        <w:rPr>
          <w:rFonts w:ascii="Arial" w:cs="Arial" w:eastAsia="Arial" w:hAnsi="Arial"/>
          <w:sz w:val="17"/>
          <w:szCs w:val="17"/>
          <w:color w:val="auto"/>
        </w:rPr>
      </w:pPr>
    </w:p>
    <w:p>
      <w:pPr>
        <w:ind w:left="840" w:right="440" w:hanging="278"/>
        <w:spacing w:after="0" w:line="253" w:lineRule="auto"/>
        <w:tabs>
          <w:tab w:leader="none" w:pos="840" w:val="left"/>
        </w:tabs>
        <w:numPr>
          <w:ilvl w:val="0"/>
          <w:numId w:val="32"/>
        </w:numPr>
        <w:rPr>
          <w:rFonts w:ascii="Arial" w:cs="Arial" w:eastAsia="Arial" w:hAnsi="Arial"/>
          <w:sz w:val="17"/>
          <w:szCs w:val="17"/>
          <w:color w:val="auto"/>
        </w:rPr>
      </w:pPr>
      <w:r>
        <w:rPr>
          <w:rFonts w:ascii="Arial" w:cs="Arial" w:eastAsia="Arial" w:hAnsi="Arial"/>
          <w:sz w:val="16"/>
          <w:szCs w:val="16"/>
          <w:color w:val="auto"/>
        </w:rPr>
        <w:t>unforeseen side effects interrupting, delaying or halting clinical trials of our product candidates and possibly resulting in the FDA or other regulatory authorities denying approval of our product candidates;</w:t>
      </w:r>
    </w:p>
    <w:p>
      <w:pPr>
        <w:spacing w:after="0" w:line="190" w:lineRule="exact"/>
        <w:rPr>
          <w:rFonts w:ascii="Arial" w:cs="Arial" w:eastAsia="Arial" w:hAnsi="Arial"/>
          <w:sz w:val="17"/>
          <w:szCs w:val="17"/>
          <w:color w:val="auto"/>
        </w:rPr>
      </w:pPr>
    </w:p>
    <w:p>
      <w:pPr>
        <w:ind w:left="840" w:hanging="278"/>
        <w:spacing w:after="0"/>
        <w:tabs>
          <w:tab w:leader="none" w:pos="840" w:val="left"/>
        </w:tabs>
        <w:numPr>
          <w:ilvl w:val="0"/>
          <w:numId w:val="32"/>
        </w:numPr>
        <w:rPr>
          <w:rFonts w:ascii="Arial" w:cs="Arial" w:eastAsia="Arial" w:hAnsi="Arial"/>
          <w:sz w:val="17"/>
          <w:szCs w:val="17"/>
          <w:color w:val="auto"/>
        </w:rPr>
      </w:pPr>
      <w:r>
        <w:rPr>
          <w:rFonts w:ascii="Arial" w:cs="Arial" w:eastAsia="Arial" w:hAnsi="Arial"/>
          <w:sz w:val="16"/>
          <w:szCs w:val="16"/>
          <w:color w:val="auto"/>
        </w:rPr>
        <w:t>unforeseen safety issues;</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32"/>
        </w:numPr>
        <w:rPr>
          <w:rFonts w:ascii="Arial" w:cs="Arial" w:eastAsia="Arial" w:hAnsi="Arial"/>
          <w:sz w:val="17"/>
          <w:szCs w:val="17"/>
          <w:color w:val="auto"/>
        </w:rPr>
      </w:pPr>
      <w:r>
        <w:rPr>
          <w:rFonts w:ascii="Arial" w:cs="Arial" w:eastAsia="Arial" w:hAnsi="Arial"/>
          <w:sz w:val="16"/>
          <w:szCs w:val="16"/>
          <w:color w:val="auto"/>
        </w:rPr>
        <w:t>uncertain dosing issues;</w:t>
      </w:r>
    </w:p>
    <w:p>
      <w:pPr>
        <w:spacing w:after="0" w:line="218" w:lineRule="exact"/>
        <w:rPr>
          <w:rFonts w:ascii="Arial" w:cs="Arial" w:eastAsia="Arial" w:hAnsi="Arial"/>
          <w:sz w:val="17"/>
          <w:szCs w:val="17"/>
          <w:color w:val="auto"/>
        </w:rPr>
      </w:pPr>
    </w:p>
    <w:p>
      <w:pPr>
        <w:ind w:left="840" w:right="300" w:hanging="278"/>
        <w:spacing w:after="0" w:line="253" w:lineRule="auto"/>
        <w:tabs>
          <w:tab w:leader="none" w:pos="840" w:val="left"/>
        </w:tabs>
        <w:numPr>
          <w:ilvl w:val="0"/>
          <w:numId w:val="32"/>
        </w:numPr>
        <w:rPr>
          <w:rFonts w:ascii="Arial" w:cs="Arial" w:eastAsia="Arial" w:hAnsi="Arial"/>
          <w:sz w:val="17"/>
          <w:szCs w:val="17"/>
          <w:color w:val="auto"/>
        </w:rPr>
      </w:pPr>
      <w:r>
        <w:rPr>
          <w:rFonts w:ascii="Arial" w:cs="Arial" w:eastAsia="Arial" w:hAnsi="Arial"/>
          <w:sz w:val="16"/>
          <w:szCs w:val="16"/>
          <w:color w:val="auto"/>
        </w:rPr>
        <w:t>approval and introduction of new therapies or changes in standards of practice or regulatory guidance that render our clinical trial endpoints or the targeting of our proposed indications obsolete;</w:t>
      </w:r>
    </w:p>
    <w:p>
      <w:pPr>
        <w:spacing w:after="0" w:line="190" w:lineRule="exact"/>
        <w:rPr>
          <w:rFonts w:ascii="Arial" w:cs="Arial" w:eastAsia="Arial" w:hAnsi="Arial"/>
          <w:sz w:val="17"/>
          <w:szCs w:val="17"/>
          <w:color w:val="auto"/>
        </w:rPr>
      </w:pPr>
    </w:p>
    <w:p>
      <w:pPr>
        <w:ind w:left="840" w:hanging="278"/>
        <w:spacing w:after="0"/>
        <w:tabs>
          <w:tab w:leader="none" w:pos="840" w:val="left"/>
        </w:tabs>
        <w:numPr>
          <w:ilvl w:val="0"/>
          <w:numId w:val="32"/>
        </w:numPr>
        <w:rPr>
          <w:rFonts w:ascii="Arial" w:cs="Arial" w:eastAsia="Arial" w:hAnsi="Arial"/>
          <w:sz w:val="17"/>
          <w:szCs w:val="17"/>
          <w:color w:val="auto"/>
        </w:rPr>
      </w:pPr>
      <w:r>
        <w:rPr>
          <w:rFonts w:ascii="Arial" w:cs="Arial" w:eastAsia="Arial" w:hAnsi="Arial"/>
          <w:sz w:val="16"/>
          <w:szCs w:val="16"/>
          <w:color w:val="auto"/>
        </w:rPr>
        <w:t>inability to monitor patients adequately during or after treatment or problems with investigator or patient compliance with the trial protocols;</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32"/>
        </w:numPr>
        <w:rPr>
          <w:rFonts w:ascii="Arial" w:cs="Arial" w:eastAsia="Arial" w:hAnsi="Arial"/>
          <w:sz w:val="17"/>
          <w:szCs w:val="17"/>
          <w:color w:val="auto"/>
        </w:rPr>
      </w:pPr>
      <w:r>
        <w:rPr>
          <w:rFonts w:ascii="Arial" w:cs="Arial" w:eastAsia="Arial" w:hAnsi="Arial"/>
          <w:sz w:val="16"/>
          <w:szCs w:val="16"/>
          <w:color w:val="auto"/>
        </w:rPr>
        <w:t>inability to replicate in large controlled studies safety and efficacy data obtained from a limited number of patients in uncontrolled trials;</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32"/>
        </w:numPr>
        <w:rPr>
          <w:rFonts w:ascii="Arial" w:cs="Arial" w:eastAsia="Arial" w:hAnsi="Arial"/>
          <w:sz w:val="17"/>
          <w:szCs w:val="17"/>
          <w:color w:val="auto"/>
        </w:rPr>
      </w:pPr>
      <w:r>
        <w:rPr>
          <w:rFonts w:ascii="Arial" w:cs="Arial" w:eastAsia="Arial" w:hAnsi="Arial"/>
          <w:sz w:val="16"/>
          <w:szCs w:val="16"/>
          <w:color w:val="auto"/>
        </w:rPr>
        <w:t>inability or unwillingness of medical investigators to follow our clinical protocols; and</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32"/>
        </w:numPr>
        <w:rPr>
          <w:rFonts w:ascii="Arial" w:cs="Arial" w:eastAsia="Arial" w:hAnsi="Arial"/>
          <w:sz w:val="17"/>
          <w:szCs w:val="17"/>
          <w:color w:val="auto"/>
        </w:rPr>
      </w:pPr>
      <w:r>
        <w:rPr>
          <w:rFonts w:ascii="Arial" w:cs="Arial" w:eastAsia="Arial" w:hAnsi="Arial"/>
          <w:sz w:val="16"/>
          <w:szCs w:val="16"/>
          <w:color w:val="auto"/>
        </w:rPr>
        <w:t>unavailability of clinical trial supplies.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66" w:name="page67"/>
    <w:bookmarkEnd w:id="6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ind w:right="640"/>
        <w:spacing w:after="0" w:line="273" w:lineRule="auto"/>
        <w:rPr>
          <w:sz w:val="20"/>
          <w:szCs w:val="20"/>
          <w:color w:val="auto"/>
        </w:rPr>
      </w:pPr>
      <w:r>
        <w:rPr>
          <w:rFonts w:ascii="Arial" w:cs="Arial" w:eastAsia="Arial" w:hAnsi="Arial"/>
          <w:sz w:val="16"/>
          <w:szCs w:val="16"/>
          <w:b w:val="1"/>
          <w:bCs w:val="1"/>
          <w:color w:val="auto"/>
        </w:rPr>
        <w:t>Government-imposed bans or restrictions and religious, moral, and ethical concerns about the use of hES cells could prevent us from developing and successfully marketing stem cell products</w:t>
      </w:r>
    </w:p>
    <w:p>
      <w:pPr>
        <w:spacing w:after="0" w:line="176" w:lineRule="exact"/>
        <w:rPr>
          <w:sz w:val="20"/>
          <w:szCs w:val="20"/>
          <w:color w:val="auto"/>
        </w:rPr>
      </w:pPr>
    </w:p>
    <w:p>
      <w:pPr>
        <w:ind w:firstLine="567"/>
        <w:spacing w:after="0" w:line="269" w:lineRule="auto"/>
        <w:rPr>
          <w:sz w:val="20"/>
          <w:szCs w:val="20"/>
          <w:color w:val="auto"/>
        </w:rPr>
      </w:pPr>
      <w:r>
        <w:rPr>
          <w:rFonts w:ascii="Arial" w:cs="Arial" w:eastAsia="Arial" w:hAnsi="Arial"/>
          <w:sz w:val="15"/>
          <w:szCs w:val="15"/>
          <w:color w:val="auto"/>
        </w:rPr>
        <w:t>Government-imposed bans or restrictions on the use of embryos or hES cells in research and development in the United States and abroad could generally constrain stem cell research, thereby limiting the market and demand for our products. During March 2009, President Obama lifted certain restrictions on federal funding of research involving the use of hES cells, and in accordance with President Obama’s Executive Order, the NIH has adopted new guidelines for determining the eligibility of hES cell lines for use in federally funded research. The central focus of the proposed guidelines is to assure that hES cells used in federally funded research were derived from human embryos that were created for reproductive purposes, were no longer needed for this purpose, and were voluntarily donated for research purposes with the informed written consent of the donors. The hES cells that were derived from embryos created for research purposes rather than reproductive purposes, and other hES cells that were not derived in compliance with the guidelines, are not eligible for use in federally funded research.</w:t>
      </w:r>
    </w:p>
    <w:p>
      <w:pPr>
        <w:spacing w:after="0" w:line="183" w:lineRule="exact"/>
        <w:rPr>
          <w:sz w:val="20"/>
          <w:szCs w:val="20"/>
          <w:color w:val="auto"/>
        </w:rPr>
      </w:pPr>
    </w:p>
    <w:p>
      <w:pPr>
        <w:jc w:val="both"/>
        <w:ind w:right="120" w:firstLine="567"/>
        <w:spacing w:after="0" w:line="257" w:lineRule="auto"/>
        <w:rPr>
          <w:sz w:val="20"/>
          <w:szCs w:val="20"/>
          <w:color w:val="auto"/>
        </w:rPr>
      </w:pPr>
      <w:r>
        <w:rPr>
          <w:rFonts w:ascii="Arial" w:cs="Arial" w:eastAsia="Arial" w:hAnsi="Arial"/>
          <w:sz w:val="16"/>
          <w:szCs w:val="16"/>
          <w:color w:val="auto"/>
        </w:rPr>
        <w:t>California law requires that stem cell research be conducted under the oversight of a stem cell research oversight committee (“SCRO”). Many kinds of stem cell research, including the derivation of new hES cell lines, may only be conducted in California with the prior written approval of the SCRO. A SCRO could prohibit or impose restrictions on the research that we plan to do.</w:t>
      </w:r>
    </w:p>
    <w:p>
      <w:pPr>
        <w:spacing w:after="0" w:line="189" w:lineRule="exact"/>
        <w:rPr>
          <w:sz w:val="20"/>
          <w:szCs w:val="20"/>
          <w:color w:val="auto"/>
        </w:rPr>
      </w:pPr>
    </w:p>
    <w:p>
      <w:pPr>
        <w:ind w:right="240" w:firstLine="567"/>
        <w:spacing w:after="0" w:line="257" w:lineRule="auto"/>
        <w:rPr>
          <w:sz w:val="20"/>
          <w:szCs w:val="20"/>
          <w:color w:val="auto"/>
        </w:rPr>
      </w:pPr>
      <w:r>
        <w:rPr>
          <w:rFonts w:ascii="Arial" w:cs="Arial" w:eastAsia="Arial" w:hAnsi="Arial"/>
          <w:sz w:val="16"/>
          <w:szCs w:val="16"/>
          <w:color w:val="auto"/>
        </w:rPr>
        <w:t>The use of hES cells gives rise to religious, moral, and ethical issues regarding the appropriate means of obtaining the cells and the appropriate use and disposal of the cells. These considerations could lead to more restrictive government regulations or could generally constrain stem cell research, thereby limiting the market and demand for our products.</w:t>
      </w:r>
    </w:p>
    <w:p>
      <w:pPr>
        <w:spacing w:after="0" w:line="185"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b w:val="1"/>
          <w:bCs w:val="1"/>
          <w:color w:val="auto"/>
        </w:rPr>
        <w:t>If we are unable to obtain and enforce patents and to protect our trade secrets, others could use our technology to compete with us, which could limit opportunities for us to generate revenues by licensing our technology and selling products</w:t>
      </w:r>
    </w:p>
    <w:p>
      <w:pPr>
        <w:spacing w:after="0" w:line="176" w:lineRule="exact"/>
        <w:rPr>
          <w:sz w:val="20"/>
          <w:szCs w:val="20"/>
          <w:color w:val="auto"/>
        </w:rPr>
      </w:pPr>
    </w:p>
    <w:p>
      <w:pPr>
        <w:ind w:left="840" w:right="120" w:hanging="278"/>
        <w:spacing w:after="0" w:line="249" w:lineRule="auto"/>
        <w:tabs>
          <w:tab w:leader="none" w:pos="840" w:val="left"/>
        </w:tabs>
        <w:numPr>
          <w:ilvl w:val="0"/>
          <w:numId w:val="33"/>
        </w:numPr>
        <w:rPr>
          <w:rFonts w:ascii="Arial" w:cs="Arial" w:eastAsia="Arial" w:hAnsi="Arial"/>
          <w:sz w:val="17"/>
          <w:szCs w:val="17"/>
          <w:color w:val="auto"/>
        </w:rPr>
      </w:pPr>
      <w:r>
        <w:rPr>
          <w:rFonts w:ascii="Arial" w:cs="Arial" w:eastAsia="Arial" w:hAnsi="Arial"/>
          <w:sz w:val="16"/>
          <w:szCs w:val="16"/>
          <w:color w:val="auto"/>
        </w:rPr>
        <w:t>Our success will depend in part on our ability to obtain and enforce patents and maintain trade secrets in the United States and in other countries. If we are unsuccessful at obtaining and enforcing patents, our competitors could use our technology and create products that compete with our products, without paying license fees or royalties to us.</w:t>
      </w:r>
    </w:p>
    <w:p>
      <w:pPr>
        <w:spacing w:after="0" w:line="195" w:lineRule="exact"/>
        <w:rPr>
          <w:rFonts w:ascii="Arial" w:cs="Arial" w:eastAsia="Arial" w:hAnsi="Arial"/>
          <w:sz w:val="17"/>
          <w:szCs w:val="17"/>
          <w:color w:val="auto"/>
        </w:rPr>
      </w:pPr>
    </w:p>
    <w:p>
      <w:pPr>
        <w:ind w:left="840" w:right="200" w:hanging="278"/>
        <w:spacing w:after="0" w:line="253" w:lineRule="auto"/>
        <w:tabs>
          <w:tab w:leader="none" w:pos="840" w:val="left"/>
        </w:tabs>
        <w:numPr>
          <w:ilvl w:val="0"/>
          <w:numId w:val="33"/>
        </w:numPr>
        <w:rPr>
          <w:rFonts w:ascii="Arial" w:cs="Arial" w:eastAsia="Arial" w:hAnsi="Arial"/>
          <w:sz w:val="17"/>
          <w:szCs w:val="17"/>
          <w:color w:val="auto"/>
        </w:rPr>
      </w:pPr>
      <w:r>
        <w:rPr>
          <w:rFonts w:ascii="Arial" w:cs="Arial" w:eastAsia="Arial" w:hAnsi="Arial"/>
          <w:sz w:val="16"/>
          <w:szCs w:val="16"/>
          <w:color w:val="auto"/>
        </w:rPr>
        <w:t>The preparation, filing, and prosecution of patent applications can be costly and time consuming. Our limited financial resources may not permit us to pursue patent protection of all of our technology and products throughout the world.</w:t>
      </w:r>
    </w:p>
    <w:p>
      <w:pPr>
        <w:spacing w:after="0" w:line="190" w:lineRule="exact"/>
        <w:rPr>
          <w:rFonts w:ascii="Arial" w:cs="Arial" w:eastAsia="Arial" w:hAnsi="Arial"/>
          <w:sz w:val="17"/>
          <w:szCs w:val="17"/>
          <w:color w:val="auto"/>
        </w:rPr>
      </w:pPr>
    </w:p>
    <w:p>
      <w:pPr>
        <w:jc w:val="both"/>
        <w:ind w:left="840" w:right="140" w:hanging="278"/>
        <w:spacing w:after="0" w:line="249" w:lineRule="auto"/>
        <w:tabs>
          <w:tab w:leader="none" w:pos="840" w:val="left"/>
        </w:tabs>
        <w:numPr>
          <w:ilvl w:val="0"/>
          <w:numId w:val="33"/>
        </w:numPr>
        <w:rPr>
          <w:rFonts w:ascii="Arial" w:cs="Arial" w:eastAsia="Arial" w:hAnsi="Arial"/>
          <w:sz w:val="17"/>
          <w:szCs w:val="17"/>
          <w:color w:val="auto"/>
        </w:rPr>
      </w:pPr>
      <w:r>
        <w:rPr>
          <w:rFonts w:ascii="Arial" w:cs="Arial" w:eastAsia="Arial" w:hAnsi="Arial"/>
          <w:sz w:val="16"/>
          <w:szCs w:val="16"/>
          <w:color w:val="auto"/>
        </w:rPr>
        <w:t>Even if we are able to obtain issued patents covering our technology or products, we may have to incur substantial legal fees and other expenses to enforce our patent rights in order to protect our technology and products from infringing uses. We may not have the financial resources to finance the litigation required to preserve our patent and trade secret rights.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is no certainty that our pending or future patent applications will result in the issuance of patents</w:t>
      </w:r>
    </w:p>
    <w:p>
      <w:pPr>
        <w:spacing w:after="0" w:line="222" w:lineRule="exact"/>
        <w:rPr>
          <w:sz w:val="20"/>
          <w:szCs w:val="20"/>
          <w:color w:val="auto"/>
        </w:rPr>
      </w:pPr>
    </w:p>
    <w:p>
      <w:pPr>
        <w:ind w:right="20" w:firstLine="567"/>
        <w:spacing w:after="0" w:line="272" w:lineRule="auto"/>
        <w:rPr>
          <w:sz w:val="20"/>
          <w:szCs w:val="20"/>
          <w:color w:val="auto"/>
        </w:rPr>
      </w:pPr>
      <w:r>
        <w:rPr>
          <w:rFonts w:ascii="Arial" w:cs="Arial" w:eastAsia="Arial" w:hAnsi="Arial"/>
          <w:sz w:val="15"/>
          <w:szCs w:val="15"/>
          <w:color w:val="auto"/>
        </w:rPr>
        <w:t>We have filed patent applications for technology that we have developed, and we have obtained licenses for a number of patent applications covering technology developed by others, that we believe will be useful in producing new products, and which we believe may be of commercial interest to other companies that may be willing to sublicense the technology for fees or royalty payments. In the future, we may also file additional new patent applications seeking patent protection for new technology or products that we develop ourselves or jointly with others. However, there is no assurance that any of our licensed patent applications, or any patent applications that we have filed or that we may file in the future covering our own technology, either in the United States or abroad, will result in the issuance of patents.</w:t>
      </w:r>
    </w:p>
    <w:p>
      <w:pPr>
        <w:spacing w:after="0" w:line="181" w:lineRule="exact"/>
        <w:rPr>
          <w:sz w:val="20"/>
          <w:szCs w:val="20"/>
          <w:color w:val="auto"/>
        </w:rPr>
      </w:pPr>
    </w:p>
    <w:p>
      <w:pPr>
        <w:ind w:right="280" w:firstLine="567"/>
        <w:spacing w:after="0" w:line="253" w:lineRule="auto"/>
        <w:rPr>
          <w:sz w:val="20"/>
          <w:szCs w:val="20"/>
          <w:color w:val="auto"/>
        </w:rPr>
      </w:pPr>
      <w:r>
        <w:rPr>
          <w:rFonts w:ascii="Arial" w:cs="Arial" w:eastAsia="Arial" w:hAnsi="Arial"/>
          <w:sz w:val="16"/>
          <w:szCs w:val="16"/>
          <w:color w:val="auto"/>
        </w:rPr>
        <w:t>In Europe, the European Patent Convention prohibits the granting of European patents for inventions that concern “uses of human embryos for industrial or commercial purposes.” The European Patent Office is presently interpreting this prohibition broadly, and is applying it to reject patent claims that pertain to human embryonic stem cells. However, this broad interpretation is being challenged through the European Patent Office appeals system. As a result, we do not yet know whether or to what extent we will be able to obtain patent protection for our human embryonic stem cell technologies in Europe.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7" w:name="page68"/>
    <w:bookmarkEnd w:id="6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80" w:firstLine="567"/>
        <w:spacing w:after="0" w:line="217" w:lineRule="auto"/>
        <w:rPr>
          <w:sz w:val="20"/>
          <w:szCs w:val="20"/>
          <w:color w:val="auto"/>
        </w:rPr>
      </w:pPr>
      <w:r>
        <w:rPr>
          <w:rFonts w:ascii="Arial" w:cs="Arial" w:eastAsia="Arial" w:hAnsi="Arial"/>
          <w:sz w:val="15"/>
          <w:szCs w:val="15"/>
          <w:color w:val="auto"/>
        </w:rPr>
        <w:t xml:space="preserve">The recent Supreme Court decision in </w:t>
      </w:r>
      <w:r>
        <w:rPr>
          <w:rFonts w:ascii="Arial" w:cs="Arial" w:eastAsia="Arial" w:hAnsi="Arial"/>
          <w:sz w:val="15"/>
          <w:szCs w:val="15"/>
          <w:i w:val="1"/>
          <w:iCs w:val="1"/>
          <w:color w:val="auto"/>
        </w:rPr>
        <w:t>Mayo Collaborative Services v. Prometheus Laboratories, Inc.</w:t>
      </w:r>
      <w:r>
        <w:rPr>
          <w:rFonts w:ascii="Arial" w:cs="Arial" w:eastAsia="Arial" w:hAnsi="Arial"/>
          <w:sz w:val="15"/>
          <w:szCs w:val="15"/>
          <w:color w:val="auto"/>
        </w:rPr>
        <w:t xml:space="preserve">, will need to be considered in determining whether certain diagnostic methods can be patented, since the Court denied patent protection for the use of a mathematical correlation of the presence of a well-known naturally occurring metabolite as a means of determining proper drug dosage. Our subsidiary OncoCyte Corporation is developing </w:t>
      </w:r>
      <w:r>
        <w:rPr>
          <w:rFonts w:ascii="Arial" w:cs="Arial" w:eastAsia="Arial" w:hAnsi="Arial"/>
          <w:sz w:val="15"/>
          <w:szCs w:val="15"/>
          <w:i w:val="1"/>
          <w:iCs w:val="1"/>
          <w:color w:val="auto"/>
        </w:rPr>
        <w:t>PanC-Dx</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as a cancer diagnostic test, based on the presence of certain genetic markers for a variety of cancers. Because </w:t>
      </w:r>
      <w:r>
        <w:rPr>
          <w:rFonts w:ascii="Arial" w:cs="Arial" w:eastAsia="Arial" w:hAnsi="Arial"/>
          <w:sz w:val="15"/>
          <w:szCs w:val="15"/>
          <w:i w:val="1"/>
          <w:iCs w:val="1"/>
          <w:color w:val="auto"/>
        </w:rPr>
        <w:t>PanC-Dx</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combines an innovative methodology with newly discovered compositions of matter, we are hopeful that this Supreme Court decision will not preclude the availability of patent protection for OncoCyte’s new product. However, like other developers of diagnostic products, we are evaluating this new Supreme Court decision and new guidelines issued by the USPTO for the patenting of products that test for biological substances</w:t>
      </w:r>
      <w:r>
        <w:rPr>
          <w:rFonts w:ascii="Arial" w:cs="Arial" w:eastAsia="Arial" w:hAnsi="Arial"/>
          <w:sz w:val="15"/>
          <w:szCs w:val="15"/>
          <w:b w:val="1"/>
          <w:bCs w:val="1"/>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process of applying for and obtaining patents can be expensive and slow</w:t>
      </w:r>
    </w:p>
    <w:p>
      <w:pPr>
        <w:spacing w:after="0" w:line="222" w:lineRule="exact"/>
        <w:rPr>
          <w:sz w:val="20"/>
          <w:szCs w:val="20"/>
          <w:color w:val="auto"/>
        </w:rPr>
      </w:pPr>
    </w:p>
    <w:p>
      <w:pPr>
        <w:ind w:left="840" w:hanging="278"/>
        <w:spacing w:after="0"/>
        <w:tabs>
          <w:tab w:leader="none" w:pos="840" w:val="left"/>
        </w:tabs>
        <w:numPr>
          <w:ilvl w:val="0"/>
          <w:numId w:val="34"/>
        </w:numPr>
        <w:rPr>
          <w:rFonts w:ascii="Arial" w:cs="Arial" w:eastAsia="Arial" w:hAnsi="Arial"/>
          <w:sz w:val="17"/>
          <w:szCs w:val="17"/>
          <w:color w:val="auto"/>
        </w:rPr>
      </w:pPr>
      <w:r>
        <w:rPr>
          <w:rFonts w:ascii="Arial" w:cs="Arial" w:eastAsia="Arial" w:hAnsi="Arial"/>
          <w:sz w:val="16"/>
          <w:szCs w:val="16"/>
          <w:color w:val="auto"/>
        </w:rPr>
        <w:t>The preparation and filing of patent applications, and the maintenance of patents that are issued, may require substantial time and money.</w:t>
      </w:r>
    </w:p>
    <w:p>
      <w:pPr>
        <w:spacing w:after="0" w:line="218" w:lineRule="exact"/>
        <w:rPr>
          <w:rFonts w:ascii="Arial" w:cs="Arial" w:eastAsia="Arial" w:hAnsi="Arial"/>
          <w:sz w:val="17"/>
          <w:szCs w:val="17"/>
          <w:color w:val="auto"/>
        </w:rPr>
      </w:pPr>
    </w:p>
    <w:p>
      <w:pPr>
        <w:ind w:left="840" w:right="180" w:hanging="278"/>
        <w:spacing w:after="0" w:line="247" w:lineRule="auto"/>
        <w:tabs>
          <w:tab w:leader="none" w:pos="840" w:val="left"/>
        </w:tabs>
        <w:numPr>
          <w:ilvl w:val="0"/>
          <w:numId w:val="34"/>
        </w:numPr>
        <w:rPr>
          <w:rFonts w:ascii="Arial" w:cs="Arial" w:eastAsia="Arial" w:hAnsi="Arial"/>
          <w:sz w:val="17"/>
          <w:szCs w:val="17"/>
          <w:color w:val="auto"/>
        </w:rPr>
      </w:pPr>
      <w:r>
        <w:rPr>
          <w:rFonts w:ascii="Arial" w:cs="Arial" w:eastAsia="Arial" w:hAnsi="Arial"/>
          <w:sz w:val="16"/>
          <w:szCs w:val="16"/>
          <w:color w:val="auto"/>
        </w:rPr>
        <w:t>A patent interference proceeding may be instituted with the USPTO for patents or applications filed before March 16, 2013 when more than one person files a patent application covering the same technology, or if someone wishes to challenge the validity of an issued patent. At the completion of the interference proceeding, the USPTO may determine which competing applicant is entitled to the patent, or whether an issued patent is valid. Patent interference proceedings are complex, highly contested legal proceedings, and the USPTO’s decision is subject to appeal. This means that if an interference proceeding arises with respect to any of our patent applications, we may experience significant expenses and delay in obtaining a patent, and if the outcome of the proceeding is unfavorable to us, the patent could be issued to a competitor rather than to us.</w:t>
      </w:r>
    </w:p>
    <w:p>
      <w:pPr>
        <w:spacing w:after="0" w:line="199" w:lineRule="exact"/>
        <w:rPr>
          <w:rFonts w:ascii="Arial" w:cs="Arial" w:eastAsia="Arial" w:hAnsi="Arial"/>
          <w:sz w:val="17"/>
          <w:szCs w:val="17"/>
          <w:color w:val="auto"/>
        </w:rPr>
      </w:pPr>
    </w:p>
    <w:p>
      <w:pPr>
        <w:ind w:left="840" w:right="500" w:hanging="278"/>
        <w:spacing w:after="0" w:line="253" w:lineRule="auto"/>
        <w:tabs>
          <w:tab w:leader="none" w:pos="840" w:val="left"/>
        </w:tabs>
        <w:numPr>
          <w:ilvl w:val="0"/>
          <w:numId w:val="34"/>
        </w:numPr>
        <w:rPr>
          <w:rFonts w:ascii="Arial" w:cs="Arial" w:eastAsia="Arial" w:hAnsi="Arial"/>
          <w:sz w:val="17"/>
          <w:szCs w:val="17"/>
          <w:color w:val="auto"/>
        </w:rPr>
      </w:pPr>
      <w:r>
        <w:rPr>
          <w:rFonts w:ascii="Arial" w:cs="Arial" w:eastAsia="Arial" w:hAnsi="Arial"/>
          <w:sz w:val="16"/>
          <w:szCs w:val="16"/>
          <w:color w:val="auto"/>
        </w:rPr>
        <w:t>After March 16, 2013 a derivation proceeding may be instituted by the USPTO or an inventor alleging that a patent or application was derived from the work of another inventor.</w:t>
      </w:r>
    </w:p>
    <w:p>
      <w:pPr>
        <w:spacing w:after="0" w:line="190" w:lineRule="exact"/>
        <w:rPr>
          <w:rFonts w:ascii="Arial" w:cs="Arial" w:eastAsia="Arial" w:hAnsi="Arial"/>
          <w:sz w:val="17"/>
          <w:szCs w:val="17"/>
          <w:color w:val="auto"/>
        </w:rPr>
      </w:pPr>
    </w:p>
    <w:p>
      <w:pPr>
        <w:ind w:left="840" w:hanging="278"/>
        <w:spacing w:after="0" w:line="249" w:lineRule="auto"/>
        <w:tabs>
          <w:tab w:leader="none" w:pos="840" w:val="left"/>
        </w:tabs>
        <w:numPr>
          <w:ilvl w:val="0"/>
          <w:numId w:val="34"/>
        </w:numPr>
        <w:rPr>
          <w:rFonts w:ascii="Arial" w:cs="Arial" w:eastAsia="Arial" w:hAnsi="Arial"/>
          <w:sz w:val="17"/>
          <w:szCs w:val="17"/>
          <w:color w:val="auto"/>
        </w:rPr>
      </w:pPr>
      <w:r>
        <w:rPr>
          <w:rFonts w:ascii="Arial" w:cs="Arial" w:eastAsia="Arial" w:hAnsi="Arial"/>
          <w:sz w:val="16"/>
          <w:szCs w:val="16"/>
          <w:color w:val="auto"/>
        </w:rPr>
        <w:t>Post Grant Review under the new America Invents Act will make available after March 16, 2013 opposition-like proceedings in the United States. As with the USPTO interference proceedings, Post Grant Review proceedings will be very expensive to contest and can result in significant delays in obtaining patent protection or can result in a denial of a patent application.</w:t>
      </w:r>
    </w:p>
    <w:p>
      <w:pPr>
        <w:spacing w:after="0" w:line="195" w:lineRule="exact"/>
        <w:rPr>
          <w:rFonts w:ascii="Arial" w:cs="Arial" w:eastAsia="Arial" w:hAnsi="Arial"/>
          <w:sz w:val="17"/>
          <w:szCs w:val="17"/>
          <w:color w:val="auto"/>
        </w:rPr>
      </w:pPr>
    </w:p>
    <w:p>
      <w:pPr>
        <w:ind w:left="840" w:right="260" w:hanging="278"/>
        <w:spacing w:after="0" w:line="249" w:lineRule="auto"/>
        <w:tabs>
          <w:tab w:leader="none" w:pos="840" w:val="left"/>
        </w:tabs>
        <w:numPr>
          <w:ilvl w:val="0"/>
          <w:numId w:val="34"/>
        </w:numPr>
        <w:rPr>
          <w:rFonts w:ascii="Arial" w:cs="Arial" w:eastAsia="Arial" w:hAnsi="Arial"/>
          <w:sz w:val="17"/>
          <w:szCs w:val="17"/>
          <w:color w:val="auto"/>
        </w:rPr>
      </w:pPr>
      <w:r>
        <w:rPr>
          <w:rFonts w:ascii="Arial" w:cs="Arial" w:eastAsia="Arial" w:hAnsi="Arial"/>
          <w:sz w:val="16"/>
          <w:szCs w:val="16"/>
          <w:color w:val="auto"/>
        </w:rPr>
        <w:t>Oppositions to the issuance of patents may be filed under European patent law and the patent laws of certain other countries. As with the USPTO interference proceedings, these foreign proceedings can be very expensive to contest and can result in significant delays in obtaining a patent or can result in a denial of a patent application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patents may not protect our products from competition</w:t>
      </w:r>
    </w:p>
    <w:p>
      <w:pPr>
        <w:spacing w:after="0" w:line="222" w:lineRule="exact"/>
        <w:rPr>
          <w:sz w:val="20"/>
          <w:szCs w:val="20"/>
          <w:color w:val="auto"/>
        </w:rPr>
      </w:pPr>
    </w:p>
    <w:p>
      <w:pPr>
        <w:ind w:right="100" w:firstLine="567"/>
        <w:spacing w:after="0" w:line="208" w:lineRule="auto"/>
        <w:rPr>
          <w:sz w:val="20"/>
          <w:szCs w:val="20"/>
          <w:color w:val="auto"/>
        </w:rPr>
      </w:pPr>
      <w:r>
        <w:rPr>
          <w:rFonts w:ascii="Arial" w:cs="Arial" w:eastAsia="Arial" w:hAnsi="Arial"/>
          <w:sz w:val="16"/>
          <w:szCs w:val="16"/>
          <w:color w:val="auto"/>
        </w:rPr>
        <w:t xml:space="preserve">We or our subsidiaries have patents in the United States, Canada, the European Union countries, the United Kingdom, Australia, Israel, Russia, South Africa, India, China, South Korea, Japan, Hong Kong, and Singapore, and have filed patent applications in other foreign countries for our plasma volume expander, stem cell products,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other hydrogels, certain genes related to the development of cancer, and other technologies.</w:t>
      </w:r>
    </w:p>
    <w:p>
      <w:pPr>
        <w:spacing w:after="0" w:line="202" w:lineRule="exact"/>
        <w:rPr>
          <w:sz w:val="20"/>
          <w:szCs w:val="20"/>
          <w:color w:val="auto"/>
        </w:rPr>
      </w:pPr>
    </w:p>
    <w:p>
      <w:pPr>
        <w:ind w:left="840" w:right="340" w:hanging="278"/>
        <w:spacing w:after="0" w:line="253" w:lineRule="auto"/>
        <w:tabs>
          <w:tab w:leader="none" w:pos="840" w:val="left"/>
        </w:tabs>
        <w:numPr>
          <w:ilvl w:val="0"/>
          <w:numId w:val="35"/>
        </w:numPr>
        <w:rPr>
          <w:rFonts w:ascii="Arial" w:cs="Arial" w:eastAsia="Arial" w:hAnsi="Arial"/>
          <w:sz w:val="17"/>
          <w:szCs w:val="17"/>
          <w:color w:val="auto"/>
        </w:rPr>
      </w:pPr>
      <w:r>
        <w:rPr>
          <w:rFonts w:ascii="Arial" w:cs="Arial" w:eastAsia="Arial" w:hAnsi="Arial"/>
          <w:sz w:val="16"/>
          <w:szCs w:val="16"/>
          <w:color w:val="auto"/>
        </w:rPr>
        <w:t>We might not be able to obtain any additional patents, and any patents that we do obtain might not be comprehensive enough to provide us with meaningful patent protection.</w:t>
      </w:r>
    </w:p>
    <w:p>
      <w:pPr>
        <w:spacing w:after="0" w:line="190" w:lineRule="exact"/>
        <w:rPr>
          <w:rFonts w:ascii="Arial" w:cs="Arial" w:eastAsia="Arial" w:hAnsi="Arial"/>
          <w:sz w:val="17"/>
          <w:szCs w:val="17"/>
          <w:color w:val="auto"/>
        </w:rPr>
      </w:pPr>
    </w:p>
    <w:p>
      <w:pPr>
        <w:ind w:left="840" w:hanging="278"/>
        <w:spacing w:after="0"/>
        <w:tabs>
          <w:tab w:leader="none" w:pos="840" w:val="left"/>
        </w:tabs>
        <w:numPr>
          <w:ilvl w:val="0"/>
          <w:numId w:val="35"/>
        </w:numPr>
        <w:rPr>
          <w:rFonts w:ascii="Arial" w:cs="Arial" w:eastAsia="Arial" w:hAnsi="Arial"/>
          <w:sz w:val="17"/>
          <w:szCs w:val="17"/>
          <w:color w:val="auto"/>
        </w:rPr>
      </w:pPr>
      <w:r>
        <w:rPr>
          <w:rFonts w:ascii="Arial" w:cs="Arial" w:eastAsia="Arial" w:hAnsi="Arial"/>
          <w:sz w:val="16"/>
          <w:szCs w:val="16"/>
          <w:color w:val="auto"/>
        </w:rPr>
        <w:t>There will always be a risk that our competitors might be able to successfully challenge the validity or enforceability of any patent issued to us.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8" w:name="page69"/>
    <w:bookmarkEnd w:id="6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jc w:val="both"/>
        <w:ind w:left="840" w:hanging="278"/>
        <w:spacing w:after="0" w:line="248" w:lineRule="auto"/>
        <w:tabs>
          <w:tab w:leader="none" w:pos="840" w:val="left"/>
        </w:tabs>
        <w:numPr>
          <w:ilvl w:val="0"/>
          <w:numId w:val="36"/>
        </w:numPr>
        <w:rPr>
          <w:rFonts w:ascii="Arial" w:cs="Arial" w:eastAsia="Arial" w:hAnsi="Arial"/>
          <w:sz w:val="17"/>
          <w:szCs w:val="17"/>
          <w:color w:val="auto"/>
        </w:rPr>
      </w:pPr>
      <w:r>
        <w:rPr>
          <w:rFonts w:ascii="Arial" w:cs="Arial" w:eastAsia="Arial" w:hAnsi="Arial"/>
          <w:sz w:val="16"/>
          <w:szCs w:val="16"/>
          <w:color w:val="auto"/>
        </w:rPr>
        <w:t>In addition to interference proceedings, the USPTO can re-examine issued patents at the request of a third party seeking to have the patent invalidated. This means that patents owned or licensed by us may be subject to re-examination and may be lost if the outcome of the re-examination is unfavorable to us. As of September 16, 2012 our patents may be subject to inter partes review (replacing the inter partes reexamination proceeding), a proceeding in which a third party can challenge the validity of one of our patents.</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auto"/>
        </w:rPr>
        <w:t>We may be subject to patent infringement claims that could be costly to defend, which may limit our ability to use disputed technologies, and which could prevent us from pursuing research and development or commercialization of some of our products, require us to pay licensing fees to have freedom to operate, and/or result in monetary damages or other liability for us</w:t>
      </w:r>
    </w:p>
    <w:p>
      <w:pPr>
        <w:spacing w:after="0" w:line="188" w:lineRule="exact"/>
        <w:rPr>
          <w:sz w:val="20"/>
          <w:szCs w:val="20"/>
          <w:color w:val="auto"/>
        </w:rPr>
      </w:pPr>
    </w:p>
    <w:p>
      <w:pPr>
        <w:ind w:right="80" w:firstLine="567"/>
        <w:spacing w:after="0" w:line="250" w:lineRule="auto"/>
        <w:rPr>
          <w:sz w:val="20"/>
          <w:szCs w:val="20"/>
          <w:color w:val="auto"/>
        </w:rPr>
      </w:pPr>
      <w:r>
        <w:rPr>
          <w:rFonts w:ascii="Arial" w:cs="Arial" w:eastAsia="Arial" w:hAnsi="Arial"/>
          <w:sz w:val="16"/>
          <w:szCs w:val="16"/>
          <w:color w:val="auto"/>
        </w:rPr>
        <w:t>The success of our business depends significantly on our ability to operate without infringing patents and other proprietary rights of others. If the technology that we use infringes a patent held by others, we could be sued for monetary damages by the patent holder or its licensee, or we could be prevented from continuing research, development, and commercialization of products that rely on that technology, unless we are able to obtain a license to use the patent. The cost and availability of a license to a patent cannot be predicted, and the likelihood of obtaining a license at an acceptable cost would be lower if the patent holder or any of its licensees is using the patent to develop or market a product with which our product would compete. If we could not obtain a necessary license, we would need to develop or obtain rights to alternative technologies, which could prove costly and could cause delays in product development, or we could be forced to discontinue the development or marketing of any products that were developed using the technology covered by the patent.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fail to meet our obligations under license agreements, we may lose our rights to key technologies on which our business depends</w:t>
      </w:r>
    </w:p>
    <w:p>
      <w:pPr>
        <w:spacing w:after="0" w:line="222" w:lineRule="exact"/>
        <w:rPr>
          <w:sz w:val="20"/>
          <w:szCs w:val="20"/>
          <w:color w:val="auto"/>
        </w:rPr>
      </w:pPr>
    </w:p>
    <w:p>
      <w:pPr>
        <w:ind w:firstLine="567"/>
        <w:spacing w:after="0" w:line="250" w:lineRule="auto"/>
        <w:rPr>
          <w:sz w:val="20"/>
          <w:szCs w:val="20"/>
          <w:color w:val="auto"/>
        </w:rPr>
      </w:pPr>
      <w:r>
        <w:rPr>
          <w:rFonts w:ascii="Arial" w:cs="Arial" w:eastAsia="Arial" w:hAnsi="Arial"/>
          <w:sz w:val="16"/>
          <w:szCs w:val="16"/>
          <w:color w:val="auto"/>
        </w:rPr>
        <w:t>Our business depends on several critical technologies that are based in part on technology licensed from third parties. Those third-party license agreements impose obligations on us, including payment obligations and obligations to pursue development of commercial products under the licensed patents or technology. If a licensor believes that we have failed to meet our obligations under a license agreement,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and our ability to raise any capital that we might then need, could be significantly and negatively affected. If our license rights were restricted or ultimately lost, we would not be able to continue to use the licensed technology in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price and sale of our products may be limited by health insurance coverage and government regulation</w:t>
      </w:r>
    </w:p>
    <w:p>
      <w:pPr>
        <w:spacing w:after="0" w:line="222" w:lineRule="exact"/>
        <w:rPr>
          <w:sz w:val="20"/>
          <w:szCs w:val="20"/>
          <w:color w:val="auto"/>
        </w:rPr>
      </w:pPr>
    </w:p>
    <w:p>
      <w:pPr>
        <w:ind w:right="120" w:firstLine="567"/>
        <w:spacing w:after="0" w:line="260" w:lineRule="auto"/>
        <w:rPr>
          <w:sz w:val="20"/>
          <w:szCs w:val="20"/>
          <w:color w:val="auto"/>
        </w:rPr>
      </w:pPr>
      <w:r>
        <w:rPr>
          <w:rFonts w:ascii="Arial" w:cs="Arial" w:eastAsia="Arial" w:hAnsi="Arial"/>
          <w:sz w:val="14"/>
          <w:szCs w:val="14"/>
          <w:color w:val="auto"/>
        </w:rPr>
        <w:t xml:space="preserve">Success in selling our pharmaceutical and cell-based products and medical devices may depend in part on the extent to which health insurance companies, HMOs, and government health administration authorities such as Medicare and Medicaid will pay for the cost of the products and related treatment. Presently, most health insurance plans and HMOs will pay for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when it is used in a surgical procedure that is covered by the plan. However, until we actually introduce a new product into the medical marketplace, we will not know with certainty whether adequate health insurance, HMO, and government coverage will be available to permit the product to be sold at a price high enough for us to generate a profit. In some foreign countries, pricing or profitability of health care products is subject to government control, which may result in low prices for our products. In the United States, there have been a number of federal and state proposals to implement similar government controls, and new proposals are likely to be made in the future.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218" w:lineRule="exact"/>
        <w:rPr>
          <w:sz w:val="20"/>
          <w:szCs w:val="20"/>
          <w:color w:val="auto"/>
        </w:rPr>
      </w:pPr>
    </w:p>
    <w:p>
      <w:pPr>
        <w:ind w:right="320"/>
        <w:spacing w:after="0" w:line="273" w:lineRule="auto"/>
        <w:rPr>
          <w:sz w:val="20"/>
          <w:szCs w:val="20"/>
          <w:color w:val="auto"/>
        </w:rPr>
      </w:pPr>
      <w:r>
        <w:rPr>
          <w:rFonts w:ascii="Arial" w:cs="Arial" w:eastAsia="Arial" w:hAnsi="Arial"/>
          <w:sz w:val="16"/>
          <w:szCs w:val="16"/>
          <w:b w:val="1"/>
          <w:bCs w:val="1"/>
          <w:color w:val="auto"/>
        </w:rPr>
        <w:t>If we fail to enter into and maintain successful strategic alliances for our therapeutic product candidates, we may have to reduce or delay our product development or increase our expenditures</w:t>
      </w:r>
    </w:p>
    <w:p>
      <w:pPr>
        <w:spacing w:after="0" w:line="176" w:lineRule="exact"/>
        <w:rPr>
          <w:sz w:val="20"/>
          <w:szCs w:val="20"/>
          <w:color w:val="auto"/>
        </w:rPr>
      </w:pPr>
    </w:p>
    <w:p>
      <w:pPr>
        <w:ind w:right="180" w:firstLine="567"/>
        <w:spacing w:after="0" w:line="272" w:lineRule="auto"/>
        <w:rPr>
          <w:sz w:val="20"/>
          <w:szCs w:val="20"/>
          <w:color w:val="auto"/>
        </w:rPr>
      </w:pPr>
      <w:r>
        <w:rPr>
          <w:rFonts w:ascii="Arial" w:cs="Arial" w:eastAsia="Arial" w:hAnsi="Arial"/>
          <w:sz w:val="15"/>
          <w:szCs w:val="15"/>
          <w:color w:val="auto"/>
        </w:rPr>
        <w:t>An important element of our strategy for developing, manufacturing and commercializing our therapeutic product candidates will be entering into strategic alliances with pharmaceutical companies or other industry participants to advance our programs and enable us to maintain our financial and operational capacity. We will face significant competition in seeking appropriate alliances. We may not be able to negotiate alliances on acceptable terms, if at all. If we fail to create and maintain suitable alliances, we may have to limit the size or scope of, or delay, one or more of our product development or research programs, or we will have to increase our expenditures and will need to obtain additional funding, which may be unavailable or available only on unfavorable terms.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9" w:name="page70"/>
    <w:bookmarkEnd w:id="6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firstLine="567"/>
        <w:spacing w:after="0" w:line="301" w:lineRule="auto"/>
        <w:rPr>
          <w:sz w:val="20"/>
          <w:szCs w:val="20"/>
          <w:color w:val="auto"/>
        </w:rPr>
      </w:pPr>
      <w:r>
        <w:rPr>
          <w:rFonts w:ascii="Arial" w:cs="Arial" w:eastAsia="Arial" w:hAnsi="Arial"/>
          <w:sz w:val="14"/>
          <w:szCs w:val="14"/>
          <w:color w:val="auto"/>
        </w:rPr>
        <w:t>If we are able to enter into product development and marketing arrangements with pharmaceutical companies, we may license product development, manufacturing, and marketing rights to the pharmaceutical company or to a joint venture company formed with the pharmaceutical company. Under such arrangements we might receive only a royalty on sales of the products developed or an equity interest in a joint venture company that develops the product. As a result, our revenues from the sale of those products may be substantially less than the amount of revenues and gross profits that we might receive if we were to develop, manufacture, and market the products ourselves.</w:t>
      </w:r>
    </w:p>
    <w:p>
      <w:pPr>
        <w:spacing w:after="0" w:line="157"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b w:val="1"/>
          <w:bCs w:val="1"/>
          <w:color w:val="auto"/>
        </w:rPr>
        <w:t>We may become dependent on possible future collaborations to develop and commercialize many of our product candidates and to provide the regulatory compliance, sales, marketing and distribution capabilities required for the success of our business</w:t>
      </w:r>
    </w:p>
    <w:p>
      <w:pPr>
        <w:spacing w:after="0" w:line="176" w:lineRule="exact"/>
        <w:rPr>
          <w:sz w:val="20"/>
          <w:szCs w:val="20"/>
          <w:color w:val="auto"/>
        </w:rPr>
      </w:pPr>
    </w:p>
    <w:p>
      <w:pPr>
        <w:ind w:right="100" w:firstLine="567"/>
        <w:spacing w:after="0" w:line="253" w:lineRule="auto"/>
        <w:rPr>
          <w:sz w:val="20"/>
          <w:szCs w:val="20"/>
          <w:color w:val="auto"/>
        </w:rPr>
      </w:pPr>
      <w:r>
        <w:rPr>
          <w:rFonts w:ascii="Arial" w:cs="Arial" w:eastAsia="Arial" w:hAnsi="Arial"/>
          <w:sz w:val="16"/>
          <w:szCs w:val="16"/>
          <w:color w:val="auto"/>
        </w:rPr>
        <w:t>We may enter into various kinds of collaborative research and development and product marketing agreements to develop and commercialize our products. The expected future milestone payments and cost reimbursements from collaboration agreements could provide an important source of financing for our research and development programs, thereby facilitating the application of our technology to the development and commercialization of our products, but there are risks associated with entering into collaboration arrangements.</w:t>
      </w:r>
    </w:p>
    <w:p>
      <w:pPr>
        <w:spacing w:after="0" w:line="193" w:lineRule="exact"/>
        <w:rPr>
          <w:sz w:val="20"/>
          <w:szCs w:val="20"/>
          <w:color w:val="auto"/>
        </w:rPr>
      </w:pPr>
    </w:p>
    <w:p>
      <w:pPr>
        <w:ind w:right="100" w:firstLine="567"/>
        <w:spacing w:after="0" w:line="253" w:lineRule="auto"/>
        <w:rPr>
          <w:sz w:val="20"/>
          <w:szCs w:val="20"/>
          <w:color w:val="auto"/>
        </w:rPr>
      </w:pPr>
      <w:r>
        <w:rPr>
          <w:rFonts w:ascii="Arial" w:cs="Arial" w:eastAsia="Arial" w:hAnsi="Arial"/>
          <w:sz w:val="16"/>
          <w:szCs w:val="16"/>
          <w:color w:val="auto"/>
        </w:rPr>
        <w:t>There is a risk that we could become dependent upon one or more collaborative arrangements for product development or as a source of revenues from the sale of any products that may be developed by us alone or through one of the collaborative arrangements. A collaborative arrangement upon which we might depend might be terminated by our collaboration partner or they might determine not to actively pursue the development or commercialization of our products. A collaboration partner also may not be precluded from independently pursuing competing products and drug delivery approaches or technologies.</w:t>
      </w:r>
    </w:p>
    <w:p>
      <w:pPr>
        <w:spacing w:after="0" w:line="193" w:lineRule="exact"/>
        <w:rPr>
          <w:sz w:val="20"/>
          <w:szCs w:val="20"/>
          <w:color w:val="auto"/>
        </w:rPr>
      </w:pPr>
    </w:p>
    <w:p>
      <w:pPr>
        <w:ind w:right="80" w:firstLine="567"/>
        <w:spacing w:after="0" w:line="272" w:lineRule="auto"/>
        <w:rPr>
          <w:sz w:val="20"/>
          <w:szCs w:val="20"/>
          <w:color w:val="auto"/>
        </w:rPr>
      </w:pPr>
      <w:r>
        <w:rPr>
          <w:rFonts w:ascii="Arial" w:cs="Arial" w:eastAsia="Arial" w:hAnsi="Arial"/>
          <w:sz w:val="15"/>
          <w:szCs w:val="15"/>
          <w:color w:val="auto"/>
        </w:rPr>
        <w:t>There is a risk that a collaboration partner might fail to perform its obligations under the collaborative arrangements or may be slow in performing its obligations. In addition, a collaboration partner may experience financial difficulties at any time that could prevent it from having available funds to contribute to the collaboration. If a collaboration partner fails to conduct its product development, commercialization, regulatory compliance, sales and marketing or distribution activities successfully and in a timely manner, or if it terminates or materially modifies its agreements with us, the development and commercialization of one or more product candidates could be delayed, curtailed or terminated because we may not have sufficient financial resources or capabilities to continue such development and commercialization on our own.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very limited experience in marketing, selling or distributing our products, and we may need to rely on marketing partners or contract sales companies</w:t>
      </w:r>
    </w:p>
    <w:p>
      <w:pPr>
        <w:spacing w:after="0" w:line="233" w:lineRule="exact"/>
        <w:rPr>
          <w:sz w:val="20"/>
          <w:szCs w:val="20"/>
          <w:color w:val="auto"/>
        </w:rPr>
      </w:pPr>
    </w:p>
    <w:p>
      <w:pPr>
        <w:ind w:right="40" w:firstLine="567"/>
        <w:spacing w:after="0" w:line="255" w:lineRule="auto"/>
        <w:rPr>
          <w:sz w:val="20"/>
          <w:szCs w:val="20"/>
          <w:color w:val="auto"/>
        </w:rPr>
      </w:pPr>
      <w:r>
        <w:rPr>
          <w:rFonts w:ascii="Arial" w:cs="Arial" w:eastAsia="Arial" w:hAnsi="Arial"/>
          <w:sz w:val="14"/>
          <w:szCs w:val="14"/>
          <w:color w:val="auto"/>
        </w:rPr>
        <w:t xml:space="preserve">Even if we are able to develop our products and obtain necessary regulatory approvals, we have very limited experience or capabilities in marketing, selling or distributing our products. We rely entirely on Hospira and CJ for the sale of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w:t>
      </w:r>
      <w:r>
        <w:rPr>
          <w:rFonts w:ascii="Arial" w:cs="Arial" w:eastAsia="Arial" w:hAnsi="Arial"/>
          <w:sz w:val="14"/>
          <w:szCs w:val="14"/>
          <w:color w:val="auto"/>
        </w:rPr>
        <w:t xml:space="preserve"> We currently have only limited sales, marketing and distribution resources for selling our stem cell research products, and no marketing or distribution resources for selling any of the medical devices or therapeutic products that we are developing. Accordingly, we will be dependent on our ability to build our own marketing and distribution capability for our new products, which would require the investment of significant financial and management resources, or we will need to find collaborative marketing partners or sales representatives, or wholesale distributors for the commercial sale of our products.</w:t>
      </w:r>
    </w:p>
    <w:p>
      <w:pPr>
        <w:spacing w:after="0" w:line="193" w:lineRule="exact"/>
        <w:rPr>
          <w:sz w:val="20"/>
          <w:szCs w:val="20"/>
          <w:color w:val="auto"/>
        </w:rPr>
      </w:pPr>
    </w:p>
    <w:p>
      <w:pPr>
        <w:ind w:right="20" w:firstLine="567"/>
        <w:spacing w:after="0" w:line="253" w:lineRule="auto"/>
        <w:rPr>
          <w:sz w:val="20"/>
          <w:szCs w:val="20"/>
          <w:color w:val="auto"/>
        </w:rPr>
      </w:pPr>
      <w:r>
        <w:rPr>
          <w:rFonts w:ascii="Arial" w:cs="Arial" w:eastAsia="Arial" w:hAnsi="Arial"/>
          <w:sz w:val="16"/>
          <w:szCs w:val="16"/>
          <w:color w:val="auto"/>
        </w:rPr>
        <w:t>If we market products through arrangements with third parties, we may pay sales commissions to sales representatives or we may sell or consign products to distributors at wholesale prices. As a result, our gross profit from product sales may be lower than it would be if we were to sell our products directly to end users at retail prices through our own sales force. There can be no assurance we will able to negotiate distribution or sales agreements with third parties on favorable terms to justify our investment in our products or achieve sufficient revenues to support our operations.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60"/>
          </w:cols>
          <w:pgMar w:left="240" w:top="124" w:right="299" w:bottom="1440" w:gutter="0" w:footer="0" w:header="0"/>
        </w:sectPr>
      </w:pPr>
    </w:p>
    <w:bookmarkStart w:id="70" w:name="page71"/>
    <w:bookmarkEnd w:id="7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do not have the ability to independently conduct clinical trials required to obtain regulatory approvals for our product candidates</w:t>
      </w:r>
    </w:p>
    <w:p>
      <w:pPr>
        <w:spacing w:after="0" w:line="222" w:lineRule="exact"/>
        <w:rPr>
          <w:sz w:val="20"/>
          <w:szCs w:val="20"/>
          <w:color w:val="auto"/>
        </w:rPr>
      </w:pPr>
    </w:p>
    <w:p>
      <w:pPr>
        <w:ind w:firstLine="567"/>
        <w:spacing w:after="0" w:line="250" w:lineRule="auto"/>
        <w:rPr>
          <w:sz w:val="20"/>
          <w:szCs w:val="20"/>
          <w:color w:val="auto"/>
        </w:rPr>
      </w:pPr>
      <w:r>
        <w:rPr>
          <w:rFonts w:ascii="Arial" w:cs="Arial" w:eastAsia="Arial" w:hAnsi="Arial"/>
          <w:sz w:val="16"/>
          <w:szCs w:val="16"/>
          <w:color w:val="auto"/>
        </w:rPr>
        <w:t>We will need to rely on third parties, such as contract research organizations, data management companies, contract clinical research associates, medical institutions, clinical investigators and contract laboratories to conduct any clinical trials that we may undertake for our products. We may also rely on third parties to assist with our preclinical development of product candidates. If we outsource clinical trial we may be unable to directly control the timing, conduct and expense of our clinical trials. If we enlist third parties to conduct clinical trials and they fail to successfully carry out their contractual duties or regulatory obligations or fail to meet expected deadlines, if the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 candidates.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the Asset Contribution Agreement</w:t>
      </w:r>
    </w:p>
    <w:p>
      <w:pPr>
        <w:spacing w:after="0" w:line="218" w:lineRule="exact"/>
        <w:rPr>
          <w:sz w:val="20"/>
          <w:szCs w:val="20"/>
          <w:color w:val="auto"/>
        </w:rPr>
      </w:pPr>
    </w:p>
    <w:p>
      <w:pPr>
        <w:ind w:right="420"/>
        <w:spacing w:after="0" w:line="307" w:lineRule="auto"/>
        <w:rPr>
          <w:sz w:val="20"/>
          <w:szCs w:val="20"/>
          <w:color w:val="auto"/>
        </w:rPr>
      </w:pPr>
      <w:r>
        <w:rPr>
          <w:rFonts w:ascii="Arial" w:cs="Arial" w:eastAsia="Arial" w:hAnsi="Arial"/>
          <w:sz w:val="15"/>
          <w:szCs w:val="15"/>
          <w:b w:val="1"/>
          <w:bCs w:val="1"/>
          <w:color w:val="auto"/>
        </w:rPr>
        <w:t>Asterias has been substituted for Geron in an appeal of two adverse patent rulings, and if the appeal is not successful, Asterias may not realize value from the Geron patent applications at issue in the appeal and might be precluded from developing therapies to treat certain diseases, such as diabetes.</w:t>
      </w:r>
    </w:p>
    <w:p>
      <w:pPr>
        <w:spacing w:after="0" w:line="154" w:lineRule="exact"/>
        <w:rPr>
          <w:sz w:val="20"/>
          <w:szCs w:val="20"/>
          <w:color w:val="auto"/>
        </w:rPr>
      </w:pPr>
    </w:p>
    <w:p>
      <w:pPr>
        <w:ind w:right="20" w:firstLine="567"/>
        <w:spacing w:after="0" w:line="268" w:lineRule="auto"/>
        <w:rPr>
          <w:sz w:val="20"/>
          <w:szCs w:val="20"/>
          <w:color w:val="auto"/>
        </w:rPr>
      </w:pPr>
      <w:r>
        <w:rPr>
          <w:rFonts w:ascii="Arial" w:cs="Arial" w:eastAsia="Arial" w:hAnsi="Arial"/>
          <w:sz w:val="15"/>
          <w:szCs w:val="15"/>
          <w:color w:val="auto"/>
        </w:rPr>
        <w:t>Asterias has been substituted for Geron as a party in interest in an appeal filed by Geron in the United States District Court for the Northern District of California, appealing two adverse rulings in favor of ViaCyte (formerly Novocell Inc.) by the United States Patent and Trademark Office’s Board of Patent Appeals and Interferences. These rulings related to interference proceedings involving patent filings relating to definitive endoderm cells. Geron had requested that the Board of Patent Appeals and Interferences declare this interference after ViaCyte was granted patent claims that conflicted with subject matter Geron filed in a patent application having an earlier priority date. Those Geron patent applications are among the patent assets that Geron contributed to Asterias. Asterias will assume all liabilities arising with respect to the ViaCyte Appeal, other than expenses incurred by Geron relating to the ViaCyte Appeal prior to the closing of the asset contribution transaction. Appeals of this nature may involve costly and time-consuming legal proceedings and if Asterias is not successful in the appeal, these rulings may prevent or limit development of Asterias product candidates in certain fields such as diabetes treatment and Asterias may be unable to realize value from the patent applications at issue in the appeal.</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We could be liable to indemnify Geron from certain liabilities</w:t>
      </w:r>
    </w:p>
    <w:p>
      <w:pPr>
        <w:spacing w:after="0" w:line="222" w:lineRule="exact"/>
        <w:rPr>
          <w:sz w:val="20"/>
          <w:szCs w:val="20"/>
          <w:color w:val="auto"/>
        </w:rPr>
      </w:pPr>
    </w:p>
    <w:p>
      <w:pPr>
        <w:ind w:right="20" w:firstLine="567"/>
        <w:spacing w:after="0" w:line="276" w:lineRule="auto"/>
        <w:rPr>
          <w:sz w:val="20"/>
          <w:szCs w:val="20"/>
          <w:color w:val="auto"/>
        </w:rPr>
      </w:pPr>
      <w:r>
        <w:rPr>
          <w:rFonts w:ascii="Arial" w:cs="Arial" w:eastAsia="Arial" w:hAnsi="Arial"/>
          <w:sz w:val="15"/>
          <w:szCs w:val="15"/>
          <w:color w:val="auto"/>
        </w:rPr>
        <w:t>We and Asterias have agreed to indemnify Geron from and against certain liabilities relating to (a) the distribution of shares of Asterias Series A common stock to Geron stockholders, (b) Asterias’ distribution of certain BioTime warrants to the holders of Asterias Series A common stock, and (c) any distribution of securities by Asterias to the holders of the Asterias Series A common stock within one year following Asterias’ acquisition of Geron’s stem cell assets. That indemnification obligation will last through the fifth anniversary of the earliest to occur of the date on which all of the BioTime warrants have either expired, or been exercised, cancelled or sold.</w:t>
      </w:r>
    </w:p>
    <w:p>
      <w:pPr>
        <w:spacing w:after="0" w:line="176" w:lineRule="exact"/>
        <w:rPr>
          <w:sz w:val="20"/>
          <w:szCs w:val="20"/>
          <w:color w:val="auto"/>
        </w:rPr>
      </w:pPr>
    </w:p>
    <w:p>
      <w:pPr>
        <w:ind w:right="280" w:firstLine="567"/>
        <w:spacing w:after="0" w:line="282" w:lineRule="auto"/>
        <w:rPr>
          <w:sz w:val="20"/>
          <w:szCs w:val="20"/>
          <w:color w:val="auto"/>
        </w:rPr>
      </w:pPr>
      <w:r>
        <w:rPr>
          <w:rFonts w:ascii="Arial" w:cs="Arial" w:eastAsia="Arial" w:hAnsi="Arial"/>
          <w:sz w:val="15"/>
          <w:szCs w:val="15"/>
          <w:color w:val="auto"/>
        </w:rPr>
        <w:t>We and Asterias have also agreed to indemnify Geron, from and against certain expenses, losses, and liabilities arising from, among other things, breaches of our or Asterias’ representations, warranties and covenants under the Asset Contribution Agreement. The maximum damages that may be recovered by either party for a loss under this indemnification related to representations, warranties and covenants, with certain exceptions, is limited to $2,000,000.</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1" w:name="page72"/>
    <w:bookmarkEnd w:id="7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Asterias’ operations may divert our management’s attention away from ongoing operations and could adversely affect ongoing operations and business relationships</w:t>
      </w:r>
    </w:p>
    <w:p>
      <w:pPr>
        <w:spacing w:after="0" w:line="245" w:lineRule="exact"/>
        <w:rPr>
          <w:sz w:val="20"/>
          <w:szCs w:val="20"/>
          <w:color w:val="auto"/>
        </w:rPr>
      </w:pPr>
    </w:p>
    <w:p>
      <w:pPr>
        <w:ind w:firstLine="567"/>
        <w:spacing w:after="0" w:line="257" w:lineRule="auto"/>
        <w:rPr>
          <w:sz w:val="20"/>
          <w:szCs w:val="20"/>
          <w:color w:val="auto"/>
        </w:rPr>
      </w:pPr>
      <w:r>
        <w:rPr>
          <w:rFonts w:ascii="Arial" w:cs="Arial" w:eastAsia="Arial" w:hAnsi="Arial"/>
          <w:sz w:val="16"/>
          <w:szCs w:val="16"/>
          <w:color w:val="auto"/>
        </w:rPr>
        <w:t>Now that Asterias has acquired Geron’s stem cell assets and is conducting its own research and development programs, our management will be required to provide more management attention to Asterias. The diversion of our management’s attention away from our other operations could adversely affect our operations and business relationships that do not relate to Asterias.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Pertaining to Our Common Shares</w:t>
      </w:r>
    </w:p>
    <w:p>
      <w:pPr>
        <w:spacing w:after="0" w:line="222" w:lineRule="exact"/>
        <w:rPr>
          <w:sz w:val="20"/>
          <w:szCs w:val="20"/>
          <w:color w:val="auto"/>
        </w:rPr>
      </w:pPr>
    </w:p>
    <w:p>
      <w:pPr>
        <w:ind w:right="240" w:firstLine="567"/>
        <w:spacing w:after="0" w:line="267" w:lineRule="auto"/>
        <w:rPr>
          <w:sz w:val="20"/>
          <w:szCs w:val="20"/>
          <w:color w:val="auto"/>
        </w:rPr>
      </w:pPr>
      <w:r>
        <w:rPr>
          <w:rFonts w:ascii="Arial" w:cs="Arial" w:eastAsia="Arial" w:hAnsi="Arial"/>
          <w:sz w:val="16"/>
          <w:szCs w:val="16"/>
          <w:color w:val="auto"/>
        </w:rPr>
        <w:t>Ownership of our common shares will entail certain risks associated with the volatility of prices for our common shares and the fact that we do not pay dividends on our common shares.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Because we are engaged in the development of pharmaceutical and stem cell research products, the price of our common shares may rise and fall rapidly</w:t>
      </w:r>
    </w:p>
    <w:p>
      <w:pPr>
        <w:spacing w:after="0" w:line="233" w:lineRule="exact"/>
        <w:rPr>
          <w:sz w:val="20"/>
          <w:szCs w:val="20"/>
          <w:color w:val="auto"/>
        </w:rPr>
      </w:pPr>
    </w:p>
    <w:p>
      <w:pPr>
        <w:ind w:left="840" w:hanging="278"/>
        <w:spacing w:after="0"/>
        <w:tabs>
          <w:tab w:leader="none" w:pos="840" w:val="left"/>
        </w:tabs>
        <w:numPr>
          <w:ilvl w:val="0"/>
          <w:numId w:val="37"/>
        </w:numPr>
        <w:rPr>
          <w:rFonts w:ascii="Arial" w:cs="Arial" w:eastAsia="Arial" w:hAnsi="Arial"/>
          <w:sz w:val="17"/>
          <w:szCs w:val="17"/>
          <w:color w:val="auto"/>
        </w:rPr>
      </w:pPr>
      <w:r>
        <w:rPr>
          <w:rFonts w:ascii="Arial" w:cs="Arial" w:eastAsia="Arial" w:hAnsi="Arial"/>
          <w:sz w:val="16"/>
          <w:szCs w:val="16"/>
          <w:color w:val="auto"/>
        </w:rPr>
        <w:t>The market price of our common shares, like that of the shares of many biotechnology companies, has been highly volatile.</w:t>
      </w:r>
    </w:p>
    <w:p>
      <w:pPr>
        <w:spacing w:after="0" w:line="218" w:lineRule="exact"/>
        <w:rPr>
          <w:rFonts w:ascii="Arial" w:cs="Arial" w:eastAsia="Arial" w:hAnsi="Arial"/>
          <w:sz w:val="17"/>
          <w:szCs w:val="17"/>
          <w:color w:val="auto"/>
        </w:rPr>
      </w:pPr>
    </w:p>
    <w:p>
      <w:pPr>
        <w:ind w:left="840" w:right="100" w:hanging="278"/>
        <w:spacing w:after="0" w:line="252" w:lineRule="auto"/>
        <w:tabs>
          <w:tab w:leader="none" w:pos="840" w:val="left"/>
        </w:tabs>
        <w:numPr>
          <w:ilvl w:val="0"/>
          <w:numId w:val="37"/>
        </w:numPr>
        <w:rPr>
          <w:rFonts w:ascii="Arial" w:cs="Arial" w:eastAsia="Arial" w:hAnsi="Arial"/>
          <w:sz w:val="17"/>
          <w:szCs w:val="17"/>
          <w:color w:val="auto"/>
        </w:rPr>
      </w:pPr>
      <w:r>
        <w:rPr>
          <w:rFonts w:ascii="Arial" w:cs="Arial" w:eastAsia="Arial" w:hAnsi="Arial"/>
          <w:sz w:val="16"/>
          <w:szCs w:val="16"/>
          <w:color w:val="auto"/>
        </w:rPr>
        <w:t>The price of our common shares may rise rapidly in response to certain events, such as the commencement of clinical trials of an experimental new drug, even though the outcome of those trials and the likelihood of ultimate FDA approval remain uncertain.</w:t>
      </w:r>
    </w:p>
    <w:p>
      <w:pPr>
        <w:spacing w:after="0" w:line="192" w:lineRule="exact"/>
        <w:rPr>
          <w:rFonts w:ascii="Arial" w:cs="Arial" w:eastAsia="Arial" w:hAnsi="Arial"/>
          <w:sz w:val="17"/>
          <w:szCs w:val="17"/>
          <w:color w:val="auto"/>
        </w:rPr>
      </w:pPr>
    </w:p>
    <w:p>
      <w:pPr>
        <w:ind w:left="840" w:right="240" w:hanging="278"/>
        <w:spacing w:after="0" w:line="253" w:lineRule="auto"/>
        <w:tabs>
          <w:tab w:leader="none" w:pos="840" w:val="left"/>
        </w:tabs>
        <w:numPr>
          <w:ilvl w:val="0"/>
          <w:numId w:val="37"/>
        </w:numPr>
        <w:rPr>
          <w:rFonts w:ascii="Arial" w:cs="Arial" w:eastAsia="Arial" w:hAnsi="Arial"/>
          <w:sz w:val="17"/>
          <w:szCs w:val="17"/>
          <w:color w:val="auto"/>
        </w:rPr>
      </w:pPr>
      <w:r>
        <w:rPr>
          <w:rFonts w:ascii="Arial" w:cs="Arial" w:eastAsia="Arial" w:hAnsi="Arial"/>
          <w:sz w:val="16"/>
          <w:szCs w:val="16"/>
          <w:color w:val="auto"/>
        </w:rPr>
        <w:t>Similarly, prices of our common shares may fall rapidly in response to certain events such as unfavorable results of clinical trials or a delay or failure to obtain FDA approval.</w:t>
      </w:r>
    </w:p>
    <w:p>
      <w:pPr>
        <w:spacing w:after="0" w:line="190" w:lineRule="exact"/>
        <w:rPr>
          <w:rFonts w:ascii="Arial" w:cs="Arial" w:eastAsia="Arial" w:hAnsi="Arial"/>
          <w:sz w:val="17"/>
          <w:szCs w:val="17"/>
          <w:color w:val="auto"/>
        </w:rPr>
      </w:pPr>
    </w:p>
    <w:p>
      <w:pPr>
        <w:ind w:left="840" w:hanging="278"/>
        <w:spacing w:after="0"/>
        <w:tabs>
          <w:tab w:leader="none" w:pos="840" w:val="left"/>
        </w:tabs>
        <w:numPr>
          <w:ilvl w:val="0"/>
          <w:numId w:val="37"/>
        </w:numPr>
        <w:rPr>
          <w:rFonts w:ascii="Arial" w:cs="Arial" w:eastAsia="Arial" w:hAnsi="Arial"/>
          <w:sz w:val="17"/>
          <w:szCs w:val="17"/>
          <w:color w:val="auto"/>
        </w:rPr>
      </w:pPr>
      <w:r>
        <w:rPr>
          <w:rFonts w:ascii="Arial" w:cs="Arial" w:eastAsia="Arial" w:hAnsi="Arial"/>
          <w:sz w:val="16"/>
          <w:szCs w:val="16"/>
          <w:color w:val="auto"/>
        </w:rPr>
        <w:t>The failure of our earnings to meet analysts’ expectations could result in a significant rapid decline in the market price of our common shares.</w:t>
      </w:r>
    </w:p>
    <w:p>
      <w:pPr>
        <w:spacing w:after="0" w:line="218" w:lineRule="exact"/>
        <w:rPr>
          <w:rFonts w:ascii="Arial" w:cs="Arial" w:eastAsia="Arial" w:hAnsi="Arial"/>
          <w:sz w:val="17"/>
          <w:szCs w:val="17"/>
          <w:color w:val="auto"/>
        </w:rPr>
      </w:pPr>
    </w:p>
    <w:p>
      <w:pPr>
        <w:ind w:left="840" w:hanging="278"/>
        <w:spacing w:after="0"/>
        <w:tabs>
          <w:tab w:leader="none" w:pos="840" w:val="left"/>
        </w:tabs>
        <w:numPr>
          <w:ilvl w:val="0"/>
          <w:numId w:val="37"/>
        </w:numPr>
        <w:rPr>
          <w:rFonts w:ascii="Arial" w:cs="Arial" w:eastAsia="Arial" w:hAnsi="Arial"/>
          <w:sz w:val="17"/>
          <w:szCs w:val="17"/>
          <w:color w:val="auto"/>
        </w:rPr>
      </w:pPr>
      <w:r>
        <w:rPr>
          <w:rFonts w:ascii="Arial" w:cs="Arial" w:eastAsia="Arial" w:hAnsi="Arial"/>
          <w:sz w:val="16"/>
          <w:szCs w:val="16"/>
          <w:color w:val="auto"/>
        </w:rPr>
        <w:t>Changes in the price of our common shares will affect the price at which or warrants may trade.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economic and stock market conditions may adversely affect the price of our common shares</w:t>
      </w:r>
    </w:p>
    <w:p>
      <w:pPr>
        <w:spacing w:after="0" w:line="222" w:lineRule="exact"/>
        <w:rPr>
          <w:sz w:val="20"/>
          <w:szCs w:val="20"/>
          <w:color w:val="auto"/>
        </w:rPr>
      </w:pPr>
    </w:p>
    <w:p>
      <w:pPr>
        <w:ind w:right="40" w:firstLine="567"/>
        <w:spacing w:after="0" w:line="257" w:lineRule="auto"/>
        <w:rPr>
          <w:sz w:val="20"/>
          <w:szCs w:val="20"/>
          <w:color w:val="auto"/>
        </w:rPr>
      </w:pPr>
      <w:r>
        <w:rPr>
          <w:rFonts w:ascii="Arial" w:cs="Arial" w:eastAsia="Arial" w:hAnsi="Arial"/>
          <w:sz w:val="16"/>
          <w:szCs w:val="16"/>
          <w:color w:val="auto"/>
        </w:rPr>
        <w:t>The stock market has been experiencing extreme price and volume fluctuations which have affected the market price of the equity securities without regard to the operating performance of the issuing companies. Broad market fluctuations, as well as general economic and political conditions, may adversely affect the market price of our common shares.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Because we do not pay dividends, our common shares may not be a suitable investment for anyone who needs to earn dividend income</w:t>
      </w:r>
    </w:p>
    <w:p>
      <w:pPr>
        <w:spacing w:after="0" w:line="222" w:lineRule="exact"/>
        <w:rPr>
          <w:sz w:val="20"/>
          <w:szCs w:val="20"/>
          <w:color w:val="auto"/>
        </w:rPr>
      </w:pPr>
    </w:p>
    <w:p>
      <w:pPr>
        <w:ind w:right="240" w:firstLine="567"/>
        <w:spacing w:after="0" w:line="282" w:lineRule="auto"/>
        <w:rPr>
          <w:sz w:val="20"/>
          <w:szCs w:val="20"/>
          <w:color w:val="auto"/>
        </w:rPr>
      </w:pPr>
      <w:r>
        <w:rPr>
          <w:rFonts w:ascii="Arial" w:cs="Arial" w:eastAsia="Arial" w:hAnsi="Arial"/>
          <w:sz w:val="15"/>
          <w:szCs w:val="15"/>
          <w:color w:val="auto"/>
        </w:rPr>
        <w:t>We do not pay cash dividends on our common shares. For the foreseeable future, we anticipate that any earnings generated in our business will be used to finance the growth of our business and except for the semi-annual payment of dividends due on our Series A Preferred Stock, and will not be paid out as dividends to our shareholders. This means that our common shares may not be a suitable investment for anyone who needs to earn income from their investments.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analysts may not initiate coverage or continue to cover our common shares and this may have a negative impact on the market price of our common shares</w:t>
      </w:r>
    </w:p>
    <w:p>
      <w:pPr>
        <w:spacing w:after="0" w:line="245" w:lineRule="exact"/>
        <w:rPr>
          <w:sz w:val="20"/>
          <w:szCs w:val="20"/>
          <w:color w:val="auto"/>
        </w:rPr>
      </w:pPr>
    </w:p>
    <w:p>
      <w:pPr>
        <w:ind w:right="60" w:firstLine="567"/>
        <w:spacing w:after="0" w:line="293" w:lineRule="auto"/>
        <w:rPr>
          <w:sz w:val="20"/>
          <w:szCs w:val="20"/>
          <w:color w:val="auto"/>
        </w:rPr>
      </w:pPr>
      <w:r>
        <w:rPr>
          <w:rFonts w:ascii="Arial" w:cs="Arial" w:eastAsia="Arial" w:hAnsi="Arial"/>
          <w:sz w:val="14"/>
          <w:szCs w:val="14"/>
          <w:color w:val="auto"/>
        </w:rPr>
        <w:t>The trading market for our common shares will depend, in part, on the research and reports that securities analysts publish about our business and our common shares. We do not have any control over these analysts. There is no guarantee that securities analysts will cover our common shares. If securities analysts do not cover our common shares, the lack of research coverage may adversely affect the market price of those shares and our warrants. If securities analysts do cover our common shares, they could issue reports or recommendations that are unfavorable to the price of our common shares, and they could downgrade a previously favorable report or recommendation, and in either case our share prices could decline as a result of the report. If one or more of these analysts does not initiate coverage, ceases to cover our common shares or fails to publish regular reports on our business, we could lose visibility in the financial markets, which could cause our share prices or trading volume to decline.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2" w:name="page73"/>
    <w:bookmarkEnd w:id="7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market price of our common shares could be impacted by the issuance of the common shares and warrants to Asterias and to an investor</w:t>
      </w:r>
    </w:p>
    <w:p>
      <w:pPr>
        <w:spacing w:after="0" w:line="222" w:lineRule="exact"/>
        <w:rPr>
          <w:sz w:val="20"/>
          <w:szCs w:val="20"/>
          <w:color w:val="auto"/>
        </w:rPr>
      </w:pPr>
    </w:p>
    <w:p>
      <w:pPr>
        <w:ind w:right="20" w:firstLine="567"/>
        <w:spacing w:after="0" w:line="282" w:lineRule="auto"/>
        <w:rPr>
          <w:sz w:val="20"/>
          <w:szCs w:val="20"/>
          <w:color w:val="auto"/>
        </w:rPr>
      </w:pPr>
      <w:r>
        <w:rPr>
          <w:rFonts w:ascii="Arial" w:cs="Arial" w:eastAsia="Arial" w:hAnsi="Arial"/>
          <w:sz w:val="15"/>
          <w:szCs w:val="15"/>
          <w:color w:val="auto"/>
        </w:rPr>
        <w:t>Under the Asset Contribution Agreement, we issued to Asterias 8,902,077 common shares and 8,000,000 common share purchase warrants. We have also issued 1,350,000 common shares and 649,998 warrants to an investor under a Stock and Warrant Purchase Agreement. Asterias and the investor may sell the common shares they received from us. Those sales may take place from time to time on the NYSE MKT and may create downward pressure on the trading price of our common shares.</w:t>
      </w:r>
    </w:p>
    <w:p>
      <w:pPr>
        <w:spacing w:after="0" w:line="172" w:lineRule="exact"/>
        <w:rPr>
          <w:sz w:val="20"/>
          <w:szCs w:val="20"/>
          <w:color w:val="auto"/>
        </w:rPr>
      </w:pPr>
    </w:p>
    <w:p>
      <w:pPr>
        <w:ind w:right="40" w:firstLine="567"/>
        <w:spacing w:after="0" w:line="296" w:lineRule="auto"/>
        <w:rPr>
          <w:sz w:val="20"/>
          <w:szCs w:val="20"/>
          <w:color w:val="auto"/>
        </w:rPr>
      </w:pPr>
      <w:r>
        <w:rPr>
          <w:rFonts w:ascii="Arial" w:cs="Arial" w:eastAsia="Arial" w:hAnsi="Arial"/>
          <w:sz w:val="14"/>
          <w:szCs w:val="14"/>
          <w:color w:val="auto"/>
        </w:rPr>
        <w:t>Asterias expects to distribute the warrants it receives from us to the future holders of its Series A common stock. The warrants we issued to Asterias will be exercisable for a period of five years at an exercise price of $5.00 per share, subject to adjustment for certain stock splits, reverse stock splits, stock dividends, recapitalizations and other transactions. The warrants we issued to the investor will be exercisable for a period of three years at an exercise price of $5.00 per share, subject to adjustment for certain stock splits, reverse stock splits, stock dividends, recapitalizations and other transactions. During the period that the warrants are outstanding, the actual or potential exercise of those warrants and sale of the underlying common shares may create downward pressure on the trading price of our common shares.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 may experience dilution of your ownership interests because of the future issuance of additional common shares and preferred shares by us and our subsidiaries</w:t>
      </w:r>
    </w:p>
    <w:p>
      <w:pPr>
        <w:spacing w:after="0" w:line="245" w:lineRule="exact"/>
        <w:rPr>
          <w:sz w:val="20"/>
          <w:szCs w:val="20"/>
          <w:color w:val="auto"/>
        </w:rPr>
      </w:pPr>
    </w:p>
    <w:p>
      <w:pPr>
        <w:ind w:right="40" w:firstLine="567"/>
        <w:spacing w:after="0" w:line="270" w:lineRule="auto"/>
        <w:rPr>
          <w:sz w:val="20"/>
          <w:szCs w:val="20"/>
          <w:color w:val="auto"/>
        </w:rPr>
      </w:pPr>
      <w:r>
        <w:rPr>
          <w:rFonts w:ascii="Arial" w:cs="Arial" w:eastAsia="Arial" w:hAnsi="Arial"/>
          <w:sz w:val="15"/>
          <w:szCs w:val="15"/>
          <w:color w:val="auto"/>
        </w:rPr>
        <w:t>In the future, we may issue our authorized but previously unissued equity securities, resulting in the dilution of the ownership interests of our present shareholders. We are currently authorized to issue an aggregate of 127,000,000 shares of capital stock consisting of 125,000,000 common shares and 2,000,000 “blank check” preferred shares. As of March 5, 2014, there were 69,598,709 common shares outstanding of which 10,602,035 were held by certain of our subsidiaries for resale in “at-the-market” transactions, 4,542,135 common shares reserved for issuance upon the exercise of outstanding options under our employee stock option plans; and 9,751,615 shares reserved for issuance upon the exercise of common share purchase warrants. Our Board of Directors has designated 300,000 preferred shares as Series A Convertible Preferred Stock, of which 70,000 shares were outstanding as of March 5, 2014 and are convertible at the election of the holders into 875,000 common shares.</w:t>
      </w:r>
    </w:p>
    <w:p>
      <w:pPr>
        <w:spacing w:after="0" w:line="183" w:lineRule="exact"/>
        <w:rPr>
          <w:sz w:val="20"/>
          <w:szCs w:val="20"/>
          <w:color w:val="auto"/>
        </w:rPr>
      </w:pPr>
    </w:p>
    <w:p>
      <w:pPr>
        <w:ind w:right="40" w:firstLine="567"/>
        <w:spacing w:after="0" w:line="276" w:lineRule="auto"/>
        <w:rPr>
          <w:sz w:val="20"/>
          <w:szCs w:val="20"/>
          <w:color w:val="auto"/>
        </w:rPr>
      </w:pPr>
      <w:r>
        <w:rPr>
          <w:rFonts w:ascii="Arial" w:cs="Arial" w:eastAsia="Arial" w:hAnsi="Arial"/>
          <w:sz w:val="15"/>
          <w:szCs w:val="15"/>
          <w:color w:val="auto"/>
        </w:rPr>
        <w:t>The operation of some of our subsidiaries has been financed in part through the sale of capital stock in those subsidiaries to private investors. Sales of additional subsidiary shares could reduce our ownership interest in the subsidiaries, and correspondingly dilute our shareholder’s ownership interests in our consolidated enterprise. Our subsidiaries also have their own stock option plans and the exercise of subsidiary stock options or the sale of restricted stock under those plans would also reduce our ownership interest in the subsidiaries, with a resulting dilutive effect on the ownership interest of our shareholders in our consolidated enterprise.</w:t>
      </w:r>
    </w:p>
    <w:p>
      <w:pPr>
        <w:spacing w:after="0" w:line="176" w:lineRule="exact"/>
        <w:rPr>
          <w:sz w:val="20"/>
          <w:szCs w:val="20"/>
          <w:color w:val="auto"/>
        </w:rPr>
      </w:pPr>
    </w:p>
    <w:p>
      <w:pPr>
        <w:ind w:right="260" w:firstLine="567"/>
        <w:spacing w:after="0" w:line="253" w:lineRule="auto"/>
        <w:rPr>
          <w:sz w:val="20"/>
          <w:szCs w:val="20"/>
          <w:color w:val="auto"/>
        </w:rPr>
      </w:pPr>
      <w:r>
        <w:rPr>
          <w:rFonts w:ascii="Arial" w:cs="Arial" w:eastAsia="Arial" w:hAnsi="Arial"/>
          <w:sz w:val="16"/>
          <w:szCs w:val="16"/>
          <w:color w:val="auto"/>
        </w:rPr>
        <w:t>We and our subsidiaries may issue additional common shares or other securities that are convertible into or exercisable for common shares in order to raise additional capital, or in connection with hiring or retaining employees or consultants, or in connection with future acquisitions of licenses to technology or rights to acquire products, or in connection with future business acquisitions, or for other business purposes. The future issuance of any such additional common shares or other securities may create downward pressure on the trading price of our common shares.</w:t>
      </w:r>
    </w:p>
    <w:p>
      <w:pPr>
        <w:spacing w:after="0" w:line="193" w:lineRule="exact"/>
        <w:rPr>
          <w:sz w:val="20"/>
          <w:szCs w:val="20"/>
          <w:color w:val="auto"/>
        </w:rPr>
      </w:pPr>
    </w:p>
    <w:p>
      <w:pPr>
        <w:ind w:firstLine="567"/>
        <w:spacing w:after="0" w:line="282" w:lineRule="auto"/>
        <w:rPr>
          <w:sz w:val="20"/>
          <w:szCs w:val="20"/>
          <w:color w:val="auto"/>
        </w:rPr>
      </w:pPr>
      <w:r>
        <w:rPr>
          <w:rFonts w:ascii="Arial" w:cs="Arial" w:eastAsia="Arial" w:hAnsi="Arial"/>
          <w:sz w:val="15"/>
          <w:szCs w:val="15"/>
          <w:color w:val="auto"/>
        </w:rPr>
        <w:t>We may also issue preferred shares having rights, preferences, and privileges senior to the rights of our common shares with respect to dividends, rights to share in distributions of our assets if we liquidate our company, or voting rights. Any preferred shares may also be convertible into common shares on terms that would be dilutive to holders of common shares. Our subsidiaries may also issue their own preferred shares with a similar dilutive impact on our ownership of the subsidiaries.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3" w:name="page74"/>
    <w:bookmarkEnd w:id="7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market price of our common shares could be impacted by prices at which we sell shares in our subsidiaries</w:t>
      </w:r>
    </w:p>
    <w:p>
      <w:pPr>
        <w:spacing w:after="0" w:line="222" w:lineRule="exact"/>
        <w:rPr>
          <w:sz w:val="20"/>
          <w:szCs w:val="20"/>
          <w:color w:val="auto"/>
        </w:rPr>
      </w:pPr>
    </w:p>
    <w:p>
      <w:pPr>
        <w:ind w:right="20" w:firstLine="567"/>
        <w:spacing w:after="0" w:line="296" w:lineRule="auto"/>
        <w:rPr>
          <w:sz w:val="20"/>
          <w:szCs w:val="20"/>
          <w:color w:val="auto"/>
        </w:rPr>
      </w:pPr>
      <w:r>
        <w:rPr>
          <w:rFonts w:ascii="Arial" w:cs="Arial" w:eastAsia="Arial" w:hAnsi="Arial"/>
          <w:sz w:val="14"/>
          <w:szCs w:val="14"/>
          <w:color w:val="auto"/>
        </w:rPr>
        <w:t>The operation of some our subsidiaries has been financed in part through the sale of capital stock in those subsidiaries, and our subsidiaries may sell shares of their capital stock in the future for financing purposes. The prices at which our subsidiaries may sell shares of their capital stock could impact the value of our company as a whole and could impact the price at which our common shares trade in the market. A sale of capital stock of one of our subsidiaries at a price that the market perceives as low could adversely impact the market price of our common shares. Even if our subsidiaries sell their capital stock at prices that reflect arm’s length negotiation with investors, there is no assurance that those prices will reflect a true fair market value or that the ascribed value of the subsidiaries based on those share prices will be fully reflected in the market value of our common shares.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BioTime Facilities</w:t>
      </w:r>
    </w:p>
    <w:p>
      <w:pPr>
        <w:spacing w:after="0" w:line="218" w:lineRule="exact"/>
        <w:rPr>
          <w:sz w:val="20"/>
          <w:szCs w:val="20"/>
          <w:color w:val="auto"/>
        </w:rPr>
      </w:pPr>
    </w:p>
    <w:p>
      <w:pPr>
        <w:ind w:right="160" w:firstLine="567"/>
        <w:spacing w:after="0" w:line="253" w:lineRule="auto"/>
        <w:rPr>
          <w:sz w:val="20"/>
          <w:szCs w:val="20"/>
          <w:color w:val="auto"/>
        </w:rPr>
      </w:pPr>
      <w:r>
        <w:rPr>
          <w:rFonts w:ascii="Arial" w:cs="Arial" w:eastAsia="Arial" w:hAnsi="Arial"/>
          <w:sz w:val="16"/>
          <w:szCs w:val="16"/>
          <w:color w:val="auto"/>
        </w:rPr>
        <w:t>Our offices and laboratory facilities are located at 1301 Harbor Bay Parkway, in Alameda, California, where we occupy approximately 19,000 square feet of office and research laboratory space. The facility is cGMP-capable and has previously been certified as Class 1,000 and Class 10,000 laboratory space, and includes cell culture and manufacturing equipment previously validated for use in cGMP manufacture of cell-based products. We will use the laboratory facility for the production of hEPCs, and products derived from them.</w:t>
      </w:r>
    </w:p>
    <w:p>
      <w:pPr>
        <w:spacing w:after="0" w:line="193" w:lineRule="exact"/>
        <w:rPr>
          <w:sz w:val="20"/>
          <w:szCs w:val="20"/>
          <w:color w:val="auto"/>
        </w:rPr>
      </w:pPr>
    </w:p>
    <w:p>
      <w:pPr>
        <w:ind w:right="60" w:firstLine="567"/>
        <w:spacing w:after="0" w:line="267" w:lineRule="auto"/>
        <w:rPr>
          <w:sz w:val="20"/>
          <w:szCs w:val="20"/>
          <w:color w:val="auto"/>
        </w:rPr>
      </w:pPr>
      <w:r>
        <w:rPr>
          <w:rFonts w:ascii="Arial" w:cs="Arial" w:eastAsia="Arial" w:hAnsi="Arial"/>
          <w:sz w:val="16"/>
          <w:szCs w:val="16"/>
          <w:color w:val="auto"/>
        </w:rPr>
        <w:t>Base monthly rent for this facility is $30,752 from December 2013 and will increase by three percent each year. In addition to the base rent, we pay a pro rata share of real property taxes and certain costs associated to the operation and maintenance of the building in which the leased premises are located.</w:t>
      </w:r>
    </w:p>
    <w:p>
      <w:pPr>
        <w:spacing w:after="0" w:line="181" w:lineRule="exact"/>
        <w:rPr>
          <w:sz w:val="20"/>
          <w:szCs w:val="20"/>
          <w:color w:val="auto"/>
        </w:rPr>
      </w:pPr>
    </w:p>
    <w:p>
      <w:pPr>
        <w:jc w:val="both"/>
        <w:ind w:right="200" w:firstLine="567"/>
        <w:spacing w:after="0" w:line="311" w:lineRule="auto"/>
        <w:rPr>
          <w:sz w:val="20"/>
          <w:szCs w:val="20"/>
          <w:color w:val="auto"/>
        </w:rPr>
      </w:pPr>
      <w:r>
        <w:rPr>
          <w:rFonts w:ascii="Arial" w:cs="Arial" w:eastAsia="Arial" w:hAnsi="Arial"/>
          <w:sz w:val="14"/>
          <w:szCs w:val="14"/>
          <w:color w:val="auto"/>
        </w:rPr>
        <w:t>We also lease an office and research facility located in La Jolla, California. The building on the leased premises contains approximately 1,519 square feet of space. The lease is for a term one year plus one half month commencing October 15, 2013. BioTime will pay base rent of $4,330 per month, plus operational costs of maintaining the leased premises. This facility is utilized for the development of our new differentiation and cellular reprogramming research products and for small-scale manufacture.</w:t>
      </w:r>
    </w:p>
    <w:p>
      <w:pPr>
        <w:spacing w:after="0" w:line="154" w:lineRule="exact"/>
        <w:rPr>
          <w:sz w:val="20"/>
          <w:szCs w:val="20"/>
          <w:color w:val="auto"/>
        </w:rPr>
      </w:pPr>
    </w:p>
    <w:p>
      <w:pPr>
        <w:ind w:right="560" w:firstLine="567"/>
        <w:spacing w:after="0" w:line="267" w:lineRule="auto"/>
        <w:rPr>
          <w:sz w:val="20"/>
          <w:szCs w:val="20"/>
          <w:color w:val="auto"/>
        </w:rPr>
      </w:pPr>
      <w:r>
        <w:rPr>
          <w:rFonts w:ascii="Arial" w:cs="Arial" w:eastAsia="Arial" w:hAnsi="Arial"/>
          <w:sz w:val="16"/>
          <w:szCs w:val="16"/>
          <w:color w:val="auto"/>
        </w:rPr>
        <w:t>We also currently pay $5,050 per month for the use of approximately 900 square feet of office space in New York City, which is made available to us by one of our directors at his cost for use in conducting meetings and other business affairs.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Asterias Facilities</w:t>
      </w:r>
    </w:p>
    <w:p>
      <w:pPr>
        <w:spacing w:after="0" w:line="218" w:lineRule="exact"/>
        <w:rPr>
          <w:sz w:val="20"/>
          <w:szCs w:val="20"/>
          <w:color w:val="auto"/>
        </w:rPr>
      </w:pPr>
    </w:p>
    <w:p>
      <w:pPr>
        <w:ind w:right="200" w:firstLine="567"/>
        <w:spacing w:after="0" w:line="250" w:lineRule="auto"/>
        <w:rPr>
          <w:sz w:val="20"/>
          <w:szCs w:val="20"/>
          <w:color w:val="auto"/>
        </w:rPr>
      </w:pPr>
      <w:r>
        <w:rPr>
          <w:rFonts w:ascii="Arial" w:cs="Arial" w:eastAsia="Arial" w:hAnsi="Arial"/>
          <w:sz w:val="16"/>
          <w:szCs w:val="16"/>
          <w:color w:val="auto"/>
        </w:rPr>
        <w:t>We have entered into a lease for an office and research facility located in Menlo Park, California that we are making available for use by Asterias. The building on the leased premises contains approximately 24,080 square feet of space. The lease is for a term of three years commencing January 7, 2013. We pay base rent of $31,786 per month, plus real estate taxes and certain costs of maintaining the leased premises. As additional consideration for the lease, we issued to the landlord BioTime common shares having a market value of $242,726, determined based upon the average closing price of our common shares on the NYSE MKT for a designated period of time prior to the signing of the lease. We have subleased this facility to Asterias under terms that require Asterias to pay all rent and other amounts due, and to perform all of our other obligations as a tenant, under the lease.</w:t>
      </w:r>
    </w:p>
    <w:p>
      <w:pPr>
        <w:spacing w:after="0" w:line="197" w:lineRule="exact"/>
        <w:rPr>
          <w:sz w:val="20"/>
          <w:szCs w:val="20"/>
          <w:color w:val="auto"/>
        </w:rPr>
      </w:pPr>
    </w:p>
    <w:p>
      <w:pPr>
        <w:ind w:firstLine="567"/>
        <w:spacing w:after="0" w:line="296" w:lineRule="auto"/>
        <w:rPr>
          <w:sz w:val="20"/>
          <w:szCs w:val="20"/>
          <w:color w:val="auto"/>
        </w:rPr>
      </w:pPr>
      <w:r>
        <w:rPr>
          <w:rFonts w:ascii="Arial" w:cs="Arial" w:eastAsia="Arial" w:hAnsi="Arial"/>
          <w:sz w:val="14"/>
          <w:szCs w:val="14"/>
          <w:color w:val="auto"/>
        </w:rPr>
        <w:t>Asterias has entered into a lease for an office and research facility located in Fremont, California. The building on the leased premises contains approximately 44,000 square feet of space. The lease is for a term of 96 months. The estimated term commencement date is October 1, 2014 but the term may commence earlier if Asterias commences its use of the premises prior to that date. Asterias will pay base monthly rent of $99,000 during the first 12 months commencing on the term commencement date, except that during the first 15 months of the lease term, Asterias will pay base rent on only 22,000 square feet rather than 44,000 square feet provided that Asterias is not in default in performing its obligations under the lease beyond any notice and cure periods. Base monthly rent will increase by approximately 3% annually.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74" w:name="page75"/>
    <w:bookmarkEnd w:id="7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20" w:firstLine="567"/>
        <w:spacing w:after="0" w:line="251" w:lineRule="auto"/>
        <w:rPr>
          <w:sz w:val="20"/>
          <w:szCs w:val="20"/>
          <w:color w:val="auto"/>
        </w:rPr>
      </w:pPr>
      <w:r>
        <w:rPr>
          <w:rFonts w:ascii="Arial" w:cs="Arial" w:eastAsia="Arial" w:hAnsi="Arial"/>
          <w:sz w:val="16"/>
          <w:szCs w:val="16"/>
          <w:color w:val="auto"/>
        </w:rPr>
        <w:t>In addition to monthly base rent Asterias will pay all real estate taxes, insurance, a management fee in the amount of 3% of base rent, and the cost of maintenance, repair and replacement of the leased premises. During the first 15 months of the lease term, Asterias will pay only 50% of the real estate taxes assessed on the premises provided that Asterias is not in default in performing its obligations under the lease beyond any notice and cure periods. However, if any improvements or alterations to the premises that Asterias constructs or adds are assessed for real property tax purposes at a valuation higher than the valuation of the improvements on the Premises on the date signed the lease, Asterias will pay 100% of the taxes levied on the excess assessed valuation.</w:t>
      </w:r>
    </w:p>
    <w:p>
      <w:pPr>
        <w:spacing w:after="0" w:line="196" w:lineRule="exact"/>
        <w:rPr>
          <w:sz w:val="20"/>
          <w:szCs w:val="20"/>
          <w:color w:val="auto"/>
        </w:rPr>
      </w:pPr>
    </w:p>
    <w:p>
      <w:pPr>
        <w:ind w:right="240" w:firstLine="567"/>
        <w:spacing w:after="0" w:line="257" w:lineRule="auto"/>
        <w:rPr>
          <w:sz w:val="20"/>
          <w:szCs w:val="20"/>
          <w:color w:val="auto"/>
        </w:rPr>
      </w:pPr>
      <w:r>
        <w:rPr>
          <w:rFonts w:ascii="Arial" w:cs="Arial" w:eastAsia="Arial" w:hAnsi="Arial"/>
          <w:sz w:val="16"/>
          <w:szCs w:val="16"/>
          <w:color w:val="auto"/>
        </w:rPr>
        <w:t>The landlord will provide Asterias with a tenant improvement allowance of $4,400,000, which Asterias plans to use to construct a laboratory and production facility that can be used to produce human embryonic stem cells and related products under current good manufacturing procedures (cGMP). The landlord’s obligation to fund the tenant improvement allowance will expire in 18 months with respect to any portion of the allowance not expended by then.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ESI Facilities</w:t>
      </w:r>
    </w:p>
    <w:p>
      <w:pPr>
        <w:spacing w:after="0" w:line="218" w:lineRule="exact"/>
        <w:rPr>
          <w:sz w:val="20"/>
          <w:szCs w:val="20"/>
          <w:color w:val="auto"/>
        </w:rPr>
      </w:pPr>
    </w:p>
    <w:p>
      <w:pPr>
        <w:ind w:right="80" w:firstLine="567"/>
        <w:spacing w:after="0" w:line="253" w:lineRule="auto"/>
        <w:rPr>
          <w:sz w:val="20"/>
          <w:szCs w:val="20"/>
          <w:color w:val="auto"/>
        </w:rPr>
      </w:pPr>
      <w:r>
        <w:rPr>
          <w:rFonts w:ascii="Arial" w:cs="Arial" w:eastAsia="Arial" w:hAnsi="Arial"/>
          <w:sz w:val="16"/>
          <w:szCs w:val="16"/>
          <w:color w:val="auto"/>
        </w:rPr>
        <w:t>ESI had leased approximately 125 square meters of laboratory space in Singapore under a lease that expired on February 28, 2014. Base monthly rent under the Singapore laboratory lease was S$11,000 (approximately US$8,700). In addition to base rent, ESI paid a pro rata share of real property taxes and certain costs related to the operation and maintenance of the building in which the leased premises were located. ESI will continue to pursue our ongoing plans to establish new laboratory facilities in Singapore for manufacturing and distribution of ESI BIO research products in Asia.</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Cell Cure Facilities</w:t>
      </w:r>
    </w:p>
    <w:p>
      <w:pPr>
        <w:spacing w:after="0" w:line="218" w:lineRule="exact"/>
        <w:rPr>
          <w:sz w:val="20"/>
          <w:szCs w:val="20"/>
          <w:color w:val="auto"/>
        </w:rPr>
      </w:pPr>
    </w:p>
    <w:p>
      <w:pPr>
        <w:ind w:right="80" w:firstLine="567"/>
        <w:spacing w:after="0" w:line="276" w:lineRule="auto"/>
        <w:rPr>
          <w:sz w:val="20"/>
          <w:szCs w:val="20"/>
          <w:color w:val="auto"/>
        </w:rPr>
      </w:pPr>
      <w:r>
        <w:rPr>
          <w:rFonts w:ascii="Arial" w:cs="Arial" w:eastAsia="Arial" w:hAnsi="Arial"/>
          <w:sz w:val="15"/>
          <w:szCs w:val="15"/>
          <w:color w:val="auto"/>
        </w:rPr>
        <w:t>Cell Cure Neurosciences leases approximately 290 square meters of office and laboratory space in Hadassah Ein Kerem, in Jerusalem, Israel under a lease that expires on June 1, 2014. Base monthly rent for that facility is approximately ILS 33,000 (approximately US$9,500). In addition to base rent, Cell Cure Neurosciences pays a pro rata share of real property taxes and certain costs related to the operation and maintenance of the building in which the leased premises are located. Cell Cure Neurosciences will be liable for ILS 872,000 (approximately US$251,000) in improvement costs if the company renews the lease agreement for five additional years.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LifeMap Facilities</w:t>
      </w:r>
    </w:p>
    <w:p>
      <w:pPr>
        <w:spacing w:after="0" w:line="218" w:lineRule="exact"/>
        <w:rPr>
          <w:sz w:val="20"/>
          <w:szCs w:val="20"/>
          <w:color w:val="auto"/>
        </w:rPr>
      </w:pPr>
    </w:p>
    <w:p>
      <w:pPr>
        <w:ind w:right="40" w:firstLine="567"/>
        <w:spacing w:after="0" w:line="276" w:lineRule="auto"/>
        <w:rPr>
          <w:sz w:val="20"/>
          <w:szCs w:val="20"/>
          <w:color w:val="auto"/>
        </w:rPr>
      </w:pPr>
      <w:r>
        <w:rPr>
          <w:rFonts w:ascii="Arial" w:cs="Arial" w:eastAsia="Arial" w:hAnsi="Arial"/>
          <w:sz w:val="15"/>
          <w:szCs w:val="15"/>
          <w:color w:val="auto"/>
        </w:rPr>
        <w:t>LifeMap Sciences leases approximately 320 square meters of office space in Tel Aviv, Israel under a lease expiring on May 31, 2015. Base monthly rent under the lease was originally ILS 21,800 (approximately US$6,300) per month and increased to ILS 25,889 (approximately US$7,400) per month in July 1, 2013 when additional space was added to the leased premises. In addition to base rent, LifeMap Sciences pays a pro rata share of real property taxes and certain costs related to the operation and maintenance of the building in which the leased premises are located. LifeMap Sciences also leases several parking spots.</w:t>
      </w:r>
    </w:p>
    <w:p>
      <w:pPr>
        <w:spacing w:after="0" w:line="176" w:lineRule="exact"/>
        <w:rPr>
          <w:sz w:val="20"/>
          <w:szCs w:val="20"/>
          <w:color w:val="auto"/>
        </w:rPr>
      </w:pPr>
    </w:p>
    <w:p>
      <w:pPr>
        <w:ind w:right="40" w:firstLine="567"/>
        <w:spacing w:after="0" w:line="257" w:lineRule="auto"/>
        <w:rPr>
          <w:sz w:val="20"/>
          <w:szCs w:val="20"/>
          <w:color w:val="auto"/>
        </w:rPr>
      </w:pPr>
      <w:r>
        <w:rPr>
          <w:rFonts w:ascii="Arial" w:cs="Arial" w:eastAsia="Arial" w:hAnsi="Arial"/>
          <w:sz w:val="16"/>
          <w:szCs w:val="16"/>
          <w:color w:val="auto"/>
        </w:rPr>
        <w:t>LifeMap Sciences leases approximately 120 square meters of office space in Hong Kong under a lease that commenced on December 1, 2013 and expires on November 30, 2015. Base monthly rent under the lease is HK$7,500 (approximately US $970) per month. In addition to base rent, LifeMap pays certain costs related to the operation of the building in which the leased premises are located.</w:t>
      </w:r>
    </w:p>
    <w:p>
      <w:pPr>
        <w:spacing w:after="0" w:line="189"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LifeMap also leases approximately 750 square feet of office space in Marshfield, Massachusetts under a lease that expires on September 30, 2015. Base monthly rent under the lease is $1,082 per month.</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5" w:name="page76"/>
    <w:bookmarkEnd w:id="7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time to time, we and our subsidiaries may be involved in routine litigation incidental to the conduct of our business.</w:t>
      </w:r>
    </w:p>
    <w:p>
      <w:pPr>
        <w:spacing w:after="0" w:line="218" w:lineRule="exact"/>
        <w:rPr>
          <w:sz w:val="20"/>
          <w:szCs w:val="20"/>
          <w:color w:val="auto"/>
        </w:rPr>
      </w:pPr>
    </w:p>
    <w:p>
      <w:pPr>
        <w:ind w:firstLine="567"/>
        <w:spacing w:after="0" w:line="288" w:lineRule="auto"/>
        <w:rPr>
          <w:sz w:val="20"/>
          <w:szCs w:val="20"/>
          <w:color w:val="auto"/>
        </w:rPr>
      </w:pPr>
      <w:r>
        <w:rPr>
          <w:rFonts w:ascii="Arial" w:cs="Arial" w:eastAsia="Arial" w:hAnsi="Arial"/>
          <w:sz w:val="14"/>
          <w:szCs w:val="14"/>
          <w:color w:val="auto"/>
        </w:rPr>
        <w:t>Asterias has assumed Geron’s position as appellant in an appeal filed in the United States District Court in Civil Action No. C12-04813 (the “ViaCyte Appeal”) seeking the reversal of two adverse determinations by the United States Patent and Trademark Office’s Board of Patent Appeals and Interferences with respect to two patent applications in U.S. Patent Interference 105,734, involving U.S. patent 7,510,876 (ViaCyte) and U.S. patent application 11/960,477 (Geron), and U.S. Patent Interference 105,827 involving U.S. patent 7,510,876 (ViaCyte) and U.S. patent application 12/543,875 (Geron). Asterias has also assumed the interference proceedings upon which the appeal is based, as well as certain oppositions filed by Geron against certain ViaCyte patent filings in Australia and in the European Patent Office. The rulings related to interference proceedings involving patent filings relating to definitive endoderm cells. Geron had requested that the Board of Patent Appeals and Interferences declare this interference after ViaCyte was granted patent claims that conflicted with subject matter Geron filed in a patent application having an earlier priority date. Those Geron patent applications are among the patent assets that Geron contributed to Asterias. Asterias also assumed the USPTO interferences upon which the appeal is based, as well as certain oppositions filed by Geron against certain ViaCyte patent filings in Australia and in the European Patent Office. Asterias has agreed to assume all liabilities relating to the ViaCyte Appeal and the related interference proceedings, including the costs of litigation, other than expenses incurred by Geron prior to October 1, 2013.</w:t>
      </w:r>
    </w:p>
    <w:p>
      <w:pPr>
        <w:spacing w:after="0" w:line="172" w:lineRule="exact"/>
        <w:rPr>
          <w:sz w:val="20"/>
          <w:szCs w:val="20"/>
          <w:color w:val="auto"/>
        </w:rPr>
      </w:pPr>
    </w:p>
    <w:p>
      <w:pPr>
        <w:ind w:right="80" w:firstLine="567"/>
        <w:spacing w:after="0" w:line="276" w:lineRule="auto"/>
        <w:rPr>
          <w:sz w:val="20"/>
          <w:szCs w:val="20"/>
          <w:color w:val="auto"/>
        </w:rPr>
      </w:pPr>
      <w:r>
        <w:rPr>
          <w:rFonts w:ascii="Arial" w:cs="Arial" w:eastAsia="Arial" w:hAnsi="Arial"/>
          <w:sz w:val="15"/>
          <w:szCs w:val="15"/>
          <w:color w:val="auto"/>
        </w:rPr>
        <w:t>If Asterias is not successful in the ViaCyte Appeal, ViaCyte would retain its patent claims directed to definitive endoderm. Definitive endoderm is an early pre-cursor of numerous cell types including liver and β-cells of the pancreas that could potentially treat diabetes, and it is likely that the derivation of any of the endodermal lineage cells from embryonic stem cells would necessarily pass through the definitive endoderm stage. As a result, Asterias would be unable to develop and commercialize those cell types without a license from ViaCyte, and may be unable to realize value from the Geron patent applications at issue in the appeal.</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76" w:name="page77"/>
    <w:bookmarkEnd w:id="7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222" w:lineRule="exact"/>
        <w:rPr>
          <w:sz w:val="20"/>
          <w:szCs w:val="20"/>
          <w:color w:val="auto"/>
        </w:rPr>
      </w:pPr>
    </w:p>
    <w:p>
      <w:pPr>
        <w:ind w:right="180" w:firstLine="567"/>
        <w:spacing w:after="0" w:line="267" w:lineRule="auto"/>
        <w:rPr>
          <w:sz w:val="20"/>
          <w:szCs w:val="20"/>
          <w:color w:val="auto"/>
        </w:rPr>
      </w:pPr>
      <w:r>
        <w:rPr>
          <w:rFonts w:ascii="Arial" w:cs="Arial" w:eastAsia="Arial" w:hAnsi="Arial"/>
          <w:sz w:val="16"/>
          <w:szCs w:val="16"/>
          <w:color w:val="auto"/>
        </w:rPr>
        <w:t>Our common shares are traded on the NYSE MKT under the ticker symbol BTX. The following table sets forth the range of high and low closing prices for our common shares for the fiscal years ended December 31, 2012 and 2013 as reported by the NYSE MKT: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20" w:type="dxa"/>
            <w:vAlign w:val="bottom"/>
          </w:tcPr>
          <w:p>
            <w:pPr>
              <w:spacing w:after="0"/>
              <w:rPr>
                <w:sz w:val="20"/>
                <w:szCs w:val="20"/>
                <w:color w:val="auto"/>
              </w:rPr>
            </w:pPr>
            <w:r>
              <w:rPr>
                <w:rFonts w:ascii="Arial" w:cs="Arial" w:eastAsia="Arial" w:hAnsi="Arial"/>
                <w:sz w:val="16"/>
                <w:szCs w:val="16"/>
                <w:b w:val="1"/>
                <w:bCs w:val="1"/>
                <w:color w:val="auto"/>
              </w:rPr>
              <w:t>Quarter Ended</w:t>
            </w: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Low</w:t>
            </w:r>
          </w:p>
        </w:tc>
      </w:tr>
      <w:tr>
        <w:trPr>
          <w:trHeight w:val="189"/>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March 31, 2012</w:t>
            </w:r>
          </w:p>
        </w:tc>
        <w:tc>
          <w:tcPr>
            <w:tcW w:w="12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6.12</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4.41</w:t>
            </w:r>
          </w:p>
        </w:tc>
      </w:tr>
      <w:tr>
        <w:trPr>
          <w:trHeight w:val="189"/>
        </w:trPr>
        <w:tc>
          <w:tcPr>
            <w:tcW w:w="8820" w:type="dxa"/>
            <w:vAlign w:val="bottom"/>
          </w:tcPr>
          <w:p>
            <w:pPr>
              <w:spacing w:after="0"/>
              <w:rPr>
                <w:sz w:val="20"/>
                <w:szCs w:val="20"/>
                <w:color w:val="auto"/>
              </w:rPr>
            </w:pPr>
            <w:r>
              <w:rPr>
                <w:rFonts w:ascii="Arial" w:cs="Arial" w:eastAsia="Arial" w:hAnsi="Arial"/>
                <w:sz w:val="16"/>
                <w:szCs w:val="16"/>
                <w:color w:val="auto"/>
              </w:rPr>
              <w:t>June 30, 2012</w:t>
            </w:r>
          </w:p>
        </w:tc>
        <w:tc>
          <w:tcPr>
            <w:tcW w:w="1260" w:type="dxa"/>
            <w:vAlign w:val="bottom"/>
          </w:tcPr>
          <w:p>
            <w:pPr>
              <w:jc w:val="right"/>
              <w:ind w:right="381"/>
              <w:spacing w:after="0"/>
              <w:rPr>
                <w:sz w:val="20"/>
                <w:szCs w:val="20"/>
                <w:color w:val="auto"/>
              </w:rPr>
            </w:pPr>
            <w:r>
              <w:rPr>
                <w:rFonts w:ascii="Arial" w:cs="Arial" w:eastAsia="Arial" w:hAnsi="Arial"/>
                <w:sz w:val="16"/>
                <w:szCs w:val="16"/>
                <w:color w:val="auto"/>
              </w:rPr>
              <w:t>4.79</w:t>
            </w:r>
          </w:p>
        </w:tc>
        <w:tc>
          <w:tcPr>
            <w:tcW w:w="1360" w:type="dxa"/>
            <w:vAlign w:val="bottom"/>
            <w:gridSpan w:val="2"/>
          </w:tcPr>
          <w:p>
            <w:pPr>
              <w:jc w:val="right"/>
              <w:ind w:right="381"/>
              <w:spacing w:after="0"/>
              <w:rPr>
                <w:sz w:val="20"/>
                <w:szCs w:val="20"/>
                <w:color w:val="auto"/>
              </w:rPr>
            </w:pPr>
            <w:r>
              <w:rPr>
                <w:rFonts w:ascii="Arial" w:cs="Arial" w:eastAsia="Arial" w:hAnsi="Arial"/>
                <w:sz w:val="16"/>
                <w:szCs w:val="16"/>
                <w:color w:val="auto"/>
              </w:rPr>
              <w:t>3.47</w:t>
            </w:r>
          </w:p>
        </w:tc>
      </w:tr>
      <w:tr>
        <w:trPr>
          <w:trHeight w:val="189"/>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September 30, 2012</w:t>
            </w:r>
          </w:p>
        </w:tc>
        <w:tc>
          <w:tcPr>
            <w:tcW w:w="12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4.98</w:t>
            </w:r>
          </w:p>
        </w:tc>
        <w:tc>
          <w:tcPr>
            <w:tcW w:w="1360" w:type="dxa"/>
            <w:vAlign w:val="bottom"/>
            <w:gridSpan w:val="2"/>
            <w:shd w:val="clear" w:color="auto" w:fill="CCEEFF"/>
          </w:tcPr>
          <w:p>
            <w:pPr>
              <w:jc w:val="right"/>
              <w:ind w:right="381"/>
              <w:spacing w:after="0"/>
              <w:rPr>
                <w:sz w:val="20"/>
                <w:szCs w:val="20"/>
                <w:color w:val="auto"/>
              </w:rPr>
            </w:pPr>
            <w:r>
              <w:rPr>
                <w:rFonts w:ascii="Arial" w:cs="Arial" w:eastAsia="Arial" w:hAnsi="Arial"/>
                <w:sz w:val="16"/>
                <w:szCs w:val="16"/>
                <w:color w:val="auto"/>
              </w:rPr>
              <w:t>3.81</w:t>
            </w:r>
          </w:p>
        </w:tc>
      </w:tr>
      <w:tr>
        <w:trPr>
          <w:trHeight w:val="189"/>
        </w:trPr>
        <w:tc>
          <w:tcPr>
            <w:tcW w:w="8820" w:type="dxa"/>
            <w:vAlign w:val="bottom"/>
          </w:tcPr>
          <w:p>
            <w:pPr>
              <w:spacing w:after="0"/>
              <w:rPr>
                <w:sz w:val="20"/>
                <w:szCs w:val="20"/>
                <w:color w:val="auto"/>
              </w:rPr>
            </w:pPr>
            <w:r>
              <w:rPr>
                <w:rFonts w:ascii="Arial" w:cs="Arial" w:eastAsia="Arial" w:hAnsi="Arial"/>
                <w:sz w:val="16"/>
                <w:szCs w:val="16"/>
                <w:color w:val="auto"/>
              </w:rPr>
              <w:t>December 31, 2012</w:t>
            </w:r>
          </w:p>
        </w:tc>
        <w:tc>
          <w:tcPr>
            <w:tcW w:w="1260" w:type="dxa"/>
            <w:vAlign w:val="bottom"/>
          </w:tcPr>
          <w:p>
            <w:pPr>
              <w:jc w:val="right"/>
              <w:ind w:right="381"/>
              <w:spacing w:after="0"/>
              <w:rPr>
                <w:sz w:val="20"/>
                <w:szCs w:val="20"/>
                <w:color w:val="auto"/>
              </w:rPr>
            </w:pPr>
            <w:r>
              <w:rPr>
                <w:rFonts w:ascii="Arial" w:cs="Arial" w:eastAsia="Arial" w:hAnsi="Arial"/>
                <w:sz w:val="16"/>
                <w:szCs w:val="16"/>
                <w:color w:val="auto"/>
              </w:rPr>
              <w:t>4.40</w:t>
            </w:r>
          </w:p>
        </w:tc>
        <w:tc>
          <w:tcPr>
            <w:tcW w:w="1360" w:type="dxa"/>
            <w:vAlign w:val="bottom"/>
            <w:gridSpan w:val="2"/>
          </w:tcPr>
          <w:p>
            <w:pPr>
              <w:jc w:val="right"/>
              <w:ind w:right="381"/>
              <w:spacing w:after="0"/>
              <w:rPr>
                <w:sz w:val="20"/>
                <w:szCs w:val="20"/>
                <w:color w:val="auto"/>
              </w:rPr>
            </w:pPr>
            <w:r>
              <w:rPr>
                <w:rFonts w:ascii="Arial" w:cs="Arial" w:eastAsia="Arial" w:hAnsi="Arial"/>
                <w:sz w:val="16"/>
                <w:szCs w:val="16"/>
                <w:color w:val="auto"/>
              </w:rPr>
              <w:t>2.91</w:t>
            </w:r>
          </w:p>
        </w:tc>
      </w:tr>
      <w:tr>
        <w:trPr>
          <w:trHeight w:val="189"/>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March 31, 2013</w:t>
            </w:r>
          </w:p>
        </w:tc>
        <w:tc>
          <w:tcPr>
            <w:tcW w:w="12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4.99</w:t>
            </w:r>
          </w:p>
        </w:tc>
        <w:tc>
          <w:tcPr>
            <w:tcW w:w="1360" w:type="dxa"/>
            <w:vAlign w:val="bottom"/>
            <w:gridSpan w:val="2"/>
            <w:shd w:val="clear" w:color="auto" w:fill="CCEEFF"/>
          </w:tcPr>
          <w:p>
            <w:pPr>
              <w:jc w:val="right"/>
              <w:ind w:right="381"/>
              <w:spacing w:after="0"/>
              <w:rPr>
                <w:sz w:val="20"/>
                <w:szCs w:val="20"/>
                <w:color w:val="auto"/>
              </w:rPr>
            </w:pPr>
            <w:r>
              <w:rPr>
                <w:rFonts w:ascii="Arial" w:cs="Arial" w:eastAsia="Arial" w:hAnsi="Arial"/>
                <w:sz w:val="16"/>
                <w:szCs w:val="16"/>
                <w:color w:val="auto"/>
              </w:rPr>
              <w:t>3.20</w:t>
            </w:r>
          </w:p>
        </w:tc>
      </w:tr>
      <w:tr>
        <w:trPr>
          <w:trHeight w:val="189"/>
        </w:trPr>
        <w:tc>
          <w:tcPr>
            <w:tcW w:w="8820" w:type="dxa"/>
            <w:vAlign w:val="bottom"/>
          </w:tcPr>
          <w:p>
            <w:pPr>
              <w:spacing w:after="0"/>
              <w:rPr>
                <w:sz w:val="20"/>
                <w:szCs w:val="20"/>
                <w:color w:val="auto"/>
              </w:rPr>
            </w:pPr>
            <w:r>
              <w:rPr>
                <w:rFonts w:ascii="Arial" w:cs="Arial" w:eastAsia="Arial" w:hAnsi="Arial"/>
                <w:sz w:val="16"/>
                <w:szCs w:val="16"/>
                <w:color w:val="auto"/>
              </w:rPr>
              <w:t>June 30, 2013</w:t>
            </w:r>
          </w:p>
        </w:tc>
        <w:tc>
          <w:tcPr>
            <w:tcW w:w="1260" w:type="dxa"/>
            <w:vAlign w:val="bottom"/>
          </w:tcPr>
          <w:p>
            <w:pPr>
              <w:jc w:val="right"/>
              <w:ind w:right="381"/>
              <w:spacing w:after="0"/>
              <w:rPr>
                <w:sz w:val="20"/>
                <w:szCs w:val="20"/>
                <w:color w:val="auto"/>
              </w:rPr>
            </w:pPr>
            <w:r>
              <w:rPr>
                <w:rFonts w:ascii="Arial" w:cs="Arial" w:eastAsia="Arial" w:hAnsi="Arial"/>
                <w:sz w:val="16"/>
                <w:szCs w:val="16"/>
                <w:color w:val="auto"/>
              </w:rPr>
              <w:t>4.82</w:t>
            </w:r>
          </w:p>
        </w:tc>
        <w:tc>
          <w:tcPr>
            <w:tcW w:w="1360" w:type="dxa"/>
            <w:vAlign w:val="bottom"/>
            <w:gridSpan w:val="2"/>
          </w:tcPr>
          <w:p>
            <w:pPr>
              <w:jc w:val="right"/>
              <w:ind w:right="381"/>
              <w:spacing w:after="0"/>
              <w:rPr>
                <w:sz w:val="20"/>
                <w:szCs w:val="20"/>
                <w:color w:val="auto"/>
              </w:rPr>
            </w:pPr>
            <w:r>
              <w:rPr>
                <w:rFonts w:ascii="Arial" w:cs="Arial" w:eastAsia="Arial" w:hAnsi="Arial"/>
                <w:sz w:val="16"/>
                <w:szCs w:val="16"/>
                <w:color w:val="auto"/>
              </w:rPr>
              <w:t>3.39</w:t>
            </w:r>
          </w:p>
        </w:tc>
      </w:tr>
      <w:tr>
        <w:trPr>
          <w:trHeight w:val="189"/>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September 30, 2013</w:t>
            </w:r>
          </w:p>
        </w:tc>
        <w:tc>
          <w:tcPr>
            <w:tcW w:w="12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4.29</w:t>
            </w:r>
          </w:p>
        </w:tc>
        <w:tc>
          <w:tcPr>
            <w:tcW w:w="1360" w:type="dxa"/>
            <w:vAlign w:val="bottom"/>
            <w:gridSpan w:val="2"/>
            <w:shd w:val="clear" w:color="auto" w:fill="CCEEFF"/>
          </w:tcPr>
          <w:p>
            <w:pPr>
              <w:jc w:val="right"/>
              <w:ind w:right="381"/>
              <w:spacing w:after="0"/>
              <w:rPr>
                <w:sz w:val="20"/>
                <w:szCs w:val="20"/>
                <w:color w:val="auto"/>
              </w:rPr>
            </w:pPr>
            <w:r>
              <w:rPr>
                <w:rFonts w:ascii="Arial" w:cs="Arial" w:eastAsia="Arial" w:hAnsi="Arial"/>
                <w:sz w:val="16"/>
                <w:szCs w:val="16"/>
                <w:color w:val="auto"/>
              </w:rPr>
              <w:t>3.64</w:t>
            </w:r>
          </w:p>
        </w:tc>
      </w:tr>
      <w:tr>
        <w:trPr>
          <w:trHeight w:val="200"/>
        </w:trPr>
        <w:tc>
          <w:tcPr>
            <w:tcW w:w="8820" w:type="dxa"/>
            <w:vAlign w:val="bottom"/>
          </w:tcPr>
          <w:p>
            <w:pPr>
              <w:spacing w:after="0"/>
              <w:rPr>
                <w:sz w:val="20"/>
                <w:szCs w:val="20"/>
                <w:color w:val="auto"/>
              </w:rPr>
            </w:pPr>
            <w:r>
              <w:rPr>
                <w:rFonts w:ascii="Arial" w:cs="Arial" w:eastAsia="Arial" w:hAnsi="Arial"/>
                <w:sz w:val="16"/>
                <w:szCs w:val="16"/>
                <w:color w:val="auto"/>
              </w:rPr>
              <w:t>December 31, 2013</w:t>
            </w:r>
          </w:p>
        </w:tc>
        <w:tc>
          <w:tcPr>
            <w:tcW w:w="1260" w:type="dxa"/>
            <w:vAlign w:val="bottom"/>
          </w:tcPr>
          <w:p>
            <w:pPr>
              <w:jc w:val="right"/>
              <w:ind w:right="381"/>
              <w:spacing w:after="0"/>
              <w:rPr>
                <w:sz w:val="20"/>
                <w:szCs w:val="20"/>
                <w:color w:val="auto"/>
              </w:rPr>
            </w:pPr>
            <w:r>
              <w:rPr>
                <w:rFonts w:ascii="Arial" w:cs="Arial" w:eastAsia="Arial" w:hAnsi="Arial"/>
                <w:sz w:val="16"/>
                <w:szCs w:val="16"/>
                <w:color w:val="auto"/>
              </w:rPr>
              <w:t>4.12</w:t>
            </w:r>
          </w:p>
        </w:tc>
        <w:tc>
          <w:tcPr>
            <w:tcW w:w="1360" w:type="dxa"/>
            <w:vAlign w:val="bottom"/>
            <w:gridSpan w:val="2"/>
          </w:tcPr>
          <w:p>
            <w:pPr>
              <w:jc w:val="right"/>
              <w:ind w:right="381"/>
              <w:spacing w:after="0"/>
              <w:rPr>
                <w:sz w:val="20"/>
                <w:szCs w:val="20"/>
                <w:color w:val="auto"/>
              </w:rPr>
            </w:pPr>
            <w:r>
              <w:rPr>
                <w:rFonts w:ascii="Arial" w:cs="Arial" w:eastAsia="Arial" w:hAnsi="Arial"/>
                <w:sz w:val="16"/>
                <w:szCs w:val="16"/>
                <w:color w:val="auto"/>
              </w:rPr>
              <w:t>3.28</w:t>
            </w:r>
          </w:p>
        </w:tc>
      </w:tr>
    </w:tbl>
    <w:p>
      <w:pPr>
        <w:spacing w:after="0" w:line="18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March 6, 2014 the closing price of our common stock reported on the NYSE MKT was $3.83 per share.</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February 28, 2014, there were 15,074 holders of the common shares based on the share position listing.</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table shows certain information concerning the options outstanding and available for issuance under all of our compensation plans and agreements as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Number of Shares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Number of Shares</w:t>
            </w:r>
          </w:p>
        </w:tc>
      </w:tr>
      <w:tr>
        <w:trPr>
          <w:trHeight w:val="189"/>
        </w:trPr>
        <w:tc>
          <w:tcPr>
            <w:tcW w:w="48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to be Issued upon</w:t>
            </w:r>
          </w:p>
        </w:tc>
        <w:tc>
          <w:tcPr>
            <w:tcW w:w="12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Weighted Average</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r>
      <w:tr>
        <w:trPr>
          <w:trHeight w:val="189"/>
        </w:trPr>
        <w:tc>
          <w:tcPr>
            <w:tcW w:w="48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Exercise of</w:t>
            </w:r>
          </w:p>
        </w:tc>
        <w:tc>
          <w:tcPr>
            <w:tcW w:w="12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Exercise Price of</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Available for</w:t>
            </w:r>
          </w:p>
        </w:tc>
      </w:tr>
      <w:tr>
        <w:trPr>
          <w:trHeight w:val="189"/>
        </w:trPr>
        <w:tc>
          <w:tcPr>
            <w:tcW w:w="48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ind w:right="1"/>
              <w:spacing w:after="0"/>
              <w:rPr>
                <w:sz w:val="20"/>
                <w:szCs w:val="20"/>
                <w:color w:val="auto"/>
              </w:rPr>
            </w:pPr>
            <w:r>
              <w:rPr>
                <w:rFonts w:ascii="Arial" w:cs="Arial" w:eastAsia="Arial" w:hAnsi="Arial"/>
                <w:sz w:val="16"/>
                <w:szCs w:val="16"/>
                <w:b w:val="1"/>
                <w:bCs w:val="1"/>
                <w:color w:val="auto"/>
                <w:w w:val="87"/>
              </w:rPr>
              <w:t>the Outstanding</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7"/>
              </w:rPr>
              <w:t>Future Issuance</w:t>
            </w:r>
          </w:p>
        </w:tc>
      </w:tr>
      <w:tr>
        <w:trPr>
          <w:trHeight w:val="189"/>
        </w:trPr>
        <w:tc>
          <w:tcPr>
            <w:tcW w:w="48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ind w:right="1"/>
              <w:spacing w:after="0"/>
              <w:rPr>
                <w:sz w:val="20"/>
                <w:szCs w:val="20"/>
                <w:color w:val="auto"/>
              </w:rPr>
            </w:pPr>
            <w:r>
              <w:rPr>
                <w:rFonts w:ascii="Arial" w:cs="Arial" w:eastAsia="Arial" w:hAnsi="Arial"/>
                <w:sz w:val="16"/>
                <w:szCs w:val="16"/>
                <w:b w:val="1"/>
                <w:bCs w:val="1"/>
                <w:color w:val="auto"/>
                <w:w w:val="86"/>
              </w:rPr>
              <w:t>Options,</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under Equity</w:t>
            </w:r>
          </w:p>
        </w:tc>
      </w:tr>
      <w:tr>
        <w:trPr>
          <w:trHeight w:val="189"/>
        </w:trPr>
        <w:tc>
          <w:tcPr>
            <w:tcW w:w="48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Warrants, and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Warrants, and</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Compensation</w:t>
            </w:r>
          </w:p>
        </w:tc>
      </w:tr>
      <w:tr>
        <w:trPr>
          <w:trHeight w:val="209"/>
        </w:trPr>
        <w:tc>
          <w:tcPr>
            <w:tcW w:w="4860" w:type="dxa"/>
            <w:vAlign w:val="bottom"/>
          </w:tcPr>
          <w:p>
            <w:pPr>
              <w:spacing w:after="0"/>
              <w:rPr>
                <w:sz w:val="20"/>
                <w:szCs w:val="20"/>
                <w:color w:val="auto"/>
              </w:rPr>
            </w:pPr>
            <w:r>
              <w:rPr>
                <w:rFonts w:ascii="Arial" w:cs="Arial" w:eastAsia="Arial" w:hAnsi="Arial"/>
                <w:sz w:val="16"/>
                <w:szCs w:val="16"/>
                <w:b w:val="1"/>
                <w:bCs w:val="1"/>
                <w:color w:val="auto"/>
              </w:rPr>
              <w:t>Plan Category</w:t>
            </w:r>
          </w:p>
        </w:tc>
        <w:tc>
          <w:tcPr>
            <w:tcW w:w="25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Rights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8"/>
              </w:rPr>
              <w:t>Rights</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w:t>
            </w:r>
          </w:p>
        </w:tc>
      </w:tr>
      <w:tr>
        <w:trPr>
          <w:trHeight w:val="189"/>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BioTime Equity Compensation Plans Approved by Shareholders</w:t>
            </w:r>
          </w:p>
        </w:tc>
        <w:tc>
          <w:tcPr>
            <w:tcW w:w="25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4,567,135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2,315,000</w:t>
            </w:r>
          </w:p>
        </w:tc>
      </w:tr>
      <w:tr>
        <w:trPr>
          <w:trHeight w:val="522"/>
        </w:trPr>
        <w:tc>
          <w:tcPr>
            <w:tcW w:w="4860" w:type="dxa"/>
            <w:vAlign w:val="bottom"/>
          </w:tcPr>
          <w:p>
            <w:pPr>
              <w:spacing w:after="0"/>
              <w:rPr>
                <w:sz w:val="24"/>
                <w:szCs w:val="24"/>
                <w:color w:val="auto"/>
              </w:rPr>
            </w:pPr>
          </w:p>
        </w:tc>
        <w:tc>
          <w:tcPr>
            <w:tcW w:w="2580" w:type="dxa"/>
            <w:vAlign w:val="bottom"/>
          </w:tcPr>
          <w:p>
            <w:pPr>
              <w:jc w:val="right"/>
              <w:ind w:right="1597"/>
              <w:spacing w:after="0"/>
              <w:rPr>
                <w:sz w:val="20"/>
                <w:szCs w:val="20"/>
                <w:color w:val="auto"/>
              </w:rPr>
            </w:pPr>
            <w:r>
              <w:rPr>
                <w:rFonts w:ascii="Arial" w:cs="Arial" w:eastAsia="Arial" w:hAnsi="Arial"/>
                <w:sz w:val="13"/>
                <w:szCs w:val="13"/>
                <w:color w:val="auto"/>
              </w:rPr>
              <w:t>77</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
        </w:trPr>
        <w:tc>
          <w:tcPr>
            <w:tcW w:w="486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4" w:right="219" w:bottom="1440" w:gutter="0" w:footer="0" w:header="0"/>
        </w:sectPr>
      </w:pPr>
    </w:p>
    <w:bookmarkStart w:id="77" w:name="page78"/>
    <w:bookmarkEnd w:id="77"/>
    <w:p>
      <w:pPr>
        <w:ind w:left="5"/>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7" w:lineRule="exact"/>
        <w:rPr>
          <w:sz w:val="20"/>
          <w:szCs w:val="20"/>
          <w:color w:val="auto"/>
        </w:rPr>
      </w:pPr>
    </w:p>
    <w:p>
      <w:pPr>
        <w:ind w:left="5" w:right="260" w:firstLine="567"/>
        <w:spacing w:after="0" w:line="267" w:lineRule="auto"/>
        <w:rPr>
          <w:sz w:val="20"/>
          <w:szCs w:val="20"/>
          <w:color w:val="auto"/>
        </w:rPr>
      </w:pPr>
      <w:r>
        <w:rPr>
          <w:rFonts w:ascii="Arial" w:cs="Arial" w:eastAsia="Arial" w:hAnsi="Arial"/>
          <w:sz w:val="16"/>
          <w:szCs w:val="16"/>
          <w:color w:val="auto"/>
        </w:rPr>
        <w:t>The following table shows certain information concerning the options outstanding and available for issuance under all of the compensation plans and agreements for our subsidiary companies as of December 31, 2013:</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8"/>
              </w:rPr>
              <w:t>Number of Shares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Number of Shares</w:t>
            </w:r>
          </w:p>
        </w:tc>
      </w:tr>
      <w:tr>
        <w:trPr>
          <w:trHeight w:val="189"/>
        </w:trPr>
        <w:tc>
          <w:tcPr>
            <w:tcW w:w="74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to be Issued upon</w:t>
            </w:r>
          </w:p>
        </w:tc>
        <w:tc>
          <w:tcPr>
            <w:tcW w:w="12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w w:val="87"/>
              </w:rPr>
              <w:t>Weighted Average</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r>
      <w:tr>
        <w:trPr>
          <w:trHeight w:val="189"/>
        </w:trPr>
        <w:tc>
          <w:tcPr>
            <w:tcW w:w="74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Exercise of</w:t>
            </w:r>
          </w:p>
        </w:tc>
        <w:tc>
          <w:tcPr>
            <w:tcW w:w="12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6"/>
              </w:rPr>
              <w:t>Exercise Price of</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Available for</w:t>
            </w:r>
          </w:p>
        </w:tc>
      </w:tr>
      <w:tr>
        <w:trPr>
          <w:trHeight w:val="189"/>
        </w:trPr>
        <w:tc>
          <w:tcPr>
            <w:tcW w:w="74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ind w:right="1"/>
              <w:spacing w:after="0"/>
              <w:rPr>
                <w:sz w:val="20"/>
                <w:szCs w:val="20"/>
                <w:color w:val="auto"/>
              </w:rPr>
            </w:pPr>
            <w:r>
              <w:rPr>
                <w:rFonts w:ascii="Arial" w:cs="Arial" w:eastAsia="Arial" w:hAnsi="Arial"/>
                <w:sz w:val="16"/>
                <w:szCs w:val="16"/>
                <w:b w:val="1"/>
                <w:bCs w:val="1"/>
                <w:color w:val="auto"/>
                <w:w w:val="87"/>
              </w:rPr>
              <w:t>the Outstanding</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7"/>
              </w:rPr>
              <w:t>Future Issuance</w:t>
            </w:r>
          </w:p>
        </w:tc>
      </w:tr>
      <w:tr>
        <w:trPr>
          <w:trHeight w:val="189"/>
        </w:trPr>
        <w:tc>
          <w:tcPr>
            <w:tcW w:w="74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ind w:right="1"/>
              <w:spacing w:after="0"/>
              <w:rPr>
                <w:sz w:val="20"/>
                <w:szCs w:val="20"/>
                <w:color w:val="auto"/>
              </w:rPr>
            </w:pPr>
            <w:r>
              <w:rPr>
                <w:rFonts w:ascii="Arial" w:cs="Arial" w:eastAsia="Arial" w:hAnsi="Arial"/>
                <w:sz w:val="16"/>
                <w:szCs w:val="16"/>
                <w:b w:val="1"/>
                <w:bCs w:val="1"/>
                <w:color w:val="auto"/>
                <w:w w:val="86"/>
              </w:rPr>
              <w:t>Options,</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under Equity</w:t>
            </w:r>
          </w:p>
        </w:tc>
      </w:tr>
      <w:tr>
        <w:trPr>
          <w:trHeight w:val="189"/>
        </w:trPr>
        <w:tc>
          <w:tcPr>
            <w:tcW w:w="74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Warrants, and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Warrants, and</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Compensation</w:t>
            </w:r>
          </w:p>
        </w:tc>
      </w:tr>
      <w:tr>
        <w:trPr>
          <w:trHeight w:val="209"/>
        </w:trPr>
        <w:tc>
          <w:tcPr>
            <w:tcW w:w="7440" w:type="dxa"/>
            <w:vAlign w:val="bottom"/>
          </w:tcPr>
          <w:p>
            <w:pPr>
              <w:spacing w:after="0"/>
              <w:rPr>
                <w:sz w:val="18"/>
                <w:szCs w:val="18"/>
                <w:color w:val="auto"/>
              </w:rPr>
            </w:pPr>
          </w:p>
        </w:tc>
        <w:tc>
          <w:tcPr>
            <w:tcW w:w="12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Rights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Rights</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Plans</w:t>
            </w:r>
          </w:p>
        </w:tc>
      </w:tr>
      <w:tr>
        <w:trPr>
          <w:trHeight w:val="189"/>
        </w:trPr>
        <w:tc>
          <w:tcPr>
            <w:tcW w:w="74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Asterias Equity Compensation Plans Approved by Shareholders</w:t>
            </w:r>
            <w:r>
              <w:rPr>
                <w:rFonts w:ascii="Arial" w:cs="Arial" w:eastAsia="Arial" w:hAnsi="Arial"/>
                <w:sz w:val="21"/>
                <w:szCs w:val="21"/>
                <w:color w:val="auto"/>
                <w:vertAlign w:val="superscript"/>
              </w:rPr>
              <w:t>(1)(2)</w:t>
            </w:r>
          </w:p>
        </w:tc>
        <w:tc>
          <w:tcPr>
            <w:tcW w:w="128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2,840,000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1,660,000</w:t>
            </w:r>
          </w:p>
        </w:tc>
      </w:tr>
      <w:tr>
        <w:trPr>
          <w:trHeight w:val="189"/>
        </w:trPr>
        <w:tc>
          <w:tcPr>
            <w:tcW w:w="7440" w:type="dxa"/>
            <w:vAlign w:val="bottom"/>
          </w:tcPr>
          <w:p>
            <w:pPr>
              <w:spacing w:after="0" w:line="189" w:lineRule="exact"/>
              <w:rPr>
                <w:sz w:val="20"/>
                <w:szCs w:val="20"/>
                <w:color w:val="auto"/>
              </w:rPr>
            </w:pPr>
            <w:r>
              <w:rPr>
                <w:rFonts w:ascii="Arial" w:cs="Arial" w:eastAsia="Arial" w:hAnsi="Arial"/>
                <w:sz w:val="13"/>
                <w:szCs w:val="13"/>
                <w:color w:val="auto"/>
              </w:rPr>
              <w:t>OrthoCyte Equity Compensation Plans Approved by Shareholders</w:t>
            </w:r>
            <w:r>
              <w:rPr>
                <w:rFonts w:ascii="Arial" w:cs="Arial" w:eastAsia="Arial" w:hAnsi="Arial"/>
                <w:sz w:val="21"/>
                <w:szCs w:val="21"/>
                <w:color w:val="auto"/>
                <w:vertAlign w:val="superscript"/>
              </w:rPr>
              <w:t>(2)</w:t>
            </w:r>
          </w:p>
        </w:tc>
        <w:tc>
          <w:tcPr>
            <w:tcW w:w="1280" w:type="dxa"/>
            <w:vAlign w:val="bottom"/>
          </w:tcPr>
          <w:p>
            <w:pPr>
              <w:jc w:val="right"/>
              <w:ind w:right="381"/>
              <w:spacing w:after="0"/>
              <w:rPr>
                <w:sz w:val="20"/>
                <w:szCs w:val="20"/>
                <w:color w:val="auto"/>
              </w:rPr>
            </w:pPr>
            <w:r>
              <w:rPr>
                <w:rFonts w:ascii="Arial" w:cs="Arial" w:eastAsia="Arial" w:hAnsi="Arial"/>
                <w:sz w:val="16"/>
                <w:szCs w:val="16"/>
                <w:color w:val="auto"/>
              </w:rPr>
              <w:t>2,645,000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61"/>
              <w:spacing w:after="0"/>
              <w:rPr>
                <w:sz w:val="20"/>
                <w:szCs w:val="20"/>
                <w:color w:val="auto"/>
              </w:rPr>
            </w:pPr>
            <w:r>
              <w:rPr>
                <w:rFonts w:ascii="Arial" w:cs="Arial" w:eastAsia="Arial" w:hAnsi="Arial"/>
                <w:sz w:val="16"/>
                <w:szCs w:val="16"/>
                <w:color w:val="auto"/>
              </w:rPr>
              <w:t>0.08</w:t>
            </w:r>
          </w:p>
        </w:tc>
        <w:tc>
          <w:tcPr>
            <w:tcW w:w="1360" w:type="dxa"/>
            <w:vAlign w:val="bottom"/>
            <w:gridSpan w:val="2"/>
          </w:tcPr>
          <w:p>
            <w:pPr>
              <w:jc w:val="right"/>
              <w:ind w:right="381"/>
              <w:spacing w:after="0"/>
              <w:rPr>
                <w:sz w:val="20"/>
                <w:szCs w:val="20"/>
                <w:color w:val="auto"/>
              </w:rPr>
            </w:pPr>
            <w:r>
              <w:rPr>
                <w:rFonts w:ascii="Arial" w:cs="Arial" w:eastAsia="Arial" w:hAnsi="Arial"/>
                <w:sz w:val="16"/>
                <w:szCs w:val="16"/>
                <w:color w:val="auto"/>
              </w:rPr>
              <w:t>1,355,000</w:t>
            </w:r>
          </w:p>
        </w:tc>
      </w:tr>
      <w:tr>
        <w:trPr>
          <w:trHeight w:val="189"/>
        </w:trPr>
        <w:tc>
          <w:tcPr>
            <w:tcW w:w="74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OncoCyte Equity Compensation Plans Approved by Shareholders</w:t>
            </w:r>
            <w:r>
              <w:rPr>
                <w:rFonts w:ascii="Arial" w:cs="Arial" w:eastAsia="Arial" w:hAnsi="Arial"/>
                <w:sz w:val="21"/>
                <w:szCs w:val="21"/>
                <w:color w:val="auto"/>
                <w:vertAlign w:val="superscript"/>
              </w:rPr>
              <w:t>(2)</w:t>
            </w:r>
          </w:p>
        </w:tc>
        <w:tc>
          <w:tcPr>
            <w:tcW w:w="128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2,750,000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0.76</w:t>
            </w:r>
          </w:p>
        </w:tc>
        <w:tc>
          <w:tcPr>
            <w:tcW w:w="1360" w:type="dxa"/>
            <w:vAlign w:val="bottom"/>
            <w:gridSpan w:val="2"/>
            <w:shd w:val="clear" w:color="auto" w:fill="CCEEFF"/>
          </w:tcPr>
          <w:p>
            <w:pPr>
              <w:jc w:val="right"/>
              <w:ind w:right="381"/>
              <w:spacing w:after="0"/>
              <w:rPr>
                <w:sz w:val="20"/>
                <w:szCs w:val="20"/>
                <w:color w:val="auto"/>
              </w:rPr>
            </w:pPr>
            <w:r>
              <w:rPr>
                <w:rFonts w:ascii="Arial" w:cs="Arial" w:eastAsia="Arial" w:hAnsi="Arial"/>
                <w:sz w:val="16"/>
                <w:szCs w:val="16"/>
                <w:color w:val="auto"/>
              </w:rPr>
              <w:t>1,250,000</w:t>
            </w:r>
          </w:p>
        </w:tc>
      </w:tr>
      <w:tr>
        <w:trPr>
          <w:trHeight w:val="189"/>
        </w:trPr>
        <w:tc>
          <w:tcPr>
            <w:tcW w:w="7440" w:type="dxa"/>
            <w:vAlign w:val="bottom"/>
          </w:tcPr>
          <w:p>
            <w:pPr>
              <w:spacing w:after="0" w:line="189" w:lineRule="exact"/>
              <w:rPr>
                <w:sz w:val="20"/>
                <w:szCs w:val="20"/>
                <w:color w:val="auto"/>
              </w:rPr>
            </w:pPr>
            <w:r>
              <w:rPr>
                <w:rFonts w:ascii="Arial" w:cs="Arial" w:eastAsia="Arial" w:hAnsi="Arial"/>
                <w:sz w:val="13"/>
                <w:szCs w:val="13"/>
                <w:color w:val="auto"/>
              </w:rPr>
              <w:t>ReCyte Therapeutics Equity Compensation Plans Approved by Shareholders</w:t>
            </w:r>
            <w:r>
              <w:rPr>
                <w:rFonts w:ascii="Arial" w:cs="Arial" w:eastAsia="Arial" w:hAnsi="Arial"/>
                <w:sz w:val="21"/>
                <w:szCs w:val="21"/>
                <w:color w:val="auto"/>
                <w:vertAlign w:val="superscript"/>
              </w:rPr>
              <w:t>(2)</w:t>
            </w:r>
          </w:p>
        </w:tc>
        <w:tc>
          <w:tcPr>
            <w:tcW w:w="1280" w:type="dxa"/>
            <w:vAlign w:val="bottom"/>
          </w:tcPr>
          <w:p>
            <w:pPr>
              <w:jc w:val="right"/>
              <w:ind w:right="381"/>
              <w:spacing w:after="0"/>
              <w:rPr>
                <w:sz w:val="20"/>
                <w:szCs w:val="20"/>
                <w:color w:val="auto"/>
              </w:rPr>
            </w:pPr>
            <w:r>
              <w:rPr>
                <w:rFonts w:ascii="Arial" w:cs="Arial" w:eastAsia="Arial" w:hAnsi="Arial"/>
                <w:sz w:val="16"/>
                <w:szCs w:val="16"/>
                <w:color w:val="auto"/>
              </w:rPr>
              <w:t>1,290,000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61"/>
              <w:spacing w:after="0"/>
              <w:rPr>
                <w:sz w:val="20"/>
                <w:szCs w:val="20"/>
                <w:color w:val="auto"/>
              </w:rPr>
            </w:pPr>
            <w:r>
              <w:rPr>
                <w:rFonts w:ascii="Arial" w:cs="Arial" w:eastAsia="Arial" w:hAnsi="Arial"/>
                <w:sz w:val="16"/>
                <w:szCs w:val="16"/>
                <w:color w:val="auto"/>
              </w:rPr>
              <w:t>2.05</w:t>
            </w:r>
          </w:p>
        </w:tc>
        <w:tc>
          <w:tcPr>
            <w:tcW w:w="1360" w:type="dxa"/>
            <w:vAlign w:val="bottom"/>
            <w:gridSpan w:val="2"/>
          </w:tcPr>
          <w:p>
            <w:pPr>
              <w:jc w:val="right"/>
              <w:ind w:right="381"/>
              <w:spacing w:after="0"/>
              <w:rPr>
                <w:sz w:val="20"/>
                <w:szCs w:val="20"/>
                <w:color w:val="auto"/>
              </w:rPr>
            </w:pPr>
            <w:r>
              <w:rPr>
                <w:rFonts w:ascii="Arial" w:cs="Arial" w:eastAsia="Arial" w:hAnsi="Arial"/>
                <w:sz w:val="16"/>
                <w:szCs w:val="16"/>
                <w:color w:val="auto"/>
              </w:rPr>
              <w:t>2,710,000</w:t>
            </w:r>
          </w:p>
        </w:tc>
      </w:tr>
      <w:tr>
        <w:trPr>
          <w:trHeight w:val="189"/>
        </w:trPr>
        <w:tc>
          <w:tcPr>
            <w:tcW w:w="74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BioTime Asia Equity Compensation Plans Approved by Shareholders</w:t>
            </w:r>
            <w:r>
              <w:rPr>
                <w:rFonts w:ascii="Arial" w:cs="Arial" w:eastAsia="Arial" w:hAnsi="Arial"/>
                <w:sz w:val="21"/>
                <w:szCs w:val="21"/>
                <w:color w:val="auto"/>
                <w:vertAlign w:val="superscript"/>
              </w:rPr>
              <w:t>(2)</w:t>
            </w:r>
          </w:p>
        </w:tc>
        <w:tc>
          <w:tcPr>
            <w:tcW w:w="128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400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0.01</w:t>
            </w:r>
          </w:p>
        </w:tc>
        <w:tc>
          <w:tcPr>
            <w:tcW w:w="1360" w:type="dxa"/>
            <w:vAlign w:val="bottom"/>
            <w:gridSpan w:val="2"/>
            <w:shd w:val="clear" w:color="auto" w:fill="CCEEFF"/>
          </w:tcPr>
          <w:p>
            <w:pPr>
              <w:jc w:val="right"/>
              <w:ind w:right="381"/>
              <w:spacing w:after="0"/>
              <w:rPr>
                <w:sz w:val="20"/>
                <w:szCs w:val="20"/>
                <w:color w:val="auto"/>
              </w:rPr>
            </w:pPr>
            <w:r>
              <w:rPr>
                <w:rFonts w:ascii="Arial" w:cs="Arial" w:eastAsia="Arial" w:hAnsi="Arial"/>
                <w:sz w:val="16"/>
                <w:szCs w:val="16"/>
                <w:color w:val="auto"/>
              </w:rPr>
              <w:t>1,200</w:t>
            </w:r>
          </w:p>
        </w:tc>
      </w:tr>
      <w:tr>
        <w:trPr>
          <w:trHeight w:val="189"/>
        </w:trPr>
        <w:tc>
          <w:tcPr>
            <w:tcW w:w="7440" w:type="dxa"/>
            <w:vAlign w:val="bottom"/>
          </w:tcPr>
          <w:p>
            <w:pPr>
              <w:spacing w:after="0" w:line="189" w:lineRule="exact"/>
              <w:rPr>
                <w:sz w:val="20"/>
                <w:szCs w:val="20"/>
                <w:color w:val="auto"/>
              </w:rPr>
            </w:pPr>
            <w:r>
              <w:rPr>
                <w:rFonts w:ascii="Arial" w:cs="Arial" w:eastAsia="Arial" w:hAnsi="Arial"/>
                <w:sz w:val="13"/>
                <w:szCs w:val="13"/>
                <w:color w:val="auto"/>
              </w:rPr>
              <w:t>Cell Cure Neurosciences Compensation Plans Approved by Shareholders</w:t>
            </w:r>
            <w:r>
              <w:rPr>
                <w:rFonts w:ascii="Arial" w:cs="Arial" w:eastAsia="Arial" w:hAnsi="Arial"/>
                <w:sz w:val="21"/>
                <w:szCs w:val="21"/>
                <w:color w:val="auto"/>
                <w:vertAlign w:val="superscript"/>
              </w:rPr>
              <w:t>(2)</w:t>
            </w:r>
          </w:p>
        </w:tc>
        <w:tc>
          <w:tcPr>
            <w:tcW w:w="1280" w:type="dxa"/>
            <w:vAlign w:val="bottom"/>
          </w:tcPr>
          <w:p>
            <w:pPr>
              <w:jc w:val="right"/>
              <w:ind w:right="381"/>
              <w:spacing w:after="0"/>
              <w:rPr>
                <w:sz w:val="20"/>
                <w:szCs w:val="20"/>
                <w:color w:val="auto"/>
              </w:rPr>
            </w:pPr>
            <w:r>
              <w:rPr>
                <w:rFonts w:ascii="Arial" w:cs="Arial" w:eastAsia="Arial" w:hAnsi="Arial"/>
                <w:sz w:val="16"/>
                <w:szCs w:val="16"/>
                <w:color w:val="auto"/>
              </w:rPr>
              <w:t>23,978</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61"/>
              <w:spacing w:after="0"/>
              <w:rPr>
                <w:sz w:val="20"/>
                <w:szCs w:val="20"/>
                <w:color w:val="auto"/>
              </w:rPr>
            </w:pPr>
            <w:r>
              <w:rPr>
                <w:rFonts w:ascii="Arial" w:cs="Arial" w:eastAsia="Arial" w:hAnsi="Arial"/>
                <w:sz w:val="16"/>
                <w:szCs w:val="16"/>
                <w:color w:val="auto"/>
              </w:rPr>
              <w:t>27.89</w:t>
            </w:r>
          </w:p>
        </w:tc>
        <w:tc>
          <w:tcPr>
            <w:tcW w:w="1360" w:type="dxa"/>
            <w:vAlign w:val="bottom"/>
            <w:gridSpan w:val="2"/>
          </w:tcPr>
          <w:p>
            <w:pPr>
              <w:jc w:val="right"/>
              <w:ind w:right="381"/>
              <w:spacing w:after="0"/>
              <w:rPr>
                <w:sz w:val="20"/>
                <w:szCs w:val="20"/>
                <w:color w:val="auto"/>
              </w:rPr>
            </w:pPr>
            <w:r>
              <w:rPr>
                <w:rFonts w:ascii="Arial" w:cs="Arial" w:eastAsia="Arial" w:hAnsi="Arial"/>
                <w:sz w:val="16"/>
                <w:szCs w:val="16"/>
                <w:color w:val="auto"/>
              </w:rPr>
              <w:t>1,860</w:t>
            </w:r>
          </w:p>
        </w:tc>
      </w:tr>
      <w:tr>
        <w:trPr>
          <w:trHeight w:val="189"/>
        </w:trPr>
        <w:tc>
          <w:tcPr>
            <w:tcW w:w="74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LifeMap Sciences Equity Compensation Plans Approved by Shareholders</w:t>
            </w:r>
            <w:r>
              <w:rPr>
                <w:rFonts w:ascii="Arial" w:cs="Arial" w:eastAsia="Arial" w:hAnsi="Arial"/>
                <w:sz w:val="21"/>
                <w:szCs w:val="21"/>
                <w:color w:val="auto"/>
                <w:vertAlign w:val="superscript"/>
              </w:rPr>
              <w:t>(2)</w:t>
            </w:r>
          </w:p>
        </w:tc>
        <w:tc>
          <w:tcPr>
            <w:tcW w:w="128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1,928,768</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1.49</w:t>
            </w:r>
          </w:p>
        </w:tc>
        <w:tc>
          <w:tcPr>
            <w:tcW w:w="1360" w:type="dxa"/>
            <w:vAlign w:val="bottom"/>
            <w:gridSpan w:val="2"/>
            <w:shd w:val="clear" w:color="auto" w:fill="CCEEFF"/>
          </w:tcPr>
          <w:p>
            <w:pPr>
              <w:jc w:val="right"/>
              <w:ind w:right="381"/>
              <w:spacing w:after="0"/>
              <w:rPr>
                <w:sz w:val="20"/>
                <w:szCs w:val="20"/>
                <w:color w:val="auto"/>
              </w:rPr>
            </w:pPr>
            <w:r>
              <w:rPr>
                <w:rFonts w:ascii="Arial" w:cs="Arial" w:eastAsia="Arial" w:hAnsi="Arial"/>
                <w:sz w:val="16"/>
                <w:szCs w:val="16"/>
                <w:color w:val="auto"/>
              </w:rPr>
              <w:t>413,501</w:t>
            </w:r>
          </w:p>
        </w:tc>
      </w:tr>
    </w:tbl>
    <w:p>
      <w:pPr>
        <w:spacing w:after="0" w:line="200" w:lineRule="exact"/>
        <w:rPr>
          <w:sz w:val="20"/>
          <w:szCs w:val="20"/>
          <w:color w:val="auto"/>
        </w:rPr>
      </w:pPr>
    </w:p>
    <w:p>
      <w:pPr>
        <w:ind w:left="285" w:hanging="285"/>
        <w:spacing w:after="0"/>
        <w:tabs>
          <w:tab w:leader="none" w:pos="2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50,000 options for which the exercise prices had not been determined as of December 31, 2013.</w:t>
      </w:r>
    </w:p>
    <w:p>
      <w:pPr>
        <w:spacing w:after="0" w:line="217" w:lineRule="exact"/>
        <w:rPr>
          <w:rFonts w:ascii="Arial" w:cs="Arial" w:eastAsia="Arial" w:hAnsi="Arial"/>
          <w:sz w:val="16"/>
          <w:szCs w:val="16"/>
          <w:color w:val="auto"/>
        </w:rPr>
      </w:pPr>
    </w:p>
    <w:p>
      <w:pPr>
        <w:ind w:left="285" w:hanging="285"/>
        <w:spacing w:after="0"/>
        <w:tabs>
          <w:tab w:leader="none" w:pos="2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BioTime is, directly or through one or more subsidiaries, the majority shareholder.</w:t>
      </w:r>
    </w:p>
    <w:p>
      <w:pPr>
        <w:spacing w:after="0" w:line="218" w:lineRule="exact"/>
        <w:rPr>
          <w:sz w:val="20"/>
          <w:szCs w:val="20"/>
          <w:color w:val="auto"/>
        </w:rPr>
      </w:pPr>
    </w:p>
    <w:p>
      <w:pPr>
        <w:ind w:left="565"/>
        <w:spacing w:after="0"/>
        <w:rPr>
          <w:sz w:val="20"/>
          <w:szCs w:val="20"/>
          <w:color w:val="auto"/>
        </w:rPr>
      </w:pPr>
      <w:r>
        <w:rPr>
          <w:rFonts w:ascii="Arial" w:cs="Arial" w:eastAsia="Arial" w:hAnsi="Arial"/>
          <w:sz w:val="15"/>
          <w:szCs w:val="15"/>
          <w:color w:val="auto"/>
        </w:rPr>
        <w:t>Additional information concerning our stock option plan and the stock options of our subsidiaries may be found in Note 10 to the Consolidated Financial Statements.</w:t>
      </w:r>
    </w:p>
    <w:p>
      <w:pPr>
        <w:spacing w:after="0" w:line="22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Dividend Policy</w:t>
      </w:r>
    </w:p>
    <w:p>
      <w:pPr>
        <w:spacing w:after="0" w:line="222" w:lineRule="exact"/>
        <w:rPr>
          <w:sz w:val="20"/>
          <w:szCs w:val="20"/>
          <w:color w:val="auto"/>
        </w:rPr>
      </w:pPr>
    </w:p>
    <w:p>
      <w:pPr>
        <w:ind w:left="5" w:right="160" w:firstLine="567"/>
        <w:spacing w:after="0" w:line="253" w:lineRule="auto"/>
        <w:rPr>
          <w:sz w:val="20"/>
          <w:szCs w:val="20"/>
          <w:color w:val="auto"/>
        </w:rPr>
      </w:pPr>
      <w:r>
        <w:rPr>
          <w:rFonts w:ascii="Arial" w:cs="Arial" w:eastAsia="Arial" w:hAnsi="Arial"/>
          <w:sz w:val="16"/>
          <w:szCs w:val="16"/>
          <w:color w:val="auto"/>
        </w:rPr>
        <w:t>We have never paid cash dividends on our capital stock and, except for semi-annual dividends on our Series A Convertible Preferred Stock, do not anticipate paying cash dividends in the foreseeable future, but intend to retain our capital resources for reinvestment in our business. Any future determination to pay cash dividends on our capital stock, other than our Series A Convertible Preferred Stock, will be at the discretion of our Board of Directors and will be dependent upon our financial condition, results of operations, capital requirements and other factors as the Board of Directors deems relevant.</w:t>
      </w:r>
    </w:p>
    <w:p>
      <w:pPr>
        <w:spacing w:after="0" w:line="355"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78" w:name="page79"/>
    <w:bookmarkEnd w:id="7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Performance Measurement Comparison </w:t>
      </w:r>
      <w:r>
        <w:rPr>
          <w:rFonts w:ascii="Arial" w:cs="Arial" w:eastAsia="Arial" w:hAnsi="Arial"/>
          <w:sz w:val="16"/>
          <w:szCs w:val="16"/>
          <w:color w:val="auto"/>
        </w:rPr>
        <w:t>(1)</w:t>
      </w:r>
    </w:p>
    <w:p>
      <w:pPr>
        <w:spacing w:after="0" w:line="222" w:lineRule="exact"/>
        <w:rPr>
          <w:sz w:val="20"/>
          <w:szCs w:val="20"/>
          <w:color w:val="auto"/>
        </w:rPr>
      </w:pPr>
    </w:p>
    <w:p>
      <w:pPr>
        <w:ind w:right="300" w:firstLine="567"/>
        <w:spacing w:after="0" w:line="268" w:lineRule="auto"/>
        <w:rPr>
          <w:sz w:val="20"/>
          <w:szCs w:val="20"/>
          <w:color w:val="auto"/>
        </w:rPr>
      </w:pPr>
      <w:r>
        <w:rPr>
          <w:rFonts w:ascii="Arial" w:cs="Arial" w:eastAsia="Arial" w:hAnsi="Arial"/>
          <w:sz w:val="15"/>
          <w:szCs w:val="15"/>
          <w:color w:val="auto"/>
        </w:rPr>
        <w:t>The following graph compares total stockholder returns of BioTime, Inc. for the last five fiscal years beginning December 31, 2008 to two indices: the NYSE Amex Market Value – U.S. Companies (Amex Market Value) and the NYSE Arca Biotechnology Index (NYSE Arca Biotechnology Index). The total return for our stock and for each index assumes the reinvestment of dividends, although we have never declared dividends on BioTime stock, and is based on the returns of the component companies weighted according to their capitalizations as of the end of each quarterly period. The NYSE Amex Market Value tracks the aggregate price performance of equity securities of U.S. companies listed therein. The NYSE Arca Biotechnology Index represents biotechnology companies, trading on NYSE MKT under the Standard Industrial Classification (SIC) Code Nos. 283 (Drugs) and 382 (Laboratory Apparatus and Analytical, Optical) main categories (2834: Pharmaceutical Preparations; 2835: Diagnostic Substances; 2836: Biological Products; 3826: Laboratory Analytical Instruments; and 3829: Measuring &amp; Controlling Devices). BioTime common stock trades on the NYSE MKT and is a component of the NYSE Amex Market Value – US Companies.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Comparison of Five-Year Cumulative Total Return on Investment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2008</w:t>
            </w:r>
          </w:p>
        </w:tc>
        <w:tc>
          <w:tcPr>
            <w:tcW w:w="128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2009</w:t>
            </w:r>
          </w:p>
        </w:tc>
        <w:tc>
          <w:tcPr>
            <w:tcW w:w="12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2010</w:t>
            </w:r>
          </w:p>
        </w:tc>
        <w:tc>
          <w:tcPr>
            <w:tcW w:w="12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2011</w:t>
            </w:r>
          </w:p>
        </w:tc>
        <w:tc>
          <w:tcPr>
            <w:tcW w:w="12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2012</w:t>
            </w:r>
          </w:p>
        </w:tc>
        <w:tc>
          <w:tcPr>
            <w:tcW w:w="12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2013</w:t>
            </w:r>
          </w:p>
        </w:tc>
      </w:tr>
      <w:tr>
        <w:trPr>
          <w:trHeight w:val="189"/>
        </w:trPr>
        <w:tc>
          <w:tcPr>
            <w:tcW w:w="2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77"/>
        </w:trPr>
        <w:tc>
          <w:tcPr>
            <w:tcW w:w="2720" w:type="dxa"/>
            <w:vAlign w:val="bottom"/>
            <w:shd w:val="clear" w:color="auto" w:fill="CCEEFF"/>
          </w:tcPr>
          <w:p>
            <w:pPr>
              <w:spacing w:after="0"/>
              <w:rPr>
                <w:sz w:val="15"/>
                <w:szCs w:val="15"/>
                <w:color w:val="auto"/>
              </w:rPr>
            </w:pPr>
          </w:p>
        </w:tc>
        <w:tc>
          <w:tcPr>
            <w:tcW w:w="1300" w:type="dxa"/>
            <w:vAlign w:val="bottom"/>
            <w:shd w:val="clear" w:color="auto" w:fill="CCEEFF"/>
          </w:tcPr>
          <w:p>
            <w:pPr>
              <w:ind w:left="260"/>
              <w:spacing w:after="0" w:line="177" w:lineRule="exact"/>
              <w:rPr>
                <w:sz w:val="20"/>
                <w:szCs w:val="20"/>
                <w:color w:val="auto"/>
              </w:rPr>
            </w:pPr>
            <w:r>
              <w:rPr>
                <w:rFonts w:ascii="Arial" w:cs="Arial" w:eastAsia="Arial" w:hAnsi="Arial"/>
                <w:sz w:val="16"/>
                <w:szCs w:val="16"/>
                <w:color w:val="auto"/>
              </w:rPr>
              <w:t>Return</w:t>
            </w:r>
          </w:p>
        </w:tc>
        <w:tc>
          <w:tcPr>
            <w:tcW w:w="1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2"/>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BioTime, Inc.</w:t>
            </w:r>
          </w:p>
        </w:tc>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138.98</w:t>
            </w:r>
          </w:p>
        </w:tc>
        <w:tc>
          <w:tcPr>
            <w:tcW w:w="126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96.93</w:t>
            </w:r>
          </w:p>
        </w:tc>
        <w:tc>
          <w:tcPr>
            <w:tcW w:w="12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-30.24</w:t>
            </w:r>
          </w:p>
        </w:tc>
        <w:tc>
          <w:tcPr>
            <w:tcW w:w="12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-45.96</w:t>
            </w:r>
          </w:p>
        </w:tc>
        <w:tc>
          <w:tcPr>
            <w:tcW w:w="12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14.65</w:t>
            </w:r>
          </w:p>
        </w:tc>
      </w:tr>
      <w:tr>
        <w:trPr>
          <w:trHeight w:val="189"/>
        </w:trPr>
        <w:tc>
          <w:tcPr>
            <w:tcW w:w="2720" w:type="dxa"/>
            <w:vAlign w:val="bottom"/>
          </w:tcPr>
          <w:p>
            <w:pPr>
              <w:spacing w:after="0"/>
              <w:rPr>
                <w:sz w:val="16"/>
                <w:szCs w:val="16"/>
                <w:color w:val="auto"/>
              </w:rPr>
            </w:pPr>
          </w:p>
        </w:tc>
        <w:tc>
          <w:tcPr>
            <w:tcW w:w="1300" w:type="dxa"/>
            <w:vAlign w:val="bottom"/>
          </w:tcPr>
          <w:p>
            <w:pPr>
              <w:ind w:left="260"/>
              <w:spacing w:after="0"/>
              <w:rPr>
                <w:sz w:val="20"/>
                <w:szCs w:val="20"/>
                <w:color w:val="auto"/>
              </w:rPr>
            </w:pPr>
            <w:r>
              <w:rPr>
                <w:rFonts w:ascii="Arial" w:cs="Arial" w:eastAsia="Arial" w:hAnsi="Arial"/>
                <w:sz w:val="16"/>
                <w:szCs w:val="16"/>
                <w:color w:val="auto"/>
              </w:rPr>
              <w:t>Cum $</w:t>
            </w:r>
          </w:p>
        </w:tc>
        <w:tc>
          <w:tcPr>
            <w:tcW w:w="1140" w:type="dxa"/>
            <w:vAlign w:val="bottom"/>
          </w:tcPr>
          <w:p>
            <w:pPr>
              <w:jc w:val="right"/>
              <w:ind w:right="361"/>
              <w:spacing w:after="0"/>
              <w:rPr>
                <w:sz w:val="20"/>
                <w:szCs w:val="20"/>
                <w:color w:val="auto"/>
              </w:rPr>
            </w:pPr>
            <w:r>
              <w:rPr>
                <w:rFonts w:ascii="Arial" w:cs="Arial" w:eastAsia="Arial" w:hAnsi="Arial"/>
                <w:sz w:val="16"/>
                <w:szCs w:val="16"/>
                <w:color w:val="auto"/>
              </w:rPr>
              <w:t>100.00</w:t>
            </w:r>
          </w:p>
        </w:tc>
        <w:tc>
          <w:tcPr>
            <w:tcW w:w="1280" w:type="dxa"/>
            <w:vAlign w:val="bottom"/>
          </w:tcPr>
          <w:p>
            <w:pPr>
              <w:jc w:val="right"/>
              <w:ind w:right="363"/>
              <w:spacing w:after="0"/>
              <w:rPr>
                <w:sz w:val="20"/>
                <w:szCs w:val="20"/>
                <w:color w:val="auto"/>
              </w:rPr>
            </w:pPr>
            <w:r>
              <w:rPr>
                <w:rFonts w:ascii="Arial" w:cs="Arial" w:eastAsia="Arial" w:hAnsi="Arial"/>
                <w:sz w:val="16"/>
                <w:szCs w:val="16"/>
                <w:color w:val="auto"/>
              </w:rPr>
              <w:t>238.98</w:t>
            </w:r>
          </w:p>
        </w:tc>
        <w:tc>
          <w:tcPr>
            <w:tcW w:w="1260" w:type="dxa"/>
            <w:vAlign w:val="bottom"/>
          </w:tcPr>
          <w:p>
            <w:pPr>
              <w:jc w:val="right"/>
              <w:ind w:right="341"/>
              <w:spacing w:after="0"/>
              <w:rPr>
                <w:sz w:val="20"/>
                <w:szCs w:val="20"/>
                <w:color w:val="auto"/>
              </w:rPr>
            </w:pPr>
            <w:r>
              <w:rPr>
                <w:rFonts w:ascii="Arial" w:cs="Arial" w:eastAsia="Arial" w:hAnsi="Arial"/>
                <w:sz w:val="16"/>
                <w:szCs w:val="16"/>
                <w:color w:val="auto"/>
              </w:rPr>
              <w:t>470.62</w:t>
            </w:r>
          </w:p>
        </w:tc>
        <w:tc>
          <w:tcPr>
            <w:tcW w:w="1240" w:type="dxa"/>
            <w:vAlign w:val="bottom"/>
          </w:tcPr>
          <w:p>
            <w:pPr>
              <w:jc w:val="right"/>
              <w:ind w:right="341"/>
              <w:spacing w:after="0"/>
              <w:rPr>
                <w:sz w:val="20"/>
                <w:szCs w:val="20"/>
                <w:color w:val="auto"/>
              </w:rPr>
            </w:pPr>
            <w:r>
              <w:rPr>
                <w:rFonts w:ascii="Arial" w:cs="Arial" w:eastAsia="Arial" w:hAnsi="Arial"/>
                <w:sz w:val="16"/>
                <w:szCs w:val="16"/>
                <w:color w:val="auto"/>
              </w:rPr>
              <w:t>328.25</w:t>
            </w:r>
          </w:p>
        </w:tc>
        <w:tc>
          <w:tcPr>
            <w:tcW w:w="1240" w:type="dxa"/>
            <w:vAlign w:val="bottom"/>
          </w:tcPr>
          <w:p>
            <w:pPr>
              <w:jc w:val="right"/>
              <w:ind w:right="341"/>
              <w:spacing w:after="0"/>
              <w:rPr>
                <w:sz w:val="20"/>
                <w:szCs w:val="20"/>
                <w:color w:val="auto"/>
              </w:rPr>
            </w:pPr>
            <w:r>
              <w:rPr>
                <w:rFonts w:ascii="Arial" w:cs="Arial" w:eastAsia="Arial" w:hAnsi="Arial"/>
                <w:sz w:val="16"/>
                <w:szCs w:val="16"/>
                <w:color w:val="auto"/>
              </w:rPr>
              <w:t>177.40</w:t>
            </w:r>
          </w:p>
        </w:tc>
        <w:tc>
          <w:tcPr>
            <w:tcW w:w="1260" w:type="dxa"/>
            <w:vAlign w:val="bottom"/>
          </w:tcPr>
          <w:p>
            <w:pPr>
              <w:jc w:val="right"/>
              <w:ind w:right="381"/>
              <w:spacing w:after="0"/>
              <w:rPr>
                <w:sz w:val="20"/>
                <w:szCs w:val="20"/>
                <w:color w:val="auto"/>
              </w:rPr>
            </w:pPr>
            <w:r>
              <w:rPr>
                <w:rFonts w:ascii="Arial" w:cs="Arial" w:eastAsia="Arial" w:hAnsi="Arial"/>
                <w:sz w:val="16"/>
                <w:szCs w:val="16"/>
                <w:color w:val="auto"/>
              </w:rPr>
              <w:t>203.39</w:t>
            </w:r>
          </w:p>
        </w:tc>
      </w:tr>
      <w:tr>
        <w:trPr>
          <w:trHeight w:val="189"/>
        </w:trPr>
        <w:tc>
          <w:tcPr>
            <w:tcW w:w="27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2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77"/>
        </w:trPr>
        <w:tc>
          <w:tcPr>
            <w:tcW w:w="2720" w:type="dxa"/>
            <w:vAlign w:val="bottom"/>
            <w:shd w:val="clear" w:color="auto" w:fill="CCEEFF"/>
          </w:tcPr>
          <w:p>
            <w:pPr>
              <w:spacing w:after="0"/>
              <w:rPr>
                <w:sz w:val="15"/>
                <w:szCs w:val="15"/>
                <w:color w:val="auto"/>
              </w:rPr>
            </w:pPr>
          </w:p>
        </w:tc>
        <w:tc>
          <w:tcPr>
            <w:tcW w:w="1300" w:type="dxa"/>
            <w:vAlign w:val="bottom"/>
            <w:shd w:val="clear" w:color="auto" w:fill="CCEEFF"/>
          </w:tcPr>
          <w:p>
            <w:pPr>
              <w:ind w:left="260"/>
              <w:spacing w:after="0" w:line="177" w:lineRule="exact"/>
              <w:rPr>
                <w:sz w:val="20"/>
                <w:szCs w:val="20"/>
                <w:color w:val="auto"/>
              </w:rPr>
            </w:pPr>
            <w:r>
              <w:rPr>
                <w:rFonts w:ascii="Arial" w:cs="Arial" w:eastAsia="Arial" w:hAnsi="Arial"/>
                <w:sz w:val="16"/>
                <w:szCs w:val="16"/>
                <w:color w:val="auto"/>
              </w:rPr>
              <w:t>Return</w:t>
            </w:r>
          </w:p>
        </w:tc>
        <w:tc>
          <w:tcPr>
            <w:tcW w:w="1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2"/>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AMEX Market Value (US Companies)</w:t>
            </w:r>
          </w:p>
        </w:tc>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22.30</w:t>
            </w:r>
          </w:p>
        </w:tc>
        <w:tc>
          <w:tcPr>
            <w:tcW w:w="126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27.17</w:t>
            </w:r>
          </w:p>
        </w:tc>
        <w:tc>
          <w:tcPr>
            <w:tcW w:w="12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-8.85</w:t>
            </w:r>
          </w:p>
        </w:tc>
        <w:tc>
          <w:tcPr>
            <w:tcW w:w="12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9.64</w:t>
            </w:r>
          </w:p>
        </w:tc>
        <w:tc>
          <w:tcPr>
            <w:tcW w:w="12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9.61</w:t>
            </w:r>
          </w:p>
        </w:tc>
      </w:tr>
      <w:tr>
        <w:trPr>
          <w:trHeight w:val="189"/>
        </w:trPr>
        <w:tc>
          <w:tcPr>
            <w:tcW w:w="2720" w:type="dxa"/>
            <w:vAlign w:val="bottom"/>
          </w:tcPr>
          <w:p>
            <w:pPr>
              <w:spacing w:after="0"/>
              <w:rPr>
                <w:sz w:val="16"/>
                <w:szCs w:val="16"/>
                <w:color w:val="auto"/>
              </w:rPr>
            </w:pPr>
          </w:p>
        </w:tc>
        <w:tc>
          <w:tcPr>
            <w:tcW w:w="1300" w:type="dxa"/>
            <w:vAlign w:val="bottom"/>
          </w:tcPr>
          <w:p>
            <w:pPr>
              <w:ind w:left="260"/>
              <w:spacing w:after="0"/>
              <w:rPr>
                <w:sz w:val="20"/>
                <w:szCs w:val="20"/>
                <w:color w:val="auto"/>
              </w:rPr>
            </w:pPr>
            <w:r>
              <w:rPr>
                <w:rFonts w:ascii="Arial" w:cs="Arial" w:eastAsia="Arial" w:hAnsi="Arial"/>
                <w:sz w:val="16"/>
                <w:szCs w:val="16"/>
                <w:color w:val="auto"/>
              </w:rPr>
              <w:t>Cum $</w:t>
            </w:r>
          </w:p>
        </w:tc>
        <w:tc>
          <w:tcPr>
            <w:tcW w:w="1140" w:type="dxa"/>
            <w:vAlign w:val="bottom"/>
          </w:tcPr>
          <w:p>
            <w:pPr>
              <w:jc w:val="right"/>
              <w:ind w:right="361"/>
              <w:spacing w:after="0"/>
              <w:rPr>
                <w:sz w:val="20"/>
                <w:szCs w:val="20"/>
                <w:color w:val="auto"/>
              </w:rPr>
            </w:pPr>
            <w:r>
              <w:rPr>
                <w:rFonts w:ascii="Arial" w:cs="Arial" w:eastAsia="Arial" w:hAnsi="Arial"/>
                <w:sz w:val="16"/>
                <w:szCs w:val="16"/>
                <w:color w:val="auto"/>
              </w:rPr>
              <w:t>100.00</w:t>
            </w:r>
          </w:p>
        </w:tc>
        <w:tc>
          <w:tcPr>
            <w:tcW w:w="1280" w:type="dxa"/>
            <w:vAlign w:val="bottom"/>
          </w:tcPr>
          <w:p>
            <w:pPr>
              <w:jc w:val="right"/>
              <w:ind w:right="363"/>
              <w:spacing w:after="0"/>
              <w:rPr>
                <w:sz w:val="20"/>
                <w:szCs w:val="20"/>
                <w:color w:val="auto"/>
              </w:rPr>
            </w:pPr>
            <w:r>
              <w:rPr>
                <w:rFonts w:ascii="Arial" w:cs="Arial" w:eastAsia="Arial" w:hAnsi="Arial"/>
                <w:sz w:val="16"/>
                <w:szCs w:val="16"/>
                <w:color w:val="auto"/>
              </w:rPr>
              <w:t>122.30</w:t>
            </w:r>
          </w:p>
        </w:tc>
        <w:tc>
          <w:tcPr>
            <w:tcW w:w="1260" w:type="dxa"/>
            <w:vAlign w:val="bottom"/>
          </w:tcPr>
          <w:p>
            <w:pPr>
              <w:jc w:val="right"/>
              <w:ind w:right="341"/>
              <w:spacing w:after="0"/>
              <w:rPr>
                <w:sz w:val="20"/>
                <w:szCs w:val="20"/>
                <w:color w:val="auto"/>
              </w:rPr>
            </w:pPr>
            <w:r>
              <w:rPr>
                <w:rFonts w:ascii="Arial" w:cs="Arial" w:eastAsia="Arial" w:hAnsi="Arial"/>
                <w:sz w:val="16"/>
                <w:szCs w:val="16"/>
                <w:color w:val="auto"/>
              </w:rPr>
              <w:t>155.53</w:t>
            </w:r>
          </w:p>
        </w:tc>
        <w:tc>
          <w:tcPr>
            <w:tcW w:w="1240" w:type="dxa"/>
            <w:vAlign w:val="bottom"/>
          </w:tcPr>
          <w:p>
            <w:pPr>
              <w:jc w:val="right"/>
              <w:ind w:right="341"/>
              <w:spacing w:after="0"/>
              <w:rPr>
                <w:sz w:val="20"/>
                <w:szCs w:val="20"/>
                <w:color w:val="auto"/>
              </w:rPr>
            </w:pPr>
            <w:r>
              <w:rPr>
                <w:rFonts w:ascii="Arial" w:cs="Arial" w:eastAsia="Arial" w:hAnsi="Arial"/>
                <w:sz w:val="16"/>
                <w:szCs w:val="16"/>
                <w:color w:val="auto"/>
              </w:rPr>
              <w:t>141.77</w:t>
            </w:r>
          </w:p>
        </w:tc>
        <w:tc>
          <w:tcPr>
            <w:tcW w:w="1240" w:type="dxa"/>
            <w:vAlign w:val="bottom"/>
          </w:tcPr>
          <w:p>
            <w:pPr>
              <w:jc w:val="right"/>
              <w:ind w:right="341"/>
              <w:spacing w:after="0"/>
              <w:rPr>
                <w:sz w:val="20"/>
                <w:szCs w:val="20"/>
                <w:color w:val="auto"/>
              </w:rPr>
            </w:pPr>
            <w:r>
              <w:rPr>
                <w:rFonts w:ascii="Arial" w:cs="Arial" w:eastAsia="Arial" w:hAnsi="Arial"/>
                <w:sz w:val="16"/>
                <w:szCs w:val="16"/>
                <w:color w:val="auto"/>
              </w:rPr>
              <w:t>155.43</w:t>
            </w:r>
          </w:p>
        </w:tc>
        <w:tc>
          <w:tcPr>
            <w:tcW w:w="1260" w:type="dxa"/>
            <w:vAlign w:val="bottom"/>
          </w:tcPr>
          <w:p>
            <w:pPr>
              <w:jc w:val="right"/>
              <w:ind w:right="381"/>
              <w:spacing w:after="0"/>
              <w:rPr>
                <w:sz w:val="20"/>
                <w:szCs w:val="20"/>
                <w:color w:val="auto"/>
              </w:rPr>
            </w:pPr>
            <w:r>
              <w:rPr>
                <w:rFonts w:ascii="Arial" w:cs="Arial" w:eastAsia="Arial" w:hAnsi="Arial"/>
                <w:sz w:val="16"/>
                <w:szCs w:val="16"/>
                <w:color w:val="auto"/>
              </w:rPr>
              <w:t>170.38</w:t>
            </w:r>
          </w:p>
        </w:tc>
      </w:tr>
      <w:tr>
        <w:trPr>
          <w:trHeight w:val="189"/>
        </w:trPr>
        <w:tc>
          <w:tcPr>
            <w:tcW w:w="27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2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77"/>
        </w:trPr>
        <w:tc>
          <w:tcPr>
            <w:tcW w:w="2720" w:type="dxa"/>
            <w:vAlign w:val="bottom"/>
            <w:shd w:val="clear" w:color="auto" w:fill="CCEEFF"/>
          </w:tcPr>
          <w:p>
            <w:pPr>
              <w:spacing w:after="0"/>
              <w:rPr>
                <w:sz w:val="15"/>
                <w:szCs w:val="15"/>
                <w:color w:val="auto"/>
              </w:rPr>
            </w:pPr>
          </w:p>
        </w:tc>
        <w:tc>
          <w:tcPr>
            <w:tcW w:w="1300" w:type="dxa"/>
            <w:vAlign w:val="bottom"/>
            <w:shd w:val="clear" w:color="auto" w:fill="CCEEFF"/>
          </w:tcPr>
          <w:p>
            <w:pPr>
              <w:ind w:left="260"/>
              <w:spacing w:after="0" w:line="177" w:lineRule="exact"/>
              <w:rPr>
                <w:sz w:val="20"/>
                <w:szCs w:val="20"/>
                <w:color w:val="auto"/>
              </w:rPr>
            </w:pPr>
            <w:r>
              <w:rPr>
                <w:rFonts w:ascii="Arial" w:cs="Arial" w:eastAsia="Arial" w:hAnsi="Arial"/>
                <w:sz w:val="16"/>
                <w:szCs w:val="16"/>
                <w:color w:val="auto"/>
              </w:rPr>
              <w:t>Return</w:t>
            </w:r>
          </w:p>
        </w:tc>
        <w:tc>
          <w:tcPr>
            <w:tcW w:w="1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2"/>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NYSE Arca Biotechnology Index</w:t>
            </w:r>
          </w:p>
        </w:tc>
        <w:tc>
          <w:tcPr>
            <w:tcW w:w="13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45.56</w:t>
            </w:r>
          </w:p>
        </w:tc>
        <w:tc>
          <w:tcPr>
            <w:tcW w:w="126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45.23</w:t>
            </w:r>
          </w:p>
        </w:tc>
        <w:tc>
          <w:tcPr>
            <w:tcW w:w="12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-15.85</w:t>
            </w:r>
          </w:p>
        </w:tc>
        <w:tc>
          <w:tcPr>
            <w:tcW w:w="12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41.88</w:t>
            </w:r>
          </w:p>
        </w:tc>
        <w:tc>
          <w:tcPr>
            <w:tcW w:w="12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50.80</w:t>
            </w:r>
          </w:p>
        </w:tc>
      </w:tr>
      <w:tr>
        <w:trPr>
          <w:trHeight w:val="200"/>
        </w:trPr>
        <w:tc>
          <w:tcPr>
            <w:tcW w:w="2720" w:type="dxa"/>
            <w:vAlign w:val="bottom"/>
          </w:tcPr>
          <w:p>
            <w:pPr>
              <w:spacing w:after="0"/>
              <w:rPr>
                <w:sz w:val="17"/>
                <w:szCs w:val="17"/>
                <w:color w:val="auto"/>
              </w:rPr>
            </w:pPr>
          </w:p>
        </w:tc>
        <w:tc>
          <w:tcPr>
            <w:tcW w:w="1300" w:type="dxa"/>
            <w:vAlign w:val="bottom"/>
          </w:tcPr>
          <w:p>
            <w:pPr>
              <w:ind w:left="260"/>
              <w:spacing w:after="0"/>
              <w:rPr>
                <w:sz w:val="20"/>
                <w:szCs w:val="20"/>
                <w:color w:val="auto"/>
              </w:rPr>
            </w:pPr>
            <w:r>
              <w:rPr>
                <w:rFonts w:ascii="Arial" w:cs="Arial" w:eastAsia="Arial" w:hAnsi="Arial"/>
                <w:sz w:val="16"/>
                <w:szCs w:val="16"/>
                <w:color w:val="auto"/>
              </w:rPr>
              <w:t>Cum $</w:t>
            </w:r>
          </w:p>
        </w:tc>
        <w:tc>
          <w:tcPr>
            <w:tcW w:w="1140" w:type="dxa"/>
            <w:vAlign w:val="bottom"/>
          </w:tcPr>
          <w:p>
            <w:pPr>
              <w:jc w:val="right"/>
              <w:ind w:right="361"/>
              <w:spacing w:after="0"/>
              <w:rPr>
                <w:sz w:val="20"/>
                <w:szCs w:val="20"/>
                <w:color w:val="auto"/>
              </w:rPr>
            </w:pPr>
            <w:r>
              <w:rPr>
                <w:rFonts w:ascii="Arial" w:cs="Arial" w:eastAsia="Arial" w:hAnsi="Arial"/>
                <w:sz w:val="16"/>
                <w:szCs w:val="16"/>
                <w:color w:val="auto"/>
              </w:rPr>
              <w:t>100.00</w:t>
            </w:r>
          </w:p>
        </w:tc>
        <w:tc>
          <w:tcPr>
            <w:tcW w:w="1280" w:type="dxa"/>
            <w:vAlign w:val="bottom"/>
          </w:tcPr>
          <w:p>
            <w:pPr>
              <w:jc w:val="right"/>
              <w:ind w:right="363"/>
              <w:spacing w:after="0"/>
              <w:rPr>
                <w:sz w:val="20"/>
                <w:szCs w:val="20"/>
                <w:color w:val="auto"/>
              </w:rPr>
            </w:pPr>
            <w:r>
              <w:rPr>
                <w:rFonts w:ascii="Arial" w:cs="Arial" w:eastAsia="Arial" w:hAnsi="Arial"/>
                <w:sz w:val="16"/>
                <w:szCs w:val="16"/>
                <w:color w:val="auto"/>
              </w:rPr>
              <w:t>145.56</w:t>
            </w:r>
          </w:p>
        </w:tc>
        <w:tc>
          <w:tcPr>
            <w:tcW w:w="1260" w:type="dxa"/>
            <w:vAlign w:val="bottom"/>
          </w:tcPr>
          <w:p>
            <w:pPr>
              <w:jc w:val="right"/>
              <w:ind w:right="341"/>
              <w:spacing w:after="0"/>
              <w:rPr>
                <w:sz w:val="20"/>
                <w:szCs w:val="20"/>
                <w:color w:val="auto"/>
              </w:rPr>
            </w:pPr>
            <w:r>
              <w:rPr>
                <w:rFonts w:ascii="Arial" w:cs="Arial" w:eastAsia="Arial" w:hAnsi="Arial"/>
                <w:sz w:val="16"/>
                <w:szCs w:val="16"/>
                <w:color w:val="auto"/>
              </w:rPr>
              <w:t>211.40</w:t>
            </w:r>
          </w:p>
        </w:tc>
        <w:tc>
          <w:tcPr>
            <w:tcW w:w="1240" w:type="dxa"/>
            <w:vAlign w:val="bottom"/>
          </w:tcPr>
          <w:p>
            <w:pPr>
              <w:jc w:val="right"/>
              <w:ind w:right="341"/>
              <w:spacing w:after="0"/>
              <w:rPr>
                <w:sz w:val="20"/>
                <w:szCs w:val="20"/>
                <w:color w:val="auto"/>
              </w:rPr>
            </w:pPr>
            <w:r>
              <w:rPr>
                <w:rFonts w:ascii="Arial" w:cs="Arial" w:eastAsia="Arial" w:hAnsi="Arial"/>
                <w:sz w:val="16"/>
                <w:szCs w:val="16"/>
                <w:color w:val="auto"/>
              </w:rPr>
              <w:t>177.91</w:t>
            </w:r>
          </w:p>
        </w:tc>
        <w:tc>
          <w:tcPr>
            <w:tcW w:w="1240" w:type="dxa"/>
            <w:vAlign w:val="bottom"/>
          </w:tcPr>
          <w:p>
            <w:pPr>
              <w:jc w:val="right"/>
              <w:ind w:right="341"/>
              <w:spacing w:after="0"/>
              <w:rPr>
                <w:sz w:val="20"/>
                <w:szCs w:val="20"/>
                <w:color w:val="auto"/>
              </w:rPr>
            </w:pPr>
            <w:r>
              <w:rPr>
                <w:rFonts w:ascii="Arial" w:cs="Arial" w:eastAsia="Arial" w:hAnsi="Arial"/>
                <w:sz w:val="16"/>
                <w:szCs w:val="16"/>
                <w:color w:val="auto"/>
              </w:rPr>
              <w:t>252.41</w:t>
            </w:r>
          </w:p>
        </w:tc>
        <w:tc>
          <w:tcPr>
            <w:tcW w:w="1260" w:type="dxa"/>
            <w:vAlign w:val="bottom"/>
          </w:tcPr>
          <w:p>
            <w:pPr>
              <w:jc w:val="right"/>
              <w:ind w:right="381"/>
              <w:spacing w:after="0"/>
              <w:rPr>
                <w:sz w:val="20"/>
                <w:szCs w:val="20"/>
                <w:color w:val="auto"/>
              </w:rPr>
            </w:pPr>
            <w:r>
              <w:rPr>
                <w:rFonts w:ascii="Arial" w:cs="Arial" w:eastAsia="Arial" w:hAnsi="Arial"/>
                <w:sz w:val="16"/>
                <w:szCs w:val="16"/>
                <w:color w:val="auto"/>
              </w:rPr>
              <w:t>380.63</w:t>
            </w:r>
          </w:p>
        </w:tc>
      </w:tr>
      <w:tr>
        <w:trPr>
          <w:trHeight w:val="511"/>
        </w:trPr>
        <w:tc>
          <w:tcPr>
            <w:tcW w:w="2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jc w:val="right"/>
              <w:ind w:right="583"/>
              <w:spacing w:after="0"/>
              <w:rPr>
                <w:sz w:val="20"/>
                <w:szCs w:val="20"/>
                <w:color w:val="auto"/>
              </w:rPr>
            </w:pPr>
            <w:r>
              <w:rPr>
                <w:rFonts w:ascii="Arial" w:cs="Arial" w:eastAsia="Arial" w:hAnsi="Arial"/>
                <w:sz w:val="13"/>
                <w:szCs w:val="13"/>
                <w:color w:val="auto"/>
              </w:rPr>
              <w:t>79</w:t>
            </w: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
        </w:trPr>
        <w:tc>
          <w:tcPr>
            <w:tcW w:w="27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4" w:right="219" w:bottom="1440" w:gutter="0" w:footer="0" w:header="0"/>
        </w:sectPr>
      </w:pPr>
    </w:p>
    <w:bookmarkStart w:id="79" w:name="page80"/>
    <w:bookmarkEnd w:id="79"/>
    <w:p>
      <w:pPr>
        <w:ind w:left="5"/>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318375" cy="38944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18375" cy="389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4"/>
        <w:spacing w:after="0"/>
        <w:rPr>
          <w:sz w:val="20"/>
          <w:szCs w:val="20"/>
          <w:color w:val="auto"/>
        </w:rPr>
      </w:pPr>
      <w:r>
        <w:rPr>
          <w:rFonts w:ascii="Arial" w:cs="Arial" w:eastAsia="Arial" w:hAnsi="Arial"/>
          <w:sz w:val="16"/>
          <w:szCs w:val="16"/>
          <w:b w:val="1"/>
          <w:bCs w:val="1"/>
          <w:color w:val="auto"/>
        </w:rPr>
        <w:t>BioTime, Inc., the Amex Market Value and Amex Biotechnology Index (2)</w:t>
      </w:r>
    </w:p>
    <w:p>
      <w:pPr>
        <w:spacing w:after="0" w:line="218" w:lineRule="exact"/>
        <w:rPr>
          <w:sz w:val="20"/>
          <w:szCs w:val="20"/>
          <w:color w:val="auto"/>
        </w:rPr>
      </w:pPr>
    </w:p>
    <w:p>
      <w:pPr>
        <w:ind w:left="285" w:hanging="285"/>
        <w:spacing w:after="0" w:line="259" w:lineRule="auto"/>
        <w:tabs>
          <w:tab w:leader="none" w:pos="285"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This Section is not “soliciting material,” is not deemed “filed” with the SEC and is not to be incorporated by reference in any filing of BioTime under the Securities Act of 1933, or the Securities Exchange Act of 1934, whether made before or after the date hereof and irrespective of any general incorporation language in any such filing.</w:t>
      </w:r>
    </w:p>
    <w:p>
      <w:pPr>
        <w:spacing w:after="0" w:line="184" w:lineRule="exact"/>
        <w:rPr>
          <w:rFonts w:ascii="Arial" w:cs="Arial" w:eastAsia="Arial" w:hAnsi="Arial"/>
          <w:sz w:val="16"/>
          <w:szCs w:val="16"/>
          <w:b w:val="1"/>
          <w:bCs w:val="1"/>
          <w:color w:val="auto"/>
        </w:rPr>
      </w:pPr>
    </w:p>
    <w:p>
      <w:pPr>
        <w:ind w:left="285" w:right="80" w:hanging="285"/>
        <w:spacing w:after="0" w:line="259" w:lineRule="auto"/>
        <w:tabs>
          <w:tab w:leader="none" w:pos="285"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Shows the cumulative total return on investment assuming an investment of $100 in each of BioTime, Inc., the Amex Market Value and NYSE Arca Biotechnology Index on December 31, 2008. The cumulative total return on BioTime stock has been computed based on a price of $1.77 per share, the price at which BioTime’s shares closed on December 31, 2008</w:t>
      </w:r>
    </w:p>
    <w:p>
      <w:pPr>
        <w:spacing w:after="0" w:line="350" w:lineRule="exact"/>
        <w:rPr>
          <w:sz w:val="20"/>
          <w:szCs w:val="20"/>
          <w:color w:val="auto"/>
        </w:rPr>
      </w:pPr>
    </w:p>
    <w:p>
      <w:pPr>
        <w:jc w:val="center"/>
        <w:ind w:right="-104"/>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25"/>
          </w:cols>
          <w:pgMar w:left="235" w:top="124" w:right="339" w:bottom="1440" w:gutter="0" w:footer="0" w:header="0"/>
        </w:sectPr>
      </w:pPr>
    </w:p>
    <w:bookmarkStart w:id="80" w:name="page81"/>
    <w:bookmarkEnd w:id="80"/>
    <w:tbl>
      <w:tblPr>
        <w:tblLayout w:type="fixed"/>
        <w:tblInd w:w="5" w:type="dxa"/>
        <w:tblCellMar>
          <w:top w:w="0" w:type="dxa"/>
          <w:left w:w="0" w:type="dxa"/>
          <w:bottom w:w="0" w:type="dxa"/>
          <w:right w:w="0" w:type="dxa"/>
        </w:tblCellMar>
      </w:tblPr>
      <w:tr>
        <w:trPr>
          <w:trHeight w:val="149"/>
        </w:trPr>
        <w:tc>
          <w:tcPr>
            <w:tcW w:w="880" w:type="dxa"/>
            <w:vAlign w:val="bottom"/>
            <w:tcBorders>
              <w:bottom w:val="single" w:sz="8" w:color="0000EE"/>
            </w:tcBorders>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3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33"/>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Item 6. Selected Financial Data</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7"/>
        </w:trPr>
        <w:tc>
          <w:tcPr>
            <w:tcW w:w="8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27"/>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3"/>
        </w:trPr>
        <w:tc>
          <w:tcPr>
            <w:tcW w:w="8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16"/>
                <w:szCs w:val="16"/>
                <w:color w:val="auto"/>
              </w:rPr>
            </w:pPr>
          </w:p>
        </w:tc>
      </w:tr>
      <w:tr>
        <w:trPr>
          <w:trHeight w:val="188"/>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79"/>
        </w:trPr>
        <w:tc>
          <w:tcPr>
            <w:tcW w:w="470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License fees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2,218,174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899,998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263,757</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292,904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292,904</w:t>
            </w:r>
          </w:p>
        </w:tc>
      </w:tr>
      <w:tr>
        <w:trPr>
          <w:trHeight w:val="189"/>
        </w:trPr>
        <w:tc>
          <w:tcPr>
            <w:tcW w:w="4700" w:type="dxa"/>
            <w:vAlign w:val="bottom"/>
            <w:gridSpan w:val="2"/>
          </w:tcPr>
          <w:p>
            <w:pPr>
              <w:spacing w:after="0"/>
              <w:rPr>
                <w:sz w:val="20"/>
                <w:szCs w:val="20"/>
                <w:color w:val="auto"/>
              </w:rPr>
            </w:pPr>
            <w:r>
              <w:rPr>
                <w:rFonts w:ascii="Arial" w:cs="Arial" w:eastAsia="Arial" w:hAnsi="Arial"/>
                <w:sz w:val="16"/>
                <w:szCs w:val="16"/>
                <w:color w:val="auto"/>
              </w:rPr>
              <w:t>Royalties from product sales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366,775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541,681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756,950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945,521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1,079,951</w:t>
            </w:r>
          </w:p>
        </w:tc>
      </w:tr>
      <w:tr>
        <w:trPr>
          <w:trHeight w:val="189"/>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 income</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1,573,329</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2,222,458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2,767,181</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2,336,325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546,795</w:t>
            </w:r>
          </w:p>
        </w:tc>
      </w:tr>
      <w:tr>
        <w:trPr>
          <w:trHeight w:val="193"/>
        </w:trPr>
        <w:tc>
          <w:tcPr>
            <w:tcW w:w="4700" w:type="dxa"/>
            <w:vAlign w:val="bottom"/>
            <w:gridSpan w:val="2"/>
          </w:tcPr>
          <w:p>
            <w:pPr>
              <w:spacing w:after="0"/>
              <w:rPr>
                <w:sz w:val="20"/>
                <w:szCs w:val="20"/>
                <w:color w:val="auto"/>
              </w:rPr>
            </w:pPr>
            <w:r>
              <w:rPr>
                <w:rFonts w:ascii="Arial" w:cs="Arial" w:eastAsia="Arial" w:hAnsi="Arial"/>
                <w:sz w:val="16"/>
                <w:szCs w:val="16"/>
                <w:color w:val="auto"/>
              </w:rPr>
              <w:t>Sales of research products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276,058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251,190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646,271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133,268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5,590</w:t>
            </w:r>
          </w:p>
        </w:tc>
      </w:tr>
      <w:tr>
        <w:trPr>
          <w:trHeight w:val="189"/>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4,434,336</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3,915,327</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4,434,159</w:t>
            </w:r>
          </w:p>
        </w:tc>
        <w:tc>
          <w:tcPr>
            <w:tcW w:w="2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3,708,018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1,925,240</w:t>
            </w:r>
          </w:p>
        </w:tc>
        <w:tc>
          <w:tcPr>
            <w:tcW w:w="120" w:type="dxa"/>
            <w:vAlign w:val="bottom"/>
            <w:shd w:val="clear" w:color="auto" w:fill="CCEEFF"/>
          </w:tcPr>
          <w:p>
            <w:pPr>
              <w:spacing w:after="0"/>
              <w:rPr>
                <w:sz w:val="16"/>
                <w:szCs w:val="16"/>
                <w:color w:val="auto"/>
              </w:rPr>
            </w:pPr>
          </w:p>
        </w:tc>
      </w:tr>
      <w:tr>
        <w:trPr>
          <w:trHeight w:val="189"/>
        </w:trPr>
        <w:tc>
          <w:tcPr>
            <w:tcW w:w="4700" w:type="dxa"/>
            <w:vAlign w:val="bottom"/>
            <w:gridSpan w:val="2"/>
          </w:tcPr>
          <w:p>
            <w:pPr>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(792,659)</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(434,271)</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(79,397)</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(27,718)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(72)</w:t>
            </w:r>
          </w:p>
        </w:tc>
      </w:tr>
      <w:tr>
        <w:trPr>
          <w:trHeight w:val="193"/>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 net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3,641,677</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3,481,056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4,354,762</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3,680,300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1,925,168</w:t>
            </w:r>
          </w:p>
        </w:tc>
      </w:tr>
      <w:tr>
        <w:trPr>
          <w:trHeight w:val="189"/>
        </w:trPr>
        <w:tc>
          <w:tcPr>
            <w:tcW w:w="470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EXPENSES:</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89"/>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(26,609,423)</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(18,116,688)</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(13,699,691)</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(8,191,314)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(3,181,729)</w:t>
            </w:r>
          </w:p>
        </w:tc>
      </w:tr>
      <w:tr>
        <w:trPr>
          <w:trHeight w:val="189"/>
        </w:trPr>
        <w:tc>
          <w:tcPr>
            <w:tcW w:w="4700" w:type="dxa"/>
            <w:vAlign w:val="bottom"/>
            <w:gridSpan w:val="2"/>
          </w:tcPr>
          <w:p>
            <w:pPr>
              <w:spacing w:after="0" w:line="189" w:lineRule="exact"/>
              <w:rPr>
                <w:sz w:val="20"/>
                <w:szCs w:val="20"/>
                <w:color w:val="auto"/>
              </w:rPr>
            </w:pPr>
            <w:r>
              <w:rPr>
                <w:rFonts w:ascii="Arial" w:cs="Arial" w:eastAsia="Arial" w:hAnsi="Arial"/>
                <w:sz w:val="13"/>
                <w:szCs w:val="13"/>
                <w:color w:val="auto"/>
              </w:rPr>
              <w:t>Acquired in-process research and development</w:t>
            </w:r>
            <w:r>
              <w:rPr>
                <w:rFonts w:ascii="Arial" w:cs="Arial" w:eastAsia="Arial" w:hAnsi="Arial"/>
                <w:sz w:val="21"/>
                <w:szCs w:val="21"/>
                <w:color w:val="auto"/>
                <w:vertAlign w:val="superscript"/>
              </w:rPr>
              <w:t>(1)</w:t>
            </w:r>
          </w:p>
        </w:tc>
        <w:tc>
          <w:tcPr>
            <w:tcW w:w="2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(17,458,766)</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(15,558,674)</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(10,365,045)</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(9,341,502)</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(5,341,119)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(2,263,705)</w:t>
            </w:r>
          </w:p>
        </w:tc>
      </w:tr>
      <w:tr>
        <w:trPr>
          <w:trHeight w:val="24"/>
        </w:trPr>
        <w:tc>
          <w:tcPr>
            <w:tcW w:w="88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3"/>
        </w:trPr>
        <w:tc>
          <w:tcPr>
            <w:tcW w:w="4700" w:type="dxa"/>
            <w:vAlign w:val="bottom"/>
            <w:gridSpan w:val="2"/>
          </w:tcPr>
          <w:p>
            <w:pPr>
              <w:spacing w:after="0"/>
              <w:rPr>
                <w:sz w:val="20"/>
                <w:szCs w:val="20"/>
                <w:color w:val="auto"/>
              </w:rPr>
            </w:pPr>
            <w:r>
              <w:rPr>
                <w:rFonts w:ascii="Arial" w:cs="Arial" w:eastAsia="Arial" w:hAnsi="Arial"/>
                <w:sz w:val="16"/>
                <w:szCs w:val="16"/>
                <w:color w:val="auto"/>
              </w:rPr>
              <w:t>Total expenses</w:t>
            </w:r>
          </w:p>
        </w:tc>
        <w:tc>
          <w:tcPr>
            <w:tcW w:w="2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(59,626,863)</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(28,481,733)</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(23,041,193)</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(13,532,433)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(5,445,434)</w:t>
            </w:r>
          </w:p>
        </w:tc>
      </w:tr>
      <w:tr>
        <w:trPr>
          <w:trHeight w:val="193"/>
        </w:trPr>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(55,985,186)</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(25,000,677)</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(18,686,431)</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(9,852,133)</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(3,520,266)</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9"/>
        </w:trPr>
        <w:tc>
          <w:tcPr>
            <w:tcW w:w="4700" w:type="dxa"/>
            <w:vAlign w:val="bottom"/>
            <w:gridSpan w:val="2"/>
          </w:tcPr>
          <w:p>
            <w:pPr>
              <w:spacing w:after="0"/>
              <w:rPr>
                <w:sz w:val="20"/>
                <w:szCs w:val="20"/>
                <w:color w:val="auto"/>
              </w:rPr>
            </w:pPr>
            <w:r>
              <w:rPr>
                <w:rFonts w:ascii="Arial" w:cs="Arial" w:eastAsia="Arial" w:hAnsi="Arial"/>
                <w:sz w:val="16"/>
                <w:szCs w:val="16"/>
                <w:color w:val="auto"/>
              </w:rPr>
              <w:t>OTHER INCOME (EXPENSES):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income/(expense)</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(578)</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19,383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29,727</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(124,300)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(1,653,755)</w:t>
            </w:r>
          </w:p>
        </w:tc>
      </w:tr>
      <w:tr>
        <w:trPr>
          <w:trHeight w:val="189"/>
        </w:trPr>
        <w:tc>
          <w:tcPr>
            <w:tcW w:w="4700" w:type="dxa"/>
            <w:vAlign w:val="bottom"/>
            <w:gridSpan w:val="2"/>
          </w:tcPr>
          <w:p>
            <w:pPr>
              <w:spacing w:after="0"/>
              <w:rPr>
                <w:sz w:val="20"/>
                <w:szCs w:val="20"/>
                <w:color w:val="auto"/>
              </w:rPr>
            </w:pPr>
            <w:r>
              <w:rPr>
                <w:rFonts w:ascii="Arial" w:cs="Arial" w:eastAsia="Arial" w:hAnsi="Arial"/>
                <w:sz w:val="16"/>
                <w:szCs w:val="16"/>
                <w:color w:val="auto"/>
              </w:rPr>
              <w:t>Gain/(loss) on sale of fixed assets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5,120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(6,856)</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(6,246)</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Modification cost of warrants</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(2,142,201)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3"/>
        </w:trPr>
        <w:tc>
          <w:tcPr>
            <w:tcW w:w="4700" w:type="dxa"/>
            <w:vAlign w:val="bottom"/>
            <w:gridSpan w:val="2"/>
          </w:tcPr>
          <w:p>
            <w:pPr>
              <w:spacing w:after="0"/>
              <w:rPr>
                <w:sz w:val="20"/>
                <w:szCs w:val="20"/>
                <w:color w:val="auto"/>
              </w:rPr>
            </w:pPr>
            <w:r>
              <w:rPr>
                <w:rFonts w:ascii="Arial" w:cs="Arial" w:eastAsia="Arial" w:hAnsi="Arial"/>
                <w:sz w:val="16"/>
                <w:szCs w:val="16"/>
                <w:color w:val="auto"/>
              </w:rPr>
              <w:t>Other income/(expense), net</w:t>
            </w:r>
          </w:p>
        </w:tc>
        <w:tc>
          <w:tcPr>
            <w:tcW w:w="2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(209,177)</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(317,710)</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219,067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(68,573)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30,112</w:t>
            </w:r>
          </w:p>
        </w:tc>
      </w:tr>
      <w:tr>
        <w:trPr>
          <w:trHeight w:val="193"/>
        </w:trPr>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other income/(expenses), net</w:t>
            </w: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(204,635)</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(305,183)</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242,548</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(2,335,074)</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(1,623,643)</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9"/>
        </w:trPr>
        <w:tc>
          <w:tcPr>
            <w:tcW w:w="4700" w:type="dxa"/>
            <w:vAlign w:val="bottom"/>
            <w:gridSpan w:val="2"/>
          </w:tcPr>
          <w:p>
            <w:pPr>
              <w:spacing w:after="0"/>
              <w:rPr>
                <w:sz w:val="20"/>
                <w:szCs w:val="20"/>
                <w:color w:val="auto"/>
              </w:rPr>
            </w:pPr>
            <w:r>
              <w:rPr>
                <w:rFonts w:ascii="Arial" w:cs="Arial" w:eastAsia="Arial" w:hAnsi="Arial"/>
                <w:sz w:val="16"/>
                <w:szCs w:val="16"/>
                <w:color w:val="auto"/>
              </w:rPr>
              <w:t>LOSS BEFORE INCOME TAX BENEFITS</w:t>
            </w:r>
          </w:p>
        </w:tc>
        <w:tc>
          <w:tcPr>
            <w:tcW w:w="2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(56,189,821)</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(25,305,860)</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(18,443,883)</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(12,187,207)</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(5,143,909)</w:t>
            </w:r>
          </w:p>
        </w:tc>
      </w:tr>
      <w:tr>
        <w:trPr>
          <w:trHeight w:val="212"/>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 benefit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3,280,695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4"/>
        </w:trPr>
        <w:tc>
          <w:tcPr>
            <w:tcW w:w="88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7"/>
        </w:trPr>
        <w:tc>
          <w:tcPr>
            <w:tcW w:w="47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(52,909,126)</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9"/>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loss/(income) attributable to the noncontrolling interest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9,026,291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3,880,157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1,928,383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1,002,589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(590)</w:t>
            </w:r>
          </w:p>
        </w:tc>
      </w:tr>
      <w:tr>
        <w:trPr>
          <w:trHeight w:val="189"/>
        </w:trPr>
        <w:tc>
          <w:tcPr>
            <w:tcW w:w="880" w:type="dxa"/>
            <w:vAlign w:val="bottom"/>
            <w:tcBorders>
              <w:top w:val="single" w:sz="8" w:color="CCEEFF"/>
            </w:tcBorders>
          </w:tcPr>
          <w:p>
            <w:pPr>
              <w:spacing w:after="0"/>
              <w:rPr>
                <w:sz w:val="16"/>
                <w:szCs w:val="16"/>
                <w:color w:val="auto"/>
              </w:rPr>
            </w:pPr>
          </w:p>
        </w:tc>
        <w:tc>
          <w:tcPr>
            <w:tcW w:w="38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89"/>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loss attributable to BioTime, Inc.</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(43,882,835)</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(21,425,703)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(16,515,500)</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(11,184,618)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(5,144,499)</w:t>
            </w:r>
          </w:p>
        </w:tc>
      </w:tr>
      <w:tr>
        <w:trPr>
          <w:trHeight w:val="189"/>
        </w:trPr>
        <w:tc>
          <w:tcPr>
            <w:tcW w:w="8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r>
      <w:tr>
        <w:trPr>
          <w:trHeight w:val="189"/>
        </w:trPr>
        <w:tc>
          <w:tcPr>
            <w:tcW w:w="4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Foreign currency translation (loss)/gain</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119,469</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63,179</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(1,020,087)</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897,338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3"/>
        </w:trPr>
        <w:tc>
          <w:tcPr>
            <w:tcW w:w="4700" w:type="dxa"/>
            <w:vAlign w:val="bottom"/>
            <w:gridSpan w:val="2"/>
          </w:tcPr>
          <w:p>
            <w:pPr>
              <w:spacing w:after="0"/>
              <w:rPr>
                <w:sz w:val="20"/>
                <w:szCs w:val="20"/>
                <w:color w:val="auto"/>
              </w:rPr>
            </w:pPr>
            <w:r>
              <w:rPr>
                <w:rFonts w:ascii="Arial" w:cs="Arial" w:eastAsia="Arial" w:hAnsi="Arial"/>
                <w:sz w:val="16"/>
                <w:szCs w:val="16"/>
                <w:color w:val="auto"/>
              </w:rPr>
              <w:t>Unrealized gain on available-for-sale securities, net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880" w:type="dxa"/>
            <w:vAlign w:val="bottom"/>
            <w:shd w:val="clear" w:color="auto" w:fill="CCEEFF"/>
          </w:tcPr>
          <w:p>
            <w:pPr>
              <w:spacing w:after="0"/>
              <w:rPr>
                <w:sz w:val="16"/>
                <w:szCs w:val="16"/>
                <w:color w:val="auto"/>
              </w:rPr>
            </w:pPr>
          </w:p>
        </w:tc>
        <w:tc>
          <w:tcPr>
            <w:tcW w:w="38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4700" w:type="dxa"/>
            <w:vAlign w:val="bottom"/>
            <w:gridSpan w:val="2"/>
          </w:tcPr>
          <w:p>
            <w:pPr>
              <w:spacing w:after="0"/>
              <w:rPr>
                <w:sz w:val="20"/>
                <w:szCs w:val="20"/>
                <w:color w:val="auto"/>
              </w:rPr>
            </w:pPr>
            <w:r>
              <w:rPr>
                <w:rFonts w:ascii="Arial" w:cs="Arial" w:eastAsia="Arial" w:hAnsi="Arial"/>
                <w:sz w:val="16"/>
                <w:szCs w:val="16"/>
                <w:color w:val="auto"/>
              </w:rPr>
              <w:t>COMPREHENSIVE NET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(43,760,366)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(21,362,524)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(17,535,587)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(10,287,280)</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(5,144,499)</w:t>
            </w:r>
          </w:p>
        </w:tc>
      </w:tr>
      <w:tr>
        <w:trPr>
          <w:trHeight w:val="20"/>
        </w:trPr>
        <w:tc>
          <w:tcPr>
            <w:tcW w:w="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88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spacing w:after="0"/>
              <w:rPr>
                <w:sz w:val="15"/>
                <w:szCs w:val="15"/>
                <w:color w:val="auto"/>
              </w:rPr>
            </w:pPr>
          </w:p>
        </w:tc>
        <w:tc>
          <w:tcPr>
            <w:tcW w:w="320" w:type="dxa"/>
            <w:vAlign w:val="bottom"/>
            <w:gridSpan w:val="2"/>
            <w:shd w:val="clear" w:color="auto" w:fill="CCEEFF"/>
          </w:tcPr>
          <w:p>
            <w:pPr>
              <w:spacing w:after="0"/>
              <w:rPr>
                <w:sz w:val="15"/>
                <w:szCs w:val="15"/>
                <w:color w:val="auto"/>
              </w:rPr>
            </w:pPr>
          </w:p>
        </w:tc>
        <w:tc>
          <w:tcPr>
            <w:tcW w:w="1000" w:type="dxa"/>
            <w:vAlign w:val="bottom"/>
            <w:gridSpan w:val="2"/>
            <w:shd w:val="clear" w:color="auto" w:fill="CCEEFF"/>
          </w:tcPr>
          <w:p>
            <w:pPr>
              <w:spacing w:after="0"/>
              <w:rPr>
                <w:sz w:val="15"/>
                <w:szCs w:val="15"/>
                <w:color w:val="auto"/>
              </w:rPr>
            </w:pPr>
          </w:p>
        </w:tc>
      </w:tr>
      <w:tr>
        <w:trPr>
          <w:trHeight w:val="189"/>
        </w:trPr>
        <w:tc>
          <w:tcPr>
            <w:tcW w:w="4700" w:type="dxa"/>
            <w:vAlign w:val="bottom"/>
            <w:gridSpan w:val="2"/>
          </w:tcPr>
          <w:p>
            <w:pPr>
              <w:spacing w:after="0"/>
              <w:rPr>
                <w:sz w:val="20"/>
                <w:szCs w:val="20"/>
                <w:color w:val="auto"/>
              </w:rPr>
            </w:pPr>
            <w:r>
              <w:rPr>
                <w:rFonts w:ascii="Arial" w:cs="Arial" w:eastAsia="Arial" w:hAnsi="Arial"/>
                <w:sz w:val="16"/>
                <w:szCs w:val="16"/>
                <w:color w:val="auto"/>
              </w:rPr>
              <w:t>BASIC AND DILUTED LOSS PER COMMON SHARE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(0.81)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(0.44)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(0.35)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(0.28)</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(0.18)</w:t>
            </w:r>
          </w:p>
        </w:tc>
      </w:tr>
      <w:tr>
        <w:trPr>
          <w:trHeight w:val="20"/>
        </w:trPr>
        <w:tc>
          <w:tcPr>
            <w:tcW w:w="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4"/>
        </w:trPr>
        <w:tc>
          <w:tcPr>
            <w:tcW w:w="4700" w:type="dxa"/>
            <w:vAlign w:val="bottom"/>
            <w:gridSpan w:val="2"/>
            <w:shd w:val="clear" w:color="auto" w:fill="CCEEFF"/>
          </w:tcPr>
          <w:p>
            <w:pPr>
              <w:spacing w:after="0" w:line="164" w:lineRule="exact"/>
              <w:rPr>
                <w:sz w:val="20"/>
                <w:szCs w:val="20"/>
                <w:color w:val="auto"/>
              </w:rPr>
            </w:pPr>
            <w:r>
              <w:rPr>
                <w:rFonts w:ascii="Arial" w:cs="Arial" w:eastAsia="Arial" w:hAnsi="Arial"/>
                <w:sz w:val="16"/>
                <w:szCs w:val="16"/>
                <w:color w:val="auto"/>
              </w:rPr>
              <w:t>WEIGHTED AVERAGE NUMBER OF COMMON SHARES</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21"/>
        </w:trPr>
        <w:tc>
          <w:tcPr>
            <w:tcW w:w="47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OUTSTANDING:BASIC AND DILUTED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54,226,219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49,213,687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47,053,518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40,266,311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29,295,608</w:t>
            </w: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285" w:right="380" w:hanging="285"/>
        <w:spacing w:after="0" w:line="267" w:lineRule="auto"/>
        <w:tabs>
          <w:tab w:leader="none" w:pos="285"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value of incomplete research and development projects acquired by Asterias from Geron under the Asset Contribution Agreement which Asterias intends to continue. See Notes 2 and 15 to the Consolidated Financial Statements.</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209"/>
        </w:trPr>
        <w:tc>
          <w:tcPr>
            <w:tcW w:w="4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w w:val="94"/>
              </w:rPr>
              <w:t>December 31,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3"/>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16"/>
                <w:szCs w:val="16"/>
                <w:color w:val="auto"/>
              </w:rPr>
            </w:pPr>
          </w:p>
        </w:tc>
      </w:tr>
      <w:tr>
        <w:trPr>
          <w:trHeight w:val="378"/>
        </w:trPr>
        <w:tc>
          <w:tcPr>
            <w:tcW w:w="4700" w:type="dxa"/>
            <w:vAlign w:val="bottom"/>
          </w:tcPr>
          <w:p>
            <w:pPr>
              <w:spacing w:after="0"/>
              <w:rPr>
                <w:sz w:val="20"/>
                <w:szCs w:val="20"/>
                <w:color w:val="auto"/>
              </w:rPr>
            </w:pPr>
            <w:r>
              <w:rPr>
                <w:rFonts w:ascii="Arial" w:cs="Arial" w:eastAsia="Arial" w:hAnsi="Arial"/>
                <w:sz w:val="16"/>
                <w:szCs w:val="16"/>
                <w:b w:val="1"/>
                <w:bCs w:val="1"/>
                <w:color w:val="auto"/>
              </w:rPr>
              <w:t>Consolidated Balance Sheet Data:</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5,495,478</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4,349,967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22,211,897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33,324,924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12,189,081</w:t>
            </w: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Total assets</w:t>
            </w:r>
          </w:p>
        </w:tc>
        <w:tc>
          <w:tcPr>
            <w:tcW w:w="2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57,729,750</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29,748,593</w:t>
            </w:r>
          </w:p>
        </w:tc>
        <w:tc>
          <w:tcPr>
            <w:tcW w:w="24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45,829,695</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53,272,659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13,433,071</w:t>
            </w:r>
          </w:p>
        </w:tc>
      </w:tr>
      <w:tr>
        <w:trPr>
          <w:trHeight w:val="189"/>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15,467,429</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5,454,220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4,371,514</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3,847,002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2,386,082</w:t>
            </w: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w w:val="98"/>
              </w:rPr>
              <w:t>(145,778,547)</w:t>
            </w:r>
          </w:p>
        </w:tc>
        <w:tc>
          <w:tcPr>
            <w:tcW w:w="2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(101,895,712)</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(80,470,009)</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(63,954,509)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(52,769,891)</w:t>
            </w:r>
          </w:p>
        </w:tc>
      </w:tr>
      <w:tr>
        <w:trPr>
          <w:trHeight w:val="189"/>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Total equity/(deficit)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42,262,321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24,294,373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41,458,181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49,425,657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11,046,989)</w:t>
            </w:r>
          </w:p>
        </w:tc>
      </w:tr>
      <w:tr>
        <w:trPr>
          <w:trHeight w:val="522"/>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Arial" w:cs="Arial" w:eastAsia="Arial" w:hAnsi="Arial"/>
                <w:sz w:val="13"/>
                <w:szCs w:val="13"/>
                <w:color w:val="auto"/>
              </w:rPr>
              <w:t>81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
        </w:trPr>
        <w:tc>
          <w:tcPr>
            <w:tcW w:w="4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445"/>
          </w:cols>
          <w:pgMar w:left="235" w:top="108" w:right="219" w:bottom="1440" w:gutter="0" w:footer="0" w:header="0"/>
        </w:sectPr>
      </w:pPr>
    </w:p>
    <w:bookmarkStart w:id="81" w:name="page82"/>
    <w:bookmarkEnd w:id="8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7" w:lineRule="exact"/>
        <w:rPr>
          <w:sz w:val="20"/>
          <w:szCs w:val="20"/>
          <w:color w:val="auto"/>
        </w:rPr>
      </w:pPr>
    </w:p>
    <w:p>
      <w:pPr>
        <w:ind w:right="420" w:firstLine="567"/>
        <w:spacing w:after="0" w:line="270" w:lineRule="auto"/>
        <w:rPr>
          <w:sz w:val="20"/>
          <w:szCs w:val="20"/>
          <w:color w:val="auto"/>
        </w:rPr>
      </w:pPr>
      <w:r>
        <w:rPr>
          <w:rFonts w:ascii="Arial" w:cs="Arial" w:eastAsia="Arial" w:hAnsi="Arial"/>
          <w:sz w:val="16"/>
          <w:szCs w:val="16"/>
          <w:color w:val="auto"/>
        </w:rPr>
        <w:t xml:space="preserve">We entered the regenerative medicine and stem cell research fields during the fourth quarter of 2007. Prior to that time, our research and product development efforts focused exclusively on our blood plasma volume expander products, particularly </w:t>
      </w:r>
      <w:r>
        <w:rPr>
          <w:rFonts w:ascii="Arial" w:cs="Arial" w:eastAsia="Arial" w:hAnsi="Arial"/>
          <w:sz w:val="16"/>
          <w:szCs w:val="16"/>
          <w:i w:val="1"/>
          <w:iCs w:val="1"/>
          <w:color w:val="auto"/>
        </w:rPr>
        <w:t>Hextend</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48" w:lineRule="exact"/>
        <w:rPr>
          <w:sz w:val="20"/>
          <w:szCs w:val="20"/>
          <w:color w:val="auto"/>
        </w:rPr>
      </w:pPr>
    </w:p>
    <w:p>
      <w:pPr>
        <w:ind w:right="240" w:firstLine="567"/>
        <w:spacing w:after="0" w:line="267" w:lineRule="auto"/>
        <w:rPr>
          <w:sz w:val="20"/>
          <w:szCs w:val="20"/>
          <w:color w:val="auto"/>
        </w:rPr>
      </w:pPr>
      <w:r>
        <w:rPr>
          <w:rFonts w:ascii="Arial" w:cs="Arial" w:eastAsia="Arial" w:hAnsi="Arial"/>
          <w:sz w:val="16"/>
          <w:szCs w:val="16"/>
          <w:color w:val="auto"/>
        </w:rPr>
        <w:t>Our consolidated statement of operations data and balance sheet data for the year ended December 31, 2013 reflects the commencement of Asterias’ business operations and its acquisition of stem cell assets from Geron. See Note15 and 21 to Consolidated Financial Statements.</w:t>
      </w:r>
    </w:p>
    <w:p>
      <w:pPr>
        <w:spacing w:after="0" w:line="181" w:lineRule="exact"/>
        <w:rPr>
          <w:sz w:val="20"/>
          <w:szCs w:val="20"/>
          <w:color w:val="auto"/>
        </w:rPr>
      </w:pPr>
    </w:p>
    <w:p>
      <w:pPr>
        <w:ind w:right="60" w:firstLine="567"/>
        <w:spacing w:after="0" w:line="267" w:lineRule="auto"/>
        <w:rPr>
          <w:sz w:val="20"/>
          <w:szCs w:val="20"/>
          <w:color w:val="auto"/>
        </w:rPr>
      </w:pPr>
      <w:r>
        <w:rPr>
          <w:rFonts w:ascii="Arial" w:cs="Arial" w:eastAsia="Arial" w:hAnsi="Arial"/>
          <w:sz w:val="16"/>
          <w:szCs w:val="16"/>
          <w:color w:val="auto"/>
        </w:rPr>
        <w:t>Our consolidated statement of operations data and balance sheet data for the year ended December 31, 2012 reflect our merger with XenneX during the year. See Notes 13 and 21 to Consolidated Financial Statements.</w:t>
      </w:r>
    </w:p>
    <w:p>
      <w:pPr>
        <w:spacing w:after="0" w:line="181" w:lineRule="exact"/>
        <w:rPr>
          <w:sz w:val="20"/>
          <w:szCs w:val="20"/>
          <w:color w:val="auto"/>
        </w:rPr>
      </w:pPr>
    </w:p>
    <w:p>
      <w:pPr>
        <w:ind w:right="360" w:firstLine="567"/>
        <w:spacing w:after="0" w:line="267" w:lineRule="auto"/>
        <w:rPr>
          <w:sz w:val="20"/>
          <w:szCs w:val="20"/>
          <w:color w:val="auto"/>
        </w:rPr>
      </w:pPr>
      <w:r>
        <w:rPr>
          <w:rFonts w:ascii="Arial" w:cs="Arial" w:eastAsia="Arial" w:hAnsi="Arial"/>
          <w:sz w:val="16"/>
          <w:szCs w:val="16"/>
          <w:color w:val="auto"/>
        </w:rPr>
        <w:t>Our consolidated statement of operations data and balance sheet data for the year ended December 31, 2011 reflect asset acquired from CTI and merger with Glycosan during the year. See Notes 11, 12 and 21 to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22" w:lineRule="exact"/>
        <w:rPr>
          <w:sz w:val="20"/>
          <w:szCs w:val="20"/>
          <w:color w:val="auto"/>
        </w:rPr>
      </w:pPr>
    </w:p>
    <w:p>
      <w:pPr>
        <w:ind w:firstLine="567"/>
        <w:spacing w:after="0" w:line="267" w:lineRule="auto"/>
        <w:rPr>
          <w:sz w:val="20"/>
          <w:szCs w:val="20"/>
          <w:color w:val="auto"/>
        </w:rPr>
      </w:pPr>
      <w:r>
        <w:rPr>
          <w:rFonts w:ascii="Arial" w:cs="Arial" w:eastAsia="Arial" w:hAnsi="Arial"/>
          <w:sz w:val="15"/>
          <w:szCs w:val="15"/>
          <w:i w:val="1"/>
          <w:iCs w:val="1"/>
          <w:color w:val="auto"/>
        </w:rPr>
        <w:t>The following Management's Discussion and Analysis of Financial Condition and Results of Operations is intended to provide information necessary to understand our audited consolidated financial statements for the two-year period ended December 31, 2013, and highlight certain other information which, in the opinion of management, will enhance a reader's understanding of our financial condition, changes in financial condition and results of operations. In particular, the discussion is intended to provide an analysis of significant trends and material changes in our financial position and the operating results of our business during the year ended December 31, 2013 as compared to the year ended December 31, 2012, and during the year ended December 31, 2012 as compared to the year ended December 31, 2011. This discussion should be read in conjunction with our consolidated financial statements for the two-year period ended December 31, 2013 and related notes included elsewhere in this Annual Report on Form 10-K. These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described throughout this filing, particularly in "Item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Plasma Volume Expander Products</w:t>
      </w:r>
    </w:p>
    <w:p>
      <w:pPr>
        <w:spacing w:after="0" w:line="214" w:lineRule="exact"/>
        <w:rPr>
          <w:sz w:val="20"/>
          <w:szCs w:val="20"/>
          <w:color w:val="auto"/>
        </w:rPr>
      </w:pPr>
    </w:p>
    <w:p>
      <w:pPr>
        <w:ind w:firstLine="567"/>
        <w:spacing w:after="0" w:line="189" w:lineRule="auto"/>
        <w:rPr>
          <w:sz w:val="20"/>
          <w:szCs w:val="20"/>
          <w:color w:val="auto"/>
        </w:rPr>
      </w:pPr>
      <w:r>
        <w:rPr>
          <w:rFonts w:ascii="Arial" w:cs="Arial" w:eastAsia="Arial" w:hAnsi="Arial"/>
          <w:sz w:val="14"/>
          <w:szCs w:val="14"/>
          <w:color w:val="auto"/>
        </w:rPr>
        <w:t xml:space="preserve">Royalties and licensing fees related to our plasma volume expander products, primarily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comprise a significant part of our operating revenues. Under our license agreements, Hospira and CJ will report sales of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and pay us the royalties and license fees due on account of such sales after the end of each calendar quarter. We recognize revenues in the quarter in which the sales report is received, rather than the quarter in which the sales took place. Royalties on sales of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that occurred during the fourth quarter of 2011 through the third quarter of 2012 are reflected in our financial statements for the year ended December 31, 2012 and royalties on sales of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during the fourth quarter of 2012 through the third quarter of 2013 are reflected in our financial statements for the year ended December 31, 2013.</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2" w:name="page83"/>
    <w:bookmarkEnd w:id="8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Programs in Regenerative Medicine and Stem Cell Research</w:t>
      </w:r>
    </w:p>
    <w:p>
      <w:pPr>
        <w:spacing w:after="0" w:line="222" w:lineRule="exact"/>
        <w:rPr>
          <w:sz w:val="20"/>
          <w:szCs w:val="20"/>
          <w:color w:val="auto"/>
        </w:rPr>
      </w:pPr>
    </w:p>
    <w:p>
      <w:pPr>
        <w:ind w:right="360" w:firstLine="567"/>
        <w:spacing w:after="0" w:line="267" w:lineRule="auto"/>
        <w:rPr>
          <w:sz w:val="20"/>
          <w:szCs w:val="20"/>
          <w:color w:val="auto"/>
        </w:rPr>
      </w:pPr>
      <w:r>
        <w:rPr>
          <w:rFonts w:ascii="Arial" w:cs="Arial" w:eastAsia="Arial" w:hAnsi="Arial"/>
          <w:sz w:val="16"/>
          <w:szCs w:val="16"/>
          <w:color w:val="auto"/>
        </w:rPr>
        <w:t>The following table summarizes the most significant achievements in our primary research and development programs in stem cell research and regenerative medicine during the last fiscal year.</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320" w:type="dxa"/>
            <w:vAlign w:val="bottom"/>
            <w:tcBorders>
              <w:top w:val="single" w:sz="8" w:color="auto"/>
              <w:left w:val="single" w:sz="8" w:color="auto"/>
              <w:right w:val="single" w:sz="8" w:color="auto"/>
            </w:tcBorders>
          </w:tcPr>
          <w:p>
            <w:pPr>
              <w:ind w:left="820"/>
              <w:spacing w:after="0"/>
              <w:rPr>
                <w:sz w:val="20"/>
                <w:szCs w:val="20"/>
                <w:color w:val="auto"/>
              </w:rPr>
            </w:pPr>
            <w:r>
              <w:rPr>
                <w:rFonts w:ascii="Arial" w:cs="Arial" w:eastAsia="Arial" w:hAnsi="Arial"/>
                <w:sz w:val="16"/>
                <w:szCs w:val="16"/>
                <w:b w:val="1"/>
                <w:bCs w:val="1"/>
                <w:color w:val="auto"/>
              </w:rPr>
              <w:t>Company</w:t>
            </w:r>
          </w:p>
        </w:tc>
        <w:tc>
          <w:tcPr>
            <w:tcW w:w="230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6"/>
                <w:szCs w:val="16"/>
                <w:b w:val="1"/>
                <w:bCs w:val="1"/>
                <w:color w:val="auto"/>
              </w:rPr>
              <w:t>Program</w:t>
            </w:r>
          </w:p>
        </w:tc>
        <w:tc>
          <w:tcPr>
            <w:tcW w:w="6820" w:type="dxa"/>
            <w:vAlign w:val="bottom"/>
            <w:tcBorders>
              <w:top w:val="single" w:sz="8" w:color="auto"/>
              <w:right w:val="single" w:sz="8" w:color="auto"/>
            </w:tcBorders>
          </w:tcPr>
          <w:p>
            <w:pPr>
              <w:ind w:left="3180"/>
              <w:spacing w:after="0"/>
              <w:rPr>
                <w:sz w:val="20"/>
                <w:szCs w:val="20"/>
                <w:color w:val="auto"/>
              </w:rPr>
            </w:pPr>
            <w:r>
              <w:rPr>
                <w:rFonts w:ascii="Arial" w:cs="Arial" w:eastAsia="Arial" w:hAnsi="Arial"/>
                <w:sz w:val="16"/>
                <w:szCs w:val="16"/>
                <w:b w:val="1"/>
                <w:bCs w:val="1"/>
                <w:color w:val="auto"/>
              </w:rPr>
              <w:t>Status</w:t>
            </w:r>
          </w:p>
        </w:tc>
        <w:tc>
          <w:tcPr>
            <w:tcW w:w="0" w:type="dxa"/>
            <w:vAlign w:val="bottom"/>
          </w:tcPr>
          <w:p>
            <w:pPr>
              <w:spacing w:after="0"/>
              <w:rPr>
                <w:sz w:val="1"/>
                <w:szCs w:val="1"/>
                <w:color w:val="auto"/>
              </w:rPr>
            </w:pPr>
          </w:p>
        </w:tc>
      </w:tr>
      <w:tr>
        <w:trPr>
          <w:trHeight w:val="29"/>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Asterias</w:t>
            </w:r>
          </w:p>
        </w:tc>
        <w:tc>
          <w:tcPr>
            <w:tcW w:w="2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Cell therapies for neurology,</w:t>
            </w: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Completed acquisition of Geron stem cell assets.</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oncology, orthopedic and</w:t>
            </w:r>
          </w:p>
        </w:tc>
        <w:tc>
          <w:tcPr>
            <w:tcW w:w="68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3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cardiovascular indications</w:t>
            </w:r>
          </w:p>
        </w:tc>
        <w:tc>
          <w:tcPr>
            <w:tcW w:w="682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Established operations.</w:t>
            </w:r>
          </w:p>
        </w:tc>
        <w:tc>
          <w:tcPr>
            <w:tcW w:w="0" w:type="dxa"/>
            <w:vAlign w:val="bottom"/>
          </w:tcPr>
          <w:p>
            <w:pPr>
              <w:spacing w:after="0"/>
              <w:rPr>
                <w:sz w:val="1"/>
                <w:szCs w:val="1"/>
                <w:color w:val="auto"/>
              </w:rPr>
            </w:pPr>
          </w:p>
        </w:tc>
      </w:tr>
      <w:tr>
        <w:trPr>
          <w:trHeight w:val="200"/>
        </w:trPr>
        <w:tc>
          <w:tcPr>
            <w:tcW w:w="2320" w:type="dxa"/>
            <w:vAlign w:val="bottom"/>
            <w:tcBorders>
              <w:top w:val="single" w:sz="8" w:color="auto"/>
              <w:left w:val="single" w:sz="8" w:color="auto"/>
              <w:right w:val="single" w:sz="8" w:color="auto"/>
            </w:tcBorders>
          </w:tcPr>
          <w:p>
            <w:pPr>
              <w:ind w:left="40"/>
              <w:spacing w:after="0" w:line="200" w:lineRule="exact"/>
              <w:rPr>
                <w:sz w:val="20"/>
                <w:szCs w:val="20"/>
                <w:color w:val="auto"/>
              </w:rPr>
            </w:pPr>
            <w:r>
              <w:rPr>
                <w:rFonts w:ascii="Arial" w:cs="Arial" w:eastAsia="Arial" w:hAnsi="Arial"/>
                <w:sz w:val="14"/>
                <w:szCs w:val="14"/>
                <w:color w:val="auto"/>
              </w:rPr>
              <w:t>BioTime</w:t>
            </w:r>
            <w:r>
              <w:rPr>
                <w:rFonts w:ascii="Arial" w:cs="Arial" w:eastAsia="Arial" w:hAnsi="Arial"/>
                <w:sz w:val="23"/>
                <w:szCs w:val="23"/>
                <w:color w:val="auto"/>
                <w:vertAlign w:val="superscript"/>
              </w:rPr>
              <w:t>(1)</w:t>
            </w:r>
            <w:r>
              <w:rPr>
                <w:rFonts w:ascii="Arial" w:cs="Arial" w:eastAsia="Arial" w:hAnsi="Arial"/>
                <w:sz w:val="14"/>
                <w:szCs w:val="14"/>
                <w:color w:val="auto"/>
              </w:rPr>
              <w:t xml:space="preserve"> and ES Cell</w:t>
            </w:r>
          </w:p>
        </w:tc>
        <w:tc>
          <w:tcPr>
            <w:tcW w:w="2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ESI BIO BioTime’s new research</w:t>
            </w:r>
          </w:p>
        </w:tc>
        <w:tc>
          <w:tcPr>
            <w:tcW w:w="68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w w:val="94"/>
              </w:rPr>
              <w:t>BioTime is consolidating its existing portfolio of stem cell research products (including various brands)</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 Pte. Ltd. (“ESI”)</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0"/>
              </w:rPr>
              <w:t>products operations and marketing</w:t>
            </w: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5"/>
              </w:rPr>
              <w:t>and its research products operations under one brand and operating division, ESI BIO. An important</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program.</w:t>
            </w: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6"/>
              </w:rPr>
              <w:t>element of the new ESI BIO branding program is to provide focused branding and messaging to the</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88"/>
              </w:rPr>
              <w:t>market, and to leverage the strengths of existing BioTime research products as excellent research tools that</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0"/>
              </w:rPr>
              <w:t>can be manufactured as potential therapeutic products. providing customers with an easier “translation” of</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9"/>
              </w:rPr>
              <w:t>their research products into the clinic, and providing BioTime with future therapeutic out-licensing</w:t>
            </w: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opportunities.</w:t>
            </w:r>
          </w:p>
        </w:tc>
        <w:tc>
          <w:tcPr>
            <w:tcW w:w="0" w:type="dxa"/>
            <w:vAlign w:val="bottom"/>
          </w:tcPr>
          <w:p>
            <w:pPr>
              <w:spacing w:after="0"/>
              <w:rPr>
                <w:sz w:val="1"/>
                <w:szCs w:val="1"/>
                <w:color w:val="auto"/>
              </w:rPr>
            </w:pPr>
          </w:p>
        </w:tc>
      </w:tr>
      <w:tr>
        <w:trPr>
          <w:trHeight w:val="456"/>
        </w:trPr>
        <w:tc>
          <w:tcPr>
            <w:tcW w:w="232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Existing product consolidation</w:t>
            </w:r>
            <w:r>
              <w:rPr>
                <w:rFonts w:ascii="Arial" w:cs="Arial" w:eastAsia="Arial" w:hAnsi="Arial"/>
                <w:sz w:val="16"/>
                <w:szCs w:val="16"/>
                <w:i w:val="1"/>
                <w:iCs w:val="1"/>
                <w:color w:val="auto"/>
              </w:rPr>
              <w:t>:</w:t>
            </w: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Existing product sub-brands that are being consolidated under ESI BIO include: ESI’s cGMP, NIH-</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4"/>
                <w:szCs w:val="14"/>
                <w:color w:val="auto"/>
              </w:rPr>
              <w:t xml:space="preserve">ESI cGMP cell lines; the </w:t>
            </w:r>
            <w:r>
              <w:rPr>
                <w:rFonts w:ascii="Arial" w:cs="Arial" w:eastAsia="Arial" w:hAnsi="Arial"/>
                <w:sz w:val="14"/>
                <w:szCs w:val="14"/>
                <w:i w:val="1"/>
                <w:iCs w:val="1"/>
                <w:color w:val="auto"/>
              </w:rPr>
              <w:t>HyStem</w:t>
            </w:r>
            <w:r>
              <w:rPr>
                <w:rFonts w:ascii="Arial" w:cs="Arial" w:eastAsia="Arial" w:hAnsi="Arial"/>
                <w:sz w:val="21"/>
                <w:szCs w:val="21"/>
                <w:color w:val="auto"/>
                <w:vertAlign w:val="superscript"/>
              </w:rPr>
              <w:t>®</w:t>
            </w:r>
          </w:p>
        </w:tc>
        <w:tc>
          <w:tcPr>
            <w:tcW w:w="6820" w:type="dxa"/>
            <w:vAlign w:val="bottom"/>
            <w:tcBorders>
              <w:right w:val="single" w:sz="8" w:color="auto"/>
            </w:tcBorders>
          </w:tcPr>
          <w:p>
            <w:pPr>
              <w:spacing w:after="0" w:line="189" w:lineRule="exact"/>
              <w:rPr>
                <w:sz w:val="20"/>
                <w:szCs w:val="20"/>
                <w:color w:val="auto"/>
              </w:rPr>
            </w:pPr>
            <w:r>
              <w:rPr>
                <w:rFonts w:ascii="Arial" w:cs="Arial" w:eastAsia="Arial" w:hAnsi="Arial"/>
                <w:sz w:val="14"/>
                <w:szCs w:val="14"/>
                <w:color w:val="auto"/>
              </w:rPr>
              <w:t xml:space="preserve">approved, hES cell lines; the cGMP </w:t>
            </w:r>
            <w:r>
              <w:rPr>
                <w:rFonts w:ascii="Arial" w:cs="Arial" w:eastAsia="Arial" w:hAnsi="Arial"/>
                <w:sz w:val="14"/>
                <w:szCs w:val="14"/>
                <w:i w:val="1"/>
                <w:iCs w:val="1"/>
                <w:color w:val="auto"/>
              </w:rPr>
              <w:t>HyStem</w:t>
            </w:r>
            <w:r>
              <w:rPr>
                <w:rFonts w:ascii="Arial" w:cs="Arial" w:eastAsia="Arial" w:hAnsi="Arial"/>
                <w:sz w:val="21"/>
                <w:szCs w:val="21"/>
                <w:color w:val="auto"/>
                <w:vertAlign w:val="superscript"/>
              </w:rPr>
              <w:t>®</w:t>
            </w:r>
            <w:r>
              <w:rPr>
                <w:rFonts w:ascii="Arial" w:cs="Arial" w:eastAsia="Arial" w:hAnsi="Arial"/>
                <w:sz w:val="14"/>
                <w:szCs w:val="14"/>
                <w:color w:val="auto"/>
              </w:rPr>
              <w:t xml:space="preserve"> </w:t>
            </w:r>
            <w:r>
              <w:rPr>
                <w:rFonts w:ascii="Arial" w:cs="Arial" w:eastAsia="Arial" w:hAnsi="Arial"/>
                <w:sz w:val="13"/>
                <w:szCs w:val="13"/>
                <w:color w:val="auto"/>
              </w:rPr>
              <w:t>hydrogel cell culture matrix products (formally provided</w:t>
            </w: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20"/>
              <w:spacing w:after="0" w:line="200" w:lineRule="exact"/>
              <w:rPr>
                <w:sz w:val="20"/>
                <w:szCs w:val="20"/>
                <w:color w:val="auto"/>
              </w:rPr>
            </w:pPr>
            <w:r>
              <w:rPr>
                <w:rFonts w:ascii="Arial" w:cs="Arial" w:eastAsia="Arial" w:hAnsi="Arial"/>
                <w:sz w:val="14"/>
                <w:szCs w:val="14"/>
                <w:color w:val="auto"/>
              </w:rPr>
              <w:t xml:space="preserve">hydrogels; and the </w:t>
            </w:r>
            <w:r>
              <w:rPr>
                <w:rFonts w:ascii="Arial" w:cs="Arial" w:eastAsia="Arial" w:hAnsi="Arial"/>
                <w:sz w:val="14"/>
                <w:szCs w:val="14"/>
                <w:i w:val="1"/>
                <w:iCs w:val="1"/>
                <w:color w:val="auto"/>
              </w:rPr>
              <w:t>PureStem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cell</w:t>
            </w:r>
          </w:p>
        </w:tc>
        <w:tc>
          <w:tcPr>
            <w:tcW w:w="6820" w:type="dxa"/>
            <w:vAlign w:val="bottom"/>
            <w:tcBorders>
              <w:right w:val="single" w:sz="8" w:color="auto"/>
            </w:tcBorders>
          </w:tcPr>
          <w:p>
            <w:pPr>
              <w:spacing w:after="0" w:line="200" w:lineRule="exact"/>
              <w:rPr>
                <w:sz w:val="20"/>
                <w:szCs w:val="20"/>
                <w:color w:val="auto"/>
              </w:rPr>
            </w:pPr>
            <w:r>
              <w:rPr>
                <w:rFonts w:ascii="Arial" w:cs="Arial" w:eastAsia="Arial" w:hAnsi="Arial"/>
                <w:sz w:val="14"/>
                <w:szCs w:val="14"/>
                <w:color w:val="auto"/>
              </w:rPr>
              <w:t xml:space="preserve">under the Glycosan brand); the </w:t>
            </w:r>
            <w:r>
              <w:rPr>
                <w:rFonts w:ascii="Arial" w:cs="Arial" w:eastAsia="Arial" w:hAnsi="Arial"/>
                <w:sz w:val="14"/>
                <w:szCs w:val="14"/>
                <w:i w:val="1"/>
                <w:iCs w:val="1"/>
                <w:color w:val="auto"/>
              </w:rPr>
              <w:t>PureStem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brand of human progenitor cells; and cell growth media, and</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w w:val="98"/>
              </w:rPr>
              <w:t>lines/growth media/reagent kits for</w:t>
            </w:r>
          </w:p>
        </w:tc>
        <w:tc>
          <w:tcPr>
            <w:tcW w:w="682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reagent cell differentiation kits.</w:t>
            </w:r>
          </w:p>
        </w:tc>
        <w:tc>
          <w:tcPr>
            <w:tcW w:w="0" w:type="dxa"/>
            <w:vAlign w:val="bottom"/>
          </w:tcPr>
          <w:p>
            <w:pPr>
              <w:spacing w:after="0"/>
              <w:rPr>
                <w:sz w:val="1"/>
                <w:szCs w:val="1"/>
                <w:color w:val="auto"/>
              </w:rPr>
            </w:pPr>
          </w:p>
        </w:tc>
      </w:tr>
      <w:tr>
        <w:trPr>
          <w:trHeight w:val="195"/>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stem cell research</w:t>
            </w:r>
          </w:p>
        </w:tc>
        <w:tc>
          <w:tcPr>
            <w:tcW w:w="6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61"/>
        </w:trPr>
        <w:tc>
          <w:tcPr>
            <w:tcW w:w="232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New product development and</w:t>
            </w: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2"/>
              </w:rPr>
              <w:t>ESI BIO has hired a team of consultants proficient in developing, manufacturing and marketing stem cell</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new infrastructure development.</w:t>
            </w: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research products utilizing the latest technologies in cellular reprogramming that are well-matched and</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3"/>
              </w:rPr>
              <w:t>complementary to ESI BIO’s current product portfolio. This group has already created the new ESI BIO</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2"/>
              </w:rPr>
              <w:t>branding program and a web site, and has created and launched over 15 new products. As the research</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2"/>
              </w:rPr>
              <w:t>products business grows, we expect that this team will participate in upgrading ESI BIO’s manufacturing</w:t>
            </w: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and logistics infrastructure needed to meet the needs of its research products business</w:t>
            </w:r>
          </w:p>
        </w:tc>
        <w:tc>
          <w:tcPr>
            <w:tcW w:w="0" w:type="dxa"/>
            <w:vAlign w:val="bottom"/>
          </w:tcPr>
          <w:p>
            <w:pPr>
              <w:spacing w:after="0"/>
              <w:rPr>
                <w:sz w:val="1"/>
                <w:szCs w:val="1"/>
                <w:color w:val="auto"/>
              </w:rPr>
            </w:pPr>
          </w:p>
        </w:tc>
      </w:tr>
      <w:tr>
        <w:trPr>
          <w:trHeight w:val="29"/>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3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BioTime</w:t>
            </w:r>
          </w:p>
        </w:tc>
        <w:tc>
          <w:tcPr>
            <w:tcW w:w="2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Biocompatible hydrogels that</w:t>
            </w: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w w:val="91"/>
              </w:rPr>
              <w:t>Published a set of scientific reviews featuring pre-clinical data produced by prominent scientists studying</w:t>
            </w:r>
          </w:p>
        </w:tc>
        <w:tc>
          <w:tcPr>
            <w:tcW w:w="0" w:type="dxa"/>
            <w:vAlign w:val="bottom"/>
          </w:tcPr>
          <w:p>
            <w:pPr>
              <w:spacing w:after="0"/>
              <w:rPr>
                <w:sz w:val="1"/>
                <w:szCs w:val="1"/>
                <w:color w:val="auto"/>
              </w:rPr>
            </w:pPr>
          </w:p>
        </w:tc>
      </w:tr>
      <w:tr>
        <w:trPr>
          <w:trHeight w:val="197"/>
        </w:trPr>
        <w:tc>
          <w:tcPr>
            <w:tcW w:w="2320" w:type="dxa"/>
            <w:vAlign w:val="bottom"/>
            <w:tcBorders>
              <w:left w:val="single" w:sz="8" w:color="auto"/>
              <w:right w:val="single" w:sz="8" w:color="auto"/>
            </w:tcBorders>
            <w:shd w:val="clear" w:color="auto" w:fill="CCEEFF"/>
          </w:tcPr>
          <w:p>
            <w:pPr>
              <w:spacing w:after="0"/>
              <w:rPr>
                <w:sz w:val="17"/>
                <w:szCs w:val="17"/>
                <w:color w:val="auto"/>
              </w:rPr>
            </w:pPr>
          </w:p>
        </w:tc>
        <w:tc>
          <w:tcPr>
            <w:tcW w:w="2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mimic the human extracellular</w:t>
            </w:r>
          </w:p>
        </w:tc>
        <w:tc>
          <w:tcPr>
            <w:tcW w:w="6820" w:type="dxa"/>
            <w:vAlign w:val="bottom"/>
            <w:tcBorders>
              <w:right w:val="single" w:sz="8" w:color="auto"/>
            </w:tcBorders>
            <w:shd w:val="clear" w:color="auto" w:fill="CCEEFF"/>
          </w:tcPr>
          <w:p>
            <w:pPr>
              <w:spacing w:after="0" w:line="198" w:lineRule="exact"/>
              <w:rPr>
                <w:sz w:val="20"/>
                <w:szCs w:val="20"/>
                <w:color w:val="auto"/>
              </w:rPr>
            </w:pPr>
            <w:r>
              <w:rPr>
                <w:rFonts w:ascii="Arial" w:cs="Arial" w:eastAsia="Arial" w:hAnsi="Arial"/>
                <w:sz w:val="14"/>
                <w:szCs w:val="14"/>
                <w:color w:val="auto"/>
              </w:rPr>
              <w:t xml:space="preserve">the potential clinical use of our </w:t>
            </w:r>
            <w:r>
              <w:rPr>
                <w:rFonts w:ascii="Arial" w:cs="Arial" w:eastAsia="Arial" w:hAnsi="Arial"/>
                <w:sz w:val="14"/>
                <w:szCs w:val="14"/>
                <w:i w:val="1"/>
                <w:iCs w:val="1"/>
                <w:color w:val="auto"/>
              </w:rPr>
              <w:t>HyStem</w:t>
            </w:r>
            <w:r>
              <w:rPr>
                <w:rFonts w:ascii="Arial" w:cs="Arial" w:eastAsia="Arial" w:hAnsi="Arial"/>
                <w:sz w:val="22"/>
                <w:szCs w:val="22"/>
                <w:color w:val="auto"/>
                <w:vertAlign w:val="superscript"/>
              </w:rPr>
              <w:t>®</w:t>
            </w:r>
            <w:r>
              <w:rPr>
                <w:rFonts w:ascii="Arial" w:cs="Arial" w:eastAsia="Arial" w:hAnsi="Arial"/>
                <w:sz w:val="14"/>
                <w:szCs w:val="14"/>
                <w:color w:val="auto"/>
              </w:rPr>
              <w:t xml:space="preserve"> hydrogel extracellular matrix products in combination with</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matrix</w:t>
            </w: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progenitor cells to treat stroke, cancer, vocal fold damage, cardiovascular disease and kidney disease. The</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300" w:type="dxa"/>
            <w:vAlign w:val="bottom"/>
            <w:tcBorders>
              <w:right w:val="single" w:sz="8" w:color="auto"/>
            </w:tcBorders>
            <w:shd w:val="clear" w:color="auto" w:fill="CCEEFF"/>
          </w:tcPr>
          <w:p>
            <w:pPr>
              <w:spacing w:after="0"/>
              <w:rPr>
                <w:sz w:val="16"/>
                <w:szCs w:val="16"/>
                <w:color w:val="auto"/>
              </w:rPr>
            </w:pP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w w:val="92"/>
              </w:rPr>
              <w:t xml:space="preserve">review articles were published in the international, online, open access, peer-reviewed journal </w:t>
            </w:r>
            <w:r>
              <w:rPr>
                <w:rFonts w:ascii="Arial" w:cs="Arial" w:eastAsia="Arial" w:hAnsi="Arial"/>
                <w:sz w:val="16"/>
                <w:szCs w:val="16"/>
                <w:i w:val="1"/>
                <w:iCs w:val="1"/>
                <w:color w:val="auto"/>
                <w:w w:val="92"/>
              </w:rPr>
              <w:t>Biomatter</w:t>
            </w: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shd w:val="clear" w:color="auto" w:fill="CCEEFF"/>
          </w:tcPr>
          <w:p>
            <w:pPr>
              <w:spacing w:after="0"/>
              <w:rPr>
                <w:sz w:val="17"/>
                <w:szCs w:val="17"/>
                <w:color w:val="auto"/>
              </w:rPr>
            </w:pPr>
          </w:p>
        </w:tc>
        <w:tc>
          <w:tcPr>
            <w:tcW w:w="2300" w:type="dxa"/>
            <w:vAlign w:val="bottom"/>
            <w:tcBorders>
              <w:right w:val="single" w:sz="8" w:color="auto"/>
            </w:tcBorders>
            <w:shd w:val="clear" w:color="auto" w:fill="CCEEFF"/>
          </w:tcPr>
          <w:p>
            <w:pPr>
              <w:spacing w:after="0"/>
              <w:rPr>
                <w:sz w:val="17"/>
                <w:szCs w:val="17"/>
                <w:color w:val="auto"/>
              </w:rPr>
            </w:pP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(Biomatter 3:1, January/February/March 2013).</w:t>
            </w:r>
          </w:p>
        </w:tc>
        <w:tc>
          <w:tcPr>
            <w:tcW w:w="0" w:type="dxa"/>
            <w:vAlign w:val="bottom"/>
          </w:tcPr>
          <w:p>
            <w:pPr>
              <w:spacing w:after="0"/>
              <w:rPr>
                <w:sz w:val="1"/>
                <w:szCs w:val="1"/>
                <w:color w:val="auto"/>
              </w:rPr>
            </w:pPr>
          </w:p>
        </w:tc>
      </w:tr>
      <w:tr>
        <w:trPr>
          <w:trHeight w:val="367"/>
        </w:trPr>
        <w:tc>
          <w:tcPr>
            <w:tcW w:w="2320" w:type="dxa"/>
            <w:vAlign w:val="bottom"/>
            <w:tcBorders>
              <w:left w:val="single" w:sz="8" w:color="auto"/>
              <w:right w:val="single" w:sz="8" w:color="auto"/>
            </w:tcBorders>
            <w:shd w:val="clear" w:color="auto" w:fill="CCEEFF"/>
          </w:tcPr>
          <w:p>
            <w:pPr>
              <w:spacing w:after="0"/>
              <w:rPr>
                <w:sz w:val="24"/>
                <w:szCs w:val="24"/>
                <w:color w:val="auto"/>
              </w:rPr>
            </w:pPr>
          </w:p>
        </w:tc>
        <w:tc>
          <w:tcPr>
            <w:tcW w:w="2300" w:type="dxa"/>
            <w:vAlign w:val="bottom"/>
            <w:tcBorders>
              <w:right w:val="single" w:sz="8" w:color="auto"/>
            </w:tcBorders>
            <w:shd w:val="clear" w:color="auto" w:fill="CCEEFF"/>
          </w:tcPr>
          <w:p>
            <w:pPr>
              <w:spacing w:after="0"/>
              <w:rPr>
                <w:sz w:val="24"/>
                <w:szCs w:val="24"/>
                <w:color w:val="auto"/>
              </w:rPr>
            </w:pP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w w:val="94"/>
              </w:rPr>
              <w:t xml:space="preserve">Conducted pre-clinical development and first clinical safety study of </w:t>
            </w:r>
            <w:r>
              <w:rPr>
                <w:rFonts w:ascii="Arial" w:cs="Arial" w:eastAsia="Arial" w:hAnsi="Arial"/>
                <w:sz w:val="16"/>
                <w:szCs w:val="16"/>
                <w:i w:val="1"/>
                <w:iCs w:val="1"/>
                <w:color w:val="auto"/>
                <w:w w:val="94"/>
              </w:rPr>
              <w:t>Renevia</w:t>
            </w:r>
            <w:r>
              <w:rPr>
                <w:rFonts w:ascii="Arial" w:cs="Arial" w:eastAsia="Arial" w:hAnsi="Arial"/>
                <w:sz w:val="26"/>
                <w:szCs w:val="26"/>
                <w:color w:val="auto"/>
                <w:w w:val="94"/>
                <w:vertAlign w:val="superscript"/>
              </w:rPr>
              <w:t>™</w:t>
            </w:r>
            <w:r>
              <w:rPr>
                <w:rFonts w:ascii="Arial" w:cs="Arial" w:eastAsia="Arial" w:hAnsi="Arial"/>
                <w:sz w:val="16"/>
                <w:szCs w:val="16"/>
                <w:color w:val="auto"/>
                <w:w w:val="94"/>
              </w:rPr>
              <w:t xml:space="preserve"> as an implantable cell</w:t>
            </w: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shd w:val="clear" w:color="auto" w:fill="CCEEFF"/>
          </w:tcPr>
          <w:p>
            <w:pPr>
              <w:spacing w:after="0"/>
              <w:rPr>
                <w:sz w:val="17"/>
                <w:szCs w:val="17"/>
                <w:color w:val="auto"/>
              </w:rPr>
            </w:pPr>
          </w:p>
        </w:tc>
        <w:tc>
          <w:tcPr>
            <w:tcW w:w="2300" w:type="dxa"/>
            <w:vAlign w:val="bottom"/>
            <w:tcBorders>
              <w:right w:val="single" w:sz="8" w:color="auto"/>
            </w:tcBorders>
            <w:shd w:val="clear" w:color="auto" w:fill="CCEEFF"/>
          </w:tcPr>
          <w:p>
            <w:pPr>
              <w:spacing w:after="0"/>
              <w:rPr>
                <w:sz w:val="17"/>
                <w:szCs w:val="17"/>
                <w:color w:val="auto"/>
              </w:rPr>
            </w:pP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delivery device.</w:t>
            </w:r>
          </w:p>
        </w:tc>
        <w:tc>
          <w:tcPr>
            <w:tcW w:w="0" w:type="dxa"/>
            <w:vAlign w:val="bottom"/>
          </w:tcPr>
          <w:p>
            <w:pPr>
              <w:spacing w:after="0"/>
              <w:rPr>
                <w:sz w:val="1"/>
                <w:szCs w:val="1"/>
                <w:color w:val="auto"/>
              </w:rPr>
            </w:pPr>
          </w:p>
        </w:tc>
      </w:tr>
      <w:tr>
        <w:trPr>
          <w:trHeight w:val="367"/>
        </w:trPr>
        <w:tc>
          <w:tcPr>
            <w:tcW w:w="2320" w:type="dxa"/>
            <w:vAlign w:val="bottom"/>
            <w:tcBorders>
              <w:left w:val="single" w:sz="8" w:color="auto"/>
              <w:right w:val="single" w:sz="8" w:color="auto"/>
            </w:tcBorders>
            <w:shd w:val="clear" w:color="auto" w:fill="CCEEFF"/>
          </w:tcPr>
          <w:p>
            <w:pPr>
              <w:spacing w:after="0"/>
              <w:rPr>
                <w:sz w:val="24"/>
                <w:szCs w:val="24"/>
                <w:color w:val="auto"/>
              </w:rPr>
            </w:pPr>
          </w:p>
        </w:tc>
        <w:tc>
          <w:tcPr>
            <w:tcW w:w="230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i w:val="1"/>
                <w:iCs w:val="1"/>
                <w:color w:val="auto"/>
                <w:w w:val="96"/>
              </w:rPr>
              <w:t>Hextend</w:t>
            </w:r>
            <w:r>
              <w:rPr>
                <w:rFonts w:ascii="Arial" w:cs="Arial" w:eastAsia="Arial" w:hAnsi="Arial"/>
                <w:sz w:val="25"/>
                <w:szCs w:val="25"/>
                <w:color w:val="auto"/>
                <w:w w:val="96"/>
                <w:vertAlign w:val="superscript"/>
              </w:rPr>
              <w:t>®</w:t>
            </w:r>
            <w:r>
              <w:rPr>
                <w:rFonts w:ascii="Arial" w:cs="Arial" w:eastAsia="Arial" w:hAnsi="Arial"/>
                <w:sz w:val="16"/>
                <w:szCs w:val="16"/>
                <w:i w:val="1"/>
                <w:iCs w:val="1"/>
                <w:color w:val="auto"/>
                <w:w w:val="96"/>
              </w:rPr>
              <w:t xml:space="preserve"> </w:t>
            </w:r>
            <w:r>
              <w:rPr>
                <w:rFonts w:ascii="Arial" w:cs="Arial" w:eastAsia="Arial" w:hAnsi="Arial"/>
                <w:sz w:val="15"/>
                <w:szCs w:val="15"/>
                <w:color w:val="auto"/>
                <w:w w:val="96"/>
              </w:rPr>
              <w:t>– Blood plasma volume</w:t>
            </w: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w w:val="90"/>
              </w:rPr>
              <w:t xml:space="preserve">Conducted toxicology studies of </w:t>
            </w:r>
            <w:r>
              <w:rPr>
                <w:rFonts w:ascii="Arial" w:cs="Arial" w:eastAsia="Arial" w:hAnsi="Arial"/>
                <w:sz w:val="16"/>
                <w:szCs w:val="16"/>
                <w:i w:val="1"/>
                <w:iCs w:val="1"/>
                <w:color w:val="auto"/>
                <w:w w:val="90"/>
              </w:rPr>
              <w:t>Renevia</w:t>
            </w:r>
            <w:r>
              <w:rPr>
                <w:rFonts w:ascii="Arial" w:cs="Arial" w:eastAsia="Arial" w:hAnsi="Arial"/>
                <w:sz w:val="26"/>
                <w:szCs w:val="26"/>
                <w:color w:val="auto"/>
                <w:w w:val="90"/>
                <w:vertAlign w:val="superscript"/>
              </w:rPr>
              <w:t>™</w:t>
            </w:r>
            <w:r>
              <w:rPr>
                <w:rFonts w:ascii="Arial" w:cs="Arial" w:eastAsia="Arial" w:hAnsi="Arial"/>
                <w:sz w:val="16"/>
                <w:szCs w:val="16"/>
                <w:color w:val="auto"/>
                <w:w w:val="90"/>
              </w:rPr>
              <w:t xml:space="preserve"> in the brains of laboratory mice. Results show no difference in</w:t>
            </w:r>
          </w:p>
        </w:tc>
        <w:tc>
          <w:tcPr>
            <w:tcW w:w="0" w:type="dxa"/>
            <w:vAlign w:val="bottom"/>
          </w:tcPr>
          <w:p>
            <w:pPr>
              <w:spacing w:after="0"/>
              <w:rPr>
                <w:sz w:val="1"/>
                <w:szCs w:val="1"/>
                <w:color w:val="auto"/>
              </w:rPr>
            </w:pPr>
          </w:p>
        </w:tc>
      </w:tr>
      <w:tr>
        <w:trPr>
          <w:trHeight w:val="181"/>
        </w:trPr>
        <w:tc>
          <w:tcPr>
            <w:tcW w:w="2320" w:type="dxa"/>
            <w:vAlign w:val="bottom"/>
            <w:tcBorders>
              <w:left w:val="single" w:sz="8" w:color="auto"/>
              <w:right w:val="single" w:sz="8" w:color="auto"/>
            </w:tcBorders>
            <w:shd w:val="clear" w:color="auto" w:fill="CCEEFF"/>
          </w:tcPr>
          <w:p>
            <w:pPr>
              <w:spacing w:after="0"/>
              <w:rPr>
                <w:sz w:val="15"/>
                <w:szCs w:val="15"/>
                <w:color w:val="auto"/>
              </w:rPr>
            </w:pPr>
          </w:p>
        </w:tc>
        <w:tc>
          <w:tcPr>
            <w:tcW w:w="2300" w:type="dxa"/>
            <w:vAlign w:val="bottom"/>
            <w:tcBorders>
              <w:right w:val="single" w:sz="8" w:color="auto"/>
            </w:tcBorders>
            <w:vMerge w:val="continue"/>
            <w:shd w:val="clear" w:color="auto" w:fill="CCEEFF"/>
          </w:tcPr>
          <w:p>
            <w:pPr>
              <w:spacing w:after="0"/>
              <w:rPr>
                <w:sz w:val="15"/>
                <w:szCs w:val="15"/>
                <w:color w:val="auto"/>
              </w:rPr>
            </w:pPr>
          </w:p>
        </w:tc>
        <w:tc>
          <w:tcPr>
            <w:tcW w:w="6820" w:type="dxa"/>
            <w:vAlign w:val="bottom"/>
            <w:tcBorders>
              <w:right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w w:val="93"/>
              </w:rPr>
              <w:t>reactive astrocytes, macrophages/microglia, neuronal number or blood vessel structure between saline</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expanders</w:t>
            </w:r>
          </w:p>
        </w:tc>
        <w:tc>
          <w:tcPr>
            <w:tcW w:w="682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3"/>
                <w:szCs w:val="13"/>
                <w:color w:val="auto"/>
              </w:rPr>
              <w:t xml:space="preserve">controls and </w:t>
            </w:r>
            <w:r>
              <w:rPr>
                <w:rFonts w:ascii="Arial" w:cs="Arial" w:eastAsia="Arial" w:hAnsi="Arial"/>
                <w:sz w:val="13"/>
                <w:szCs w:val="13"/>
                <w:i w:val="1"/>
                <w:iCs w:val="1"/>
                <w:color w:val="auto"/>
              </w:rPr>
              <w:t>Renevia</w:t>
            </w:r>
            <w:r>
              <w:rPr>
                <w:rFonts w:ascii="Arial" w:cs="Arial" w:eastAsia="Arial" w:hAnsi="Arial"/>
                <w:sz w:val="21"/>
                <w:szCs w:val="21"/>
                <w:color w:val="auto"/>
                <w:vertAlign w:val="superscript"/>
              </w:rPr>
              <w:t>™</w:t>
            </w:r>
            <w:r>
              <w:rPr>
                <w:rFonts w:ascii="Arial" w:cs="Arial" w:eastAsia="Arial" w:hAnsi="Arial"/>
                <w:sz w:val="13"/>
                <w:szCs w:val="13"/>
                <w:color w:val="auto"/>
              </w:rPr>
              <w:t>. There was no evidence of granulomata or foreign body reaction around either</w:t>
            </w:r>
          </w:p>
        </w:tc>
        <w:tc>
          <w:tcPr>
            <w:tcW w:w="0" w:type="dxa"/>
            <w:vAlign w:val="bottom"/>
          </w:tcPr>
          <w:p>
            <w:pPr>
              <w:spacing w:after="0"/>
              <w:rPr>
                <w:sz w:val="1"/>
                <w:szCs w:val="1"/>
                <w:color w:val="auto"/>
              </w:rPr>
            </w:pPr>
          </w:p>
        </w:tc>
      </w:tr>
      <w:tr>
        <w:trPr>
          <w:trHeight w:val="340"/>
        </w:trPr>
        <w:tc>
          <w:tcPr>
            <w:tcW w:w="2320" w:type="dxa"/>
            <w:vAlign w:val="bottom"/>
            <w:tcBorders>
              <w:left w:val="single" w:sz="8" w:color="auto"/>
              <w:right w:val="single" w:sz="8" w:color="auto"/>
            </w:tcBorders>
            <w:shd w:val="clear" w:color="auto" w:fill="CCEEFF"/>
          </w:tcPr>
          <w:p>
            <w:pPr>
              <w:spacing w:after="0"/>
              <w:rPr>
                <w:sz w:val="24"/>
                <w:szCs w:val="24"/>
                <w:color w:val="auto"/>
              </w:rPr>
            </w:pPr>
          </w:p>
        </w:tc>
        <w:tc>
          <w:tcPr>
            <w:tcW w:w="2300" w:type="dxa"/>
            <w:vAlign w:val="bottom"/>
            <w:tcBorders>
              <w:right w:val="single" w:sz="8" w:color="auto"/>
            </w:tcBorders>
            <w:shd w:val="clear" w:color="auto" w:fill="CCEEFF"/>
          </w:tcPr>
          <w:p>
            <w:pPr>
              <w:spacing w:after="0"/>
              <w:rPr>
                <w:sz w:val="24"/>
                <w:szCs w:val="24"/>
                <w:color w:val="auto"/>
              </w:rPr>
            </w:pP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 xml:space="preserve">saline or </w:t>
            </w:r>
            <w:r>
              <w:rPr>
                <w:rFonts w:ascii="Arial" w:cs="Arial" w:eastAsia="Arial" w:hAnsi="Arial"/>
                <w:sz w:val="16"/>
                <w:szCs w:val="16"/>
                <w:i w:val="1"/>
                <w:iCs w:val="1"/>
                <w:color w:val="auto"/>
              </w:rPr>
              <w:t>Renevia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injection sites.</w:t>
            </w:r>
          </w:p>
        </w:tc>
        <w:tc>
          <w:tcPr>
            <w:tcW w:w="0" w:type="dxa"/>
            <w:vAlign w:val="bottom"/>
          </w:tcPr>
          <w:p>
            <w:pPr>
              <w:spacing w:after="0"/>
              <w:rPr>
                <w:sz w:val="1"/>
                <w:szCs w:val="1"/>
                <w:color w:val="auto"/>
              </w:rPr>
            </w:pPr>
          </w:p>
        </w:tc>
      </w:tr>
      <w:tr>
        <w:trPr>
          <w:trHeight w:val="240"/>
        </w:trPr>
        <w:tc>
          <w:tcPr>
            <w:tcW w:w="2320" w:type="dxa"/>
            <w:vAlign w:val="bottom"/>
            <w:tcBorders>
              <w:left w:val="single" w:sz="8" w:color="auto"/>
              <w:right w:val="single" w:sz="8" w:color="auto"/>
            </w:tcBorders>
            <w:shd w:val="clear" w:color="auto" w:fill="CCEEFF"/>
          </w:tcPr>
          <w:p>
            <w:pPr>
              <w:spacing w:after="0"/>
              <w:rPr>
                <w:sz w:val="20"/>
                <w:szCs w:val="20"/>
                <w:color w:val="auto"/>
              </w:rPr>
            </w:pPr>
          </w:p>
        </w:tc>
        <w:tc>
          <w:tcPr>
            <w:tcW w:w="2300" w:type="dxa"/>
            <w:vAlign w:val="bottom"/>
            <w:tcBorders>
              <w:right w:val="single" w:sz="8" w:color="auto"/>
            </w:tcBorders>
            <w:shd w:val="clear" w:color="auto" w:fill="CCEEFF"/>
          </w:tcPr>
          <w:p>
            <w:pPr>
              <w:spacing w:after="0"/>
              <w:rPr>
                <w:sz w:val="20"/>
                <w:szCs w:val="20"/>
                <w:color w:val="auto"/>
              </w:rPr>
            </w:pPr>
          </w:p>
        </w:tc>
        <w:tc>
          <w:tcPr>
            <w:tcW w:w="6820" w:type="dxa"/>
            <w:vAlign w:val="bottom"/>
            <w:tcBorders>
              <w:right w:val="single" w:sz="8" w:color="auto"/>
            </w:tcBorders>
            <w:shd w:val="clear" w:color="auto" w:fill="CCEEFF"/>
          </w:tcPr>
          <w:p>
            <w:pPr>
              <w:spacing w:after="0" w:line="240" w:lineRule="exact"/>
              <w:rPr>
                <w:sz w:val="20"/>
                <w:szCs w:val="20"/>
                <w:color w:val="auto"/>
              </w:rPr>
            </w:pPr>
            <w:r>
              <w:rPr>
                <w:rFonts w:ascii="Arial" w:cs="Arial" w:eastAsia="Arial" w:hAnsi="Arial"/>
                <w:sz w:val="16"/>
                <w:szCs w:val="16"/>
                <w:i w:val="1"/>
                <w:iCs w:val="1"/>
                <w:color w:val="auto"/>
              </w:rPr>
              <w:t>Hextend</w:t>
            </w:r>
            <w:r>
              <w:rPr>
                <w:rFonts w:ascii="Arial" w:cs="Arial" w:eastAsia="Arial" w:hAnsi="Arial"/>
                <w:sz w:val="25"/>
                <w:szCs w:val="25"/>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5"/>
                <w:szCs w:val="15"/>
                <w:color w:val="auto"/>
              </w:rPr>
              <w:t>is currently marketed to hospitals and physicians in the U.S. and Korea. Activities include</w:t>
            </w:r>
          </w:p>
        </w:tc>
        <w:tc>
          <w:tcPr>
            <w:tcW w:w="0" w:type="dxa"/>
            <w:vAlign w:val="bottom"/>
          </w:tcPr>
          <w:p>
            <w:pPr>
              <w:spacing w:after="0"/>
              <w:rPr>
                <w:sz w:val="1"/>
                <w:szCs w:val="1"/>
                <w:color w:val="auto"/>
              </w:rPr>
            </w:pPr>
          </w:p>
        </w:tc>
      </w:tr>
      <w:tr>
        <w:trPr>
          <w:trHeight w:val="228"/>
        </w:trPr>
        <w:tc>
          <w:tcPr>
            <w:tcW w:w="232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300" w:type="dxa"/>
            <w:vAlign w:val="bottom"/>
            <w:tcBorders>
              <w:bottom w:val="single" w:sz="8" w:color="CCEEFF"/>
              <w:right w:val="single" w:sz="8" w:color="auto"/>
            </w:tcBorders>
            <w:shd w:val="clear" w:color="auto" w:fill="CCEEFF"/>
          </w:tcPr>
          <w:p>
            <w:pPr>
              <w:spacing w:after="0"/>
              <w:rPr>
                <w:sz w:val="19"/>
                <w:szCs w:val="19"/>
                <w:color w:val="auto"/>
              </w:rPr>
            </w:pPr>
          </w:p>
        </w:tc>
        <w:tc>
          <w:tcPr>
            <w:tcW w:w="682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complying with all regulatory requirements and promotional activities.</w:t>
            </w:r>
          </w:p>
        </w:tc>
        <w:tc>
          <w:tcPr>
            <w:tcW w:w="0" w:type="dxa"/>
            <w:vAlign w:val="bottom"/>
          </w:tcPr>
          <w:p>
            <w:pPr>
              <w:spacing w:after="0"/>
              <w:rPr>
                <w:sz w:val="1"/>
                <w:szCs w:val="1"/>
                <w:color w:val="auto"/>
              </w:rPr>
            </w:pPr>
          </w:p>
        </w:tc>
      </w:tr>
      <w:tr>
        <w:trPr>
          <w:trHeight w:val="310"/>
        </w:trPr>
        <w:tc>
          <w:tcPr>
            <w:tcW w:w="232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6820" w:type="dxa"/>
            <w:vAlign w:val="bottom"/>
            <w:tcBorders>
              <w:top w:val="single" w:sz="8" w:color="auto"/>
            </w:tcBorders>
          </w:tcPr>
          <w:p>
            <w:pPr>
              <w:ind w:left="1040"/>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37"/>
        </w:trPr>
        <w:tc>
          <w:tcPr>
            <w:tcW w:w="23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6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4" w:right="219" w:bottom="1440" w:gutter="0" w:footer="0" w:header="0"/>
        </w:sectPr>
      </w:pPr>
    </w:p>
    <w:bookmarkStart w:id="83" w:name="page84"/>
    <w:bookmarkEnd w:id="8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2320" w:type="dxa"/>
            <w:vAlign w:val="bottom"/>
            <w:tcBorders>
              <w:top w:val="single" w:sz="8" w:color="auto"/>
              <w:left w:val="single" w:sz="8" w:color="auto"/>
              <w:right w:val="single" w:sz="8" w:color="auto"/>
            </w:tcBorders>
          </w:tcPr>
          <w:p>
            <w:pPr>
              <w:ind w:left="820"/>
              <w:spacing w:after="0"/>
              <w:rPr>
                <w:sz w:val="20"/>
                <w:szCs w:val="20"/>
                <w:color w:val="auto"/>
              </w:rPr>
            </w:pPr>
            <w:r>
              <w:rPr>
                <w:rFonts w:ascii="Arial" w:cs="Arial" w:eastAsia="Arial" w:hAnsi="Arial"/>
                <w:sz w:val="16"/>
                <w:szCs w:val="16"/>
                <w:b w:val="1"/>
                <w:bCs w:val="1"/>
                <w:color w:val="auto"/>
              </w:rPr>
              <w:t>Company</w:t>
            </w:r>
          </w:p>
        </w:tc>
        <w:tc>
          <w:tcPr>
            <w:tcW w:w="2300" w:type="dxa"/>
            <w:vAlign w:val="bottom"/>
            <w:tcBorders>
              <w:top w:val="single" w:sz="8" w:color="auto"/>
              <w:right w:val="single" w:sz="8" w:color="auto"/>
            </w:tcBorders>
          </w:tcPr>
          <w:p>
            <w:pPr>
              <w:ind w:left="820"/>
              <w:spacing w:after="0"/>
              <w:rPr>
                <w:sz w:val="20"/>
                <w:szCs w:val="20"/>
                <w:color w:val="auto"/>
              </w:rPr>
            </w:pPr>
            <w:r>
              <w:rPr>
                <w:rFonts w:ascii="Arial" w:cs="Arial" w:eastAsia="Arial" w:hAnsi="Arial"/>
                <w:sz w:val="16"/>
                <w:szCs w:val="16"/>
                <w:b w:val="1"/>
                <w:bCs w:val="1"/>
                <w:color w:val="auto"/>
              </w:rPr>
              <w:t>Program</w:t>
            </w:r>
          </w:p>
        </w:tc>
        <w:tc>
          <w:tcPr>
            <w:tcW w:w="6820" w:type="dxa"/>
            <w:vAlign w:val="bottom"/>
            <w:tcBorders>
              <w:top w:val="single" w:sz="8" w:color="auto"/>
              <w:right w:val="single" w:sz="8" w:color="auto"/>
            </w:tcBorders>
          </w:tcPr>
          <w:p>
            <w:pPr>
              <w:ind w:left="3180"/>
              <w:spacing w:after="0"/>
              <w:rPr>
                <w:sz w:val="20"/>
                <w:szCs w:val="20"/>
                <w:color w:val="auto"/>
              </w:rPr>
            </w:pPr>
            <w:r>
              <w:rPr>
                <w:rFonts w:ascii="Arial" w:cs="Arial" w:eastAsia="Arial" w:hAnsi="Arial"/>
                <w:sz w:val="16"/>
                <w:szCs w:val="16"/>
                <w:b w:val="1"/>
                <w:bCs w:val="1"/>
                <w:color w:val="auto"/>
              </w:rPr>
              <w:t>Status</w:t>
            </w:r>
          </w:p>
        </w:tc>
        <w:tc>
          <w:tcPr>
            <w:tcW w:w="0" w:type="dxa"/>
            <w:vAlign w:val="bottom"/>
          </w:tcPr>
          <w:p>
            <w:pPr>
              <w:spacing w:after="0"/>
              <w:rPr>
                <w:sz w:val="1"/>
                <w:szCs w:val="1"/>
                <w:color w:val="auto"/>
              </w:rPr>
            </w:pPr>
          </w:p>
        </w:tc>
      </w:tr>
      <w:tr>
        <w:trPr>
          <w:trHeight w:val="29"/>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OncoCyte</w:t>
            </w:r>
          </w:p>
        </w:tc>
        <w:tc>
          <w:tcPr>
            <w:tcW w:w="2300" w:type="dxa"/>
            <w:vAlign w:val="bottom"/>
            <w:tcBorders>
              <w:right w:val="single" w:sz="8" w:color="auto"/>
            </w:tcBorders>
            <w:shd w:val="clear" w:color="auto" w:fill="CCEEFF"/>
          </w:tcPr>
          <w:p>
            <w:pPr>
              <w:ind w:left="20"/>
              <w:spacing w:after="0" w:line="200" w:lineRule="exact"/>
              <w:rPr>
                <w:sz w:val="20"/>
                <w:szCs w:val="20"/>
                <w:color w:val="auto"/>
              </w:rPr>
            </w:pPr>
            <w:r>
              <w:rPr>
                <w:rFonts w:ascii="Arial" w:cs="Arial" w:eastAsia="Arial" w:hAnsi="Arial"/>
                <w:sz w:val="14"/>
                <w:szCs w:val="14"/>
                <w:i w:val="1"/>
                <w:iCs w:val="1"/>
                <w:color w:val="auto"/>
              </w:rPr>
              <w:t>PanC-Dx</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Diagnostic Tests</w:t>
            </w: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Entered into Sponsored Research and Material Transfer Agreements with the Wistar Institute to</w:t>
            </w: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shd w:val="clear" w:color="auto" w:fill="CCEEFF"/>
          </w:tcPr>
          <w:p>
            <w:pPr>
              <w:spacing w:after="0"/>
              <w:rPr>
                <w:sz w:val="17"/>
                <w:szCs w:val="17"/>
                <w:color w:val="auto"/>
              </w:rPr>
            </w:pPr>
          </w:p>
        </w:tc>
        <w:tc>
          <w:tcPr>
            <w:tcW w:w="2300" w:type="dxa"/>
            <w:vAlign w:val="bottom"/>
            <w:tcBorders>
              <w:right w:val="single" w:sz="8" w:color="auto"/>
            </w:tcBorders>
            <w:shd w:val="clear" w:color="auto" w:fill="CCEEFF"/>
          </w:tcPr>
          <w:p>
            <w:pPr>
              <w:spacing w:after="0"/>
              <w:rPr>
                <w:sz w:val="17"/>
                <w:szCs w:val="17"/>
                <w:color w:val="auto"/>
              </w:rPr>
            </w:pP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collaboratively develop lung cancer diagnostics;</w:t>
            </w:r>
          </w:p>
        </w:tc>
        <w:tc>
          <w:tcPr>
            <w:tcW w:w="0" w:type="dxa"/>
            <w:vAlign w:val="bottom"/>
          </w:tcPr>
          <w:p>
            <w:pPr>
              <w:spacing w:after="0"/>
              <w:rPr>
                <w:sz w:val="1"/>
                <w:szCs w:val="1"/>
                <w:color w:val="auto"/>
              </w:rPr>
            </w:pPr>
          </w:p>
        </w:tc>
      </w:tr>
      <w:tr>
        <w:trPr>
          <w:trHeight w:val="367"/>
        </w:trPr>
        <w:tc>
          <w:tcPr>
            <w:tcW w:w="2320" w:type="dxa"/>
            <w:vAlign w:val="bottom"/>
            <w:tcBorders>
              <w:left w:val="single" w:sz="8" w:color="auto"/>
              <w:right w:val="single" w:sz="8" w:color="auto"/>
            </w:tcBorders>
            <w:shd w:val="clear" w:color="auto" w:fill="CCEEFF"/>
          </w:tcPr>
          <w:p>
            <w:pPr>
              <w:spacing w:after="0"/>
              <w:rPr>
                <w:sz w:val="24"/>
                <w:szCs w:val="24"/>
                <w:color w:val="auto"/>
              </w:rPr>
            </w:pPr>
          </w:p>
        </w:tc>
        <w:tc>
          <w:tcPr>
            <w:tcW w:w="2300" w:type="dxa"/>
            <w:vAlign w:val="bottom"/>
            <w:tcBorders>
              <w:right w:val="single" w:sz="8" w:color="auto"/>
            </w:tcBorders>
            <w:shd w:val="clear" w:color="auto" w:fill="CCEEFF"/>
          </w:tcPr>
          <w:p>
            <w:pPr>
              <w:spacing w:after="0"/>
              <w:rPr>
                <w:sz w:val="24"/>
                <w:szCs w:val="24"/>
                <w:color w:val="auto"/>
              </w:rPr>
            </w:pP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w w:val="96"/>
              </w:rPr>
              <w:t>Formalized additional relationships with key opinion leaders at major medical institutions to advance</w:t>
            </w: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shd w:val="clear" w:color="auto" w:fill="CCEEFF"/>
          </w:tcPr>
          <w:p>
            <w:pPr>
              <w:spacing w:after="0"/>
              <w:rPr>
                <w:sz w:val="17"/>
                <w:szCs w:val="17"/>
                <w:color w:val="auto"/>
              </w:rPr>
            </w:pPr>
          </w:p>
        </w:tc>
        <w:tc>
          <w:tcPr>
            <w:tcW w:w="2300" w:type="dxa"/>
            <w:vAlign w:val="bottom"/>
            <w:tcBorders>
              <w:right w:val="single" w:sz="8" w:color="auto"/>
            </w:tcBorders>
            <w:shd w:val="clear" w:color="auto" w:fill="CCEEFF"/>
          </w:tcPr>
          <w:p>
            <w:pPr>
              <w:spacing w:after="0"/>
              <w:rPr>
                <w:sz w:val="17"/>
                <w:szCs w:val="17"/>
                <w:color w:val="auto"/>
              </w:rPr>
            </w:pP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breast and bladder cancer programs;</w:t>
            </w:r>
          </w:p>
        </w:tc>
        <w:tc>
          <w:tcPr>
            <w:tcW w:w="0" w:type="dxa"/>
            <w:vAlign w:val="bottom"/>
          </w:tcPr>
          <w:p>
            <w:pPr>
              <w:spacing w:after="0"/>
              <w:rPr>
                <w:sz w:val="1"/>
                <w:szCs w:val="1"/>
                <w:color w:val="auto"/>
              </w:rPr>
            </w:pPr>
          </w:p>
        </w:tc>
      </w:tr>
      <w:tr>
        <w:trPr>
          <w:trHeight w:val="359"/>
        </w:trPr>
        <w:tc>
          <w:tcPr>
            <w:tcW w:w="2320" w:type="dxa"/>
            <w:vAlign w:val="bottom"/>
            <w:tcBorders>
              <w:left w:val="single" w:sz="8" w:color="auto"/>
              <w:right w:val="single" w:sz="8" w:color="auto"/>
            </w:tcBorders>
            <w:shd w:val="clear" w:color="auto" w:fill="CCEEFF"/>
          </w:tcPr>
          <w:p>
            <w:pPr>
              <w:spacing w:after="0"/>
              <w:rPr>
                <w:sz w:val="24"/>
                <w:szCs w:val="24"/>
                <w:color w:val="auto"/>
              </w:rPr>
            </w:pPr>
          </w:p>
        </w:tc>
        <w:tc>
          <w:tcPr>
            <w:tcW w:w="2300" w:type="dxa"/>
            <w:vAlign w:val="bottom"/>
            <w:tcBorders>
              <w:right w:val="single" w:sz="8" w:color="auto"/>
            </w:tcBorders>
            <w:shd w:val="clear" w:color="auto" w:fill="CCEEFF"/>
          </w:tcPr>
          <w:p>
            <w:pPr>
              <w:spacing w:after="0"/>
              <w:rPr>
                <w:sz w:val="24"/>
                <w:szCs w:val="24"/>
                <w:color w:val="auto"/>
              </w:rPr>
            </w:pP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w w:val="92"/>
              </w:rPr>
              <w:t>Received IRB approval and initiated a large, prospective multicenter patient study at Scottsdale Medical</w:t>
            </w:r>
          </w:p>
        </w:tc>
        <w:tc>
          <w:tcPr>
            <w:tcW w:w="0" w:type="dxa"/>
            <w:vAlign w:val="bottom"/>
          </w:tcPr>
          <w:p>
            <w:pPr>
              <w:spacing w:after="0"/>
              <w:rPr>
                <w:sz w:val="1"/>
                <w:szCs w:val="1"/>
                <w:color w:val="auto"/>
              </w:rPr>
            </w:pPr>
          </w:p>
        </w:tc>
      </w:tr>
      <w:tr>
        <w:trPr>
          <w:trHeight w:val="340"/>
        </w:trPr>
        <w:tc>
          <w:tcPr>
            <w:tcW w:w="2320" w:type="dxa"/>
            <w:vAlign w:val="bottom"/>
            <w:tcBorders>
              <w:left w:val="single" w:sz="8" w:color="auto"/>
              <w:right w:val="single" w:sz="8" w:color="auto"/>
            </w:tcBorders>
            <w:shd w:val="clear" w:color="auto" w:fill="CCEEFF"/>
          </w:tcPr>
          <w:p>
            <w:pPr>
              <w:spacing w:after="0"/>
              <w:rPr>
                <w:sz w:val="24"/>
                <w:szCs w:val="24"/>
                <w:color w:val="auto"/>
              </w:rPr>
            </w:pPr>
          </w:p>
        </w:tc>
        <w:tc>
          <w:tcPr>
            <w:tcW w:w="2300" w:type="dxa"/>
            <w:vAlign w:val="bottom"/>
            <w:tcBorders>
              <w:right w:val="single" w:sz="8" w:color="auto"/>
            </w:tcBorders>
            <w:shd w:val="clear" w:color="auto" w:fill="CCEEFF"/>
          </w:tcPr>
          <w:p>
            <w:pPr>
              <w:spacing w:after="0"/>
              <w:rPr>
                <w:sz w:val="24"/>
                <w:szCs w:val="24"/>
                <w:color w:val="auto"/>
              </w:rPr>
            </w:pP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 xml:space="preserve">Imaging Laboratories to assess performance of </w:t>
            </w:r>
            <w:r>
              <w:rPr>
                <w:rFonts w:ascii="Arial" w:cs="Arial" w:eastAsia="Arial" w:hAnsi="Arial"/>
                <w:sz w:val="16"/>
                <w:szCs w:val="16"/>
                <w:i w:val="1"/>
                <w:iCs w:val="1"/>
                <w:color w:val="auto"/>
                <w:w w:val="89"/>
              </w:rPr>
              <w:t>PanC-Dx</w:t>
            </w:r>
            <w:r>
              <w:rPr>
                <w:rFonts w:ascii="Arial" w:cs="Arial" w:eastAsia="Arial" w:hAnsi="Arial"/>
                <w:sz w:val="26"/>
                <w:szCs w:val="26"/>
                <w:color w:val="auto"/>
                <w:w w:val="89"/>
                <w:vertAlign w:val="superscript"/>
              </w:rPr>
              <w:t>™</w:t>
            </w:r>
            <w:r>
              <w:rPr>
                <w:rFonts w:ascii="Arial" w:cs="Arial" w:eastAsia="Arial" w:hAnsi="Arial"/>
                <w:sz w:val="16"/>
                <w:szCs w:val="16"/>
                <w:color w:val="auto"/>
                <w:w w:val="89"/>
              </w:rPr>
              <w:t xml:space="preserve"> markers in women undergoing mammography;</w:t>
            </w:r>
          </w:p>
        </w:tc>
        <w:tc>
          <w:tcPr>
            <w:tcW w:w="0" w:type="dxa"/>
            <w:vAlign w:val="bottom"/>
          </w:tcPr>
          <w:p>
            <w:pPr>
              <w:spacing w:after="0"/>
              <w:rPr>
                <w:sz w:val="1"/>
                <w:szCs w:val="1"/>
                <w:color w:val="auto"/>
              </w:rPr>
            </w:pPr>
          </w:p>
        </w:tc>
      </w:tr>
      <w:tr>
        <w:trPr>
          <w:trHeight w:val="235"/>
        </w:trPr>
        <w:tc>
          <w:tcPr>
            <w:tcW w:w="2320" w:type="dxa"/>
            <w:vAlign w:val="bottom"/>
            <w:tcBorders>
              <w:left w:val="single" w:sz="8" w:color="auto"/>
              <w:right w:val="single" w:sz="8" w:color="auto"/>
            </w:tcBorders>
            <w:shd w:val="clear" w:color="auto" w:fill="CCEEFF"/>
          </w:tcPr>
          <w:p>
            <w:pPr>
              <w:spacing w:after="0"/>
              <w:rPr>
                <w:sz w:val="20"/>
                <w:szCs w:val="20"/>
                <w:color w:val="auto"/>
              </w:rPr>
            </w:pPr>
          </w:p>
        </w:tc>
        <w:tc>
          <w:tcPr>
            <w:tcW w:w="2300" w:type="dxa"/>
            <w:vAlign w:val="bottom"/>
            <w:tcBorders>
              <w:right w:val="single" w:sz="8" w:color="auto"/>
            </w:tcBorders>
            <w:shd w:val="clear" w:color="auto" w:fill="CCEEFF"/>
          </w:tcPr>
          <w:p>
            <w:pPr>
              <w:spacing w:after="0"/>
              <w:rPr>
                <w:sz w:val="20"/>
                <w:szCs w:val="20"/>
                <w:color w:val="auto"/>
              </w:rPr>
            </w:pP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w w:val="94"/>
              </w:rPr>
              <w:t>Continued manufacturing and characterization of monoclonal antibodies for potential use in diagnostic</w:t>
            </w: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shd w:val="clear" w:color="auto" w:fill="CCEEFF"/>
          </w:tcPr>
          <w:p>
            <w:pPr>
              <w:spacing w:after="0"/>
              <w:rPr>
                <w:sz w:val="17"/>
                <w:szCs w:val="17"/>
                <w:color w:val="auto"/>
              </w:rPr>
            </w:pPr>
          </w:p>
        </w:tc>
        <w:tc>
          <w:tcPr>
            <w:tcW w:w="2300" w:type="dxa"/>
            <w:vAlign w:val="bottom"/>
            <w:tcBorders>
              <w:right w:val="single" w:sz="8" w:color="auto"/>
            </w:tcBorders>
            <w:shd w:val="clear" w:color="auto" w:fill="CCEEFF"/>
          </w:tcPr>
          <w:p>
            <w:pPr>
              <w:spacing w:after="0"/>
              <w:rPr>
                <w:sz w:val="17"/>
                <w:szCs w:val="17"/>
                <w:color w:val="auto"/>
              </w:rPr>
            </w:pP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kits; and</w:t>
            </w:r>
          </w:p>
        </w:tc>
        <w:tc>
          <w:tcPr>
            <w:tcW w:w="0" w:type="dxa"/>
            <w:vAlign w:val="bottom"/>
          </w:tcPr>
          <w:p>
            <w:pPr>
              <w:spacing w:after="0"/>
              <w:rPr>
                <w:sz w:val="1"/>
                <w:szCs w:val="1"/>
                <w:color w:val="auto"/>
              </w:rPr>
            </w:pPr>
          </w:p>
        </w:tc>
      </w:tr>
      <w:tr>
        <w:trPr>
          <w:trHeight w:val="412"/>
        </w:trPr>
        <w:tc>
          <w:tcPr>
            <w:tcW w:w="232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2300" w:type="dxa"/>
            <w:vAlign w:val="bottom"/>
            <w:tcBorders>
              <w:bottom w:val="single" w:sz="8" w:color="CCEEFF"/>
              <w:right w:val="single" w:sz="8" w:color="auto"/>
            </w:tcBorders>
            <w:shd w:val="clear" w:color="auto" w:fill="CCEEFF"/>
          </w:tcPr>
          <w:p>
            <w:pPr>
              <w:spacing w:after="0"/>
              <w:rPr>
                <w:sz w:val="24"/>
                <w:szCs w:val="24"/>
                <w:color w:val="auto"/>
              </w:rPr>
            </w:pPr>
          </w:p>
        </w:tc>
        <w:tc>
          <w:tcPr>
            <w:tcW w:w="682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 xml:space="preserve">Publication of results relating to </w:t>
            </w:r>
            <w:r>
              <w:rPr>
                <w:rFonts w:ascii="Arial" w:cs="Arial" w:eastAsia="Arial" w:hAnsi="Arial"/>
                <w:sz w:val="16"/>
                <w:szCs w:val="16"/>
                <w:i w:val="1"/>
                <w:iCs w:val="1"/>
                <w:color w:val="auto"/>
              </w:rPr>
              <w:t>FSIP1</w:t>
            </w:r>
            <w:r>
              <w:rPr>
                <w:rFonts w:ascii="Arial" w:cs="Arial" w:eastAsia="Arial" w:hAnsi="Arial"/>
                <w:sz w:val="16"/>
                <w:szCs w:val="16"/>
                <w:color w:val="auto"/>
              </w:rPr>
              <w:t>, a marker unique to breast cancer.</w:t>
            </w:r>
          </w:p>
        </w:tc>
        <w:tc>
          <w:tcPr>
            <w:tcW w:w="0" w:type="dxa"/>
            <w:vAlign w:val="bottom"/>
          </w:tcPr>
          <w:p>
            <w:pPr>
              <w:spacing w:after="0"/>
              <w:rPr>
                <w:sz w:val="1"/>
                <w:szCs w:val="1"/>
                <w:color w:val="auto"/>
              </w:rPr>
            </w:pPr>
          </w:p>
        </w:tc>
      </w:tr>
      <w:tr>
        <w:trPr>
          <w:trHeight w:val="200"/>
        </w:trPr>
        <w:tc>
          <w:tcPr>
            <w:tcW w:w="2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OrthoCyte</w:t>
            </w:r>
          </w:p>
        </w:tc>
        <w:tc>
          <w:tcPr>
            <w:tcW w:w="2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2"/>
              </w:rPr>
              <w:t>Cartilage/Intervertebral disc repair</w:t>
            </w:r>
          </w:p>
        </w:tc>
        <w:tc>
          <w:tcPr>
            <w:tcW w:w="682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w w:val="93"/>
              </w:rPr>
              <w:t>Identified several cell lines that displayed molecular markers consistent with the production of definitive</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using embryonic-derived</w:t>
            </w: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human cartilage;</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1"/>
              </w:rPr>
              <w:t>progenitor cells (Osteoarthritis and</w:t>
            </w:r>
          </w:p>
        </w:tc>
        <w:tc>
          <w:tcPr>
            <w:tcW w:w="6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chronic back pain)</w:t>
            </w: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Confirmed chondrogenic potential in joint defects in rat models of osteoarthritis;</w:t>
            </w:r>
          </w:p>
        </w:tc>
        <w:tc>
          <w:tcPr>
            <w:tcW w:w="0" w:type="dxa"/>
            <w:vAlign w:val="bottom"/>
          </w:tcPr>
          <w:p>
            <w:pPr>
              <w:spacing w:after="0"/>
              <w:rPr>
                <w:sz w:val="1"/>
                <w:szCs w:val="1"/>
                <w:color w:val="auto"/>
              </w:rPr>
            </w:pPr>
          </w:p>
        </w:tc>
      </w:tr>
      <w:tr>
        <w:trPr>
          <w:trHeight w:val="378"/>
        </w:trPr>
        <w:tc>
          <w:tcPr>
            <w:tcW w:w="232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 xml:space="preserve">Demonstrated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utility of progenitor lines in degenerating rabbit intervertebral disc tissue;</w:t>
            </w:r>
          </w:p>
        </w:tc>
        <w:tc>
          <w:tcPr>
            <w:tcW w:w="0" w:type="dxa"/>
            <w:vAlign w:val="bottom"/>
          </w:tcPr>
          <w:p>
            <w:pPr>
              <w:spacing w:after="0"/>
              <w:rPr>
                <w:sz w:val="1"/>
                <w:szCs w:val="1"/>
                <w:color w:val="auto"/>
              </w:rPr>
            </w:pPr>
          </w:p>
        </w:tc>
      </w:tr>
      <w:tr>
        <w:trPr>
          <w:trHeight w:val="367"/>
        </w:trPr>
        <w:tc>
          <w:tcPr>
            <w:tcW w:w="232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4"/>
              </w:rPr>
              <w:t xml:space="preserve">Initiated </w:t>
            </w:r>
            <w:r>
              <w:rPr>
                <w:rFonts w:ascii="Arial" w:cs="Arial" w:eastAsia="Arial" w:hAnsi="Arial"/>
                <w:sz w:val="16"/>
                <w:szCs w:val="16"/>
                <w:i w:val="1"/>
                <w:iCs w:val="1"/>
                <w:color w:val="auto"/>
                <w:w w:val="94"/>
              </w:rPr>
              <w:t>in vivo</w:t>
            </w:r>
            <w:r>
              <w:rPr>
                <w:rFonts w:ascii="Arial" w:cs="Arial" w:eastAsia="Arial" w:hAnsi="Arial"/>
                <w:sz w:val="16"/>
                <w:szCs w:val="16"/>
                <w:color w:val="auto"/>
                <w:w w:val="94"/>
              </w:rPr>
              <w:t xml:space="preserve"> proof of concept study to assess the ability of progenitor cells to repair and regenerate</w:t>
            </w: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degenerated intervertebral discs in rabbits; and</w:t>
            </w:r>
          </w:p>
        </w:tc>
        <w:tc>
          <w:tcPr>
            <w:tcW w:w="0" w:type="dxa"/>
            <w:vAlign w:val="bottom"/>
          </w:tcPr>
          <w:p>
            <w:pPr>
              <w:spacing w:after="0"/>
              <w:rPr>
                <w:sz w:val="1"/>
                <w:szCs w:val="1"/>
                <w:color w:val="auto"/>
              </w:rPr>
            </w:pPr>
          </w:p>
        </w:tc>
      </w:tr>
      <w:tr>
        <w:trPr>
          <w:trHeight w:val="367"/>
        </w:trPr>
        <w:tc>
          <w:tcPr>
            <w:tcW w:w="232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1"/>
              </w:rPr>
              <w:t>Completed proof of concept study demonstrating ability of progenitor cells to modulate pain (allodynia) in</w:t>
            </w: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 rat model.</w:t>
            </w:r>
          </w:p>
        </w:tc>
        <w:tc>
          <w:tcPr>
            <w:tcW w:w="0" w:type="dxa"/>
            <w:vAlign w:val="bottom"/>
          </w:tcPr>
          <w:p>
            <w:pPr>
              <w:spacing w:after="0"/>
              <w:rPr>
                <w:sz w:val="1"/>
                <w:szCs w:val="1"/>
                <w:color w:val="auto"/>
              </w:rPr>
            </w:pPr>
          </w:p>
        </w:tc>
      </w:tr>
      <w:tr>
        <w:trPr>
          <w:trHeight w:val="461"/>
        </w:trPr>
        <w:tc>
          <w:tcPr>
            <w:tcW w:w="2320" w:type="dxa"/>
            <w:vAlign w:val="bottom"/>
            <w:tcBorders>
              <w:left w:val="single" w:sz="8" w:color="auto"/>
              <w:right w:val="single" w:sz="8" w:color="auto"/>
            </w:tcBorders>
          </w:tcPr>
          <w:p>
            <w:pPr>
              <w:spacing w:after="0"/>
              <w:rPr>
                <w:sz w:val="24"/>
                <w:szCs w:val="24"/>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Bone repair using embryonic-</w:t>
            </w: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 xml:space="preserve">Initiated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optimization of bone differentiation and induction using progenitor cells, and</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derived progenitor cells (Spinal</w:t>
            </w:r>
          </w:p>
        </w:tc>
        <w:tc>
          <w:tcPr>
            <w:tcW w:w="6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1"/>
              </w:rPr>
              <w:t>fusion, trauma and cranial maxillo-</w:t>
            </w: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Submitted SBIR grant application for cranio-maxillofacial bone defect repair using progenitor cells.</w:t>
            </w: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facial (“CMF”))</w:t>
            </w:r>
          </w:p>
        </w:tc>
        <w:tc>
          <w:tcPr>
            <w:tcW w:w="68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Initiated large-scale progenitor cell expansion testing in cGMP compliant bioreactor systems.</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cGMP cell production</w:t>
            </w:r>
          </w:p>
        </w:tc>
        <w:tc>
          <w:tcPr>
            <w:tcW w:w="68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vMerge w:val="continue"/>
          </w:tcPr>
          <w:p>
            <w:pPr>
              <w:spacing w:after="0"/>
              <w:rPr>
                <w:sz w:val="16"/>
                <w:szCs w:val="16"/>
                <w:color w:val="auto"/>
              </w:rPr>
            </w:pPr>
          </w:p>
        </w:tc>
        <w:tc>
          <w:tcPr>
            <w:tcW w:w="6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6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ReCyte Therapeutics</w:t>
            </w:r>
          </w:p>
        </w:tc>
        <w:tc>
          <w:tcPr>
            <w:tcW w:w="2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Therapeutic products for age</w:t>
            </w: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Evaluating progenitor stem cell-based and cell-derived therapeutics. Through BioTime, ReCyte</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1"/>
              </w:rPr>
              <w:t>related vascular disease, including</w:t>
            </w: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Therapeutics has an ongoing collaboration with researchers at Cornell Weill Medical College for</w:t>
            </w:r>
          </w:p>
        </w:tc>
        <w:tc>
          <w:tcPr>
            <w:tcW w:w="0" w:type="dxa"/>
            <w:vAlign w:val="bottom"/>
          </w:tcPr>
          <w:p>
            <w:pPr>
              <w:spacing w:after="0"/>
              <w:rPr>
                <w:sz w:val="1"/>
                <w:szCs w:val="1"/>
                <w:color w:val="auto"/>
              </w:rPr>
            </w:pPr>
          </w:p>
        </w:tc>
      </w:tr>
      <w:tr>
        <w:trPr>
          <w:trHeight w:val="181"/>
        </w:trPr>
        <w:tc>
          <w:tcPr>
            <w:tcW w:w="2320" w:type="dxa"/>
            <w:vAlign w:val="bottom"/>
            <w:tcBorders>
              <w:left w:val="single" w:sz="8" w:color="auto"/>
              <w:right w:val="single" w:sz="8" w:color="auto"/>
            </w:tcBorders>
            <w:shd w:val="clear" w:color="auto" w:fill="CCEEFF"/>
          </w:tcPr>
          <w:p>
            <w:pPr>
              <w:spacing w:after="0"/>
              <w:rPr>
                <w:sz w:val="15"/>
                <w:szCs w:val="15"/>
                <w:color w:val="auto"/>
              </w:rPr>
            </w:pPr>
          </w:p>
        </w:tc>
        <w:tc>
          <w:tcPr>
            <w:tcW w:w="2300" w:type="dxa"/>
            <w:vAlign w:val="bottom"/>
            <w:tcBorders>
              <w:right w:val="single" w:sz="8" w:color="auto"/>
            </w:tcBorders>
            <w:shd w:val="clear" w:color="auto" w:fill="CCEEFF"/>
          </w:tcPr>
          <w:p>
            <w:pPr>
              <w:ind w:left="20"/>
              <w:spacing w:after="0" w:line="181" w:lineRule="exact"/>
              <w:rPr>
                <w:sz w:val="20"/>
                <w:szCs w:val="20"/>
                <w:color w:val="auto"/>
              </w:rPr>
            </w:pPr>
            <w:r>
              <w:rPr>
                <w:rFonts w:ascii="Arial" w:cs="Arial" w:eastAsia="Arial" w:hAnsi="Arial"/>
                <w:sz w:val="16"/>
                <w:szCs w:val="16"/>
                <w:color w:val="auto"/>
                <w:w w:val="96"/>
              </w:rPr>
              <w:t>cardiovascular disorders utilizing</w:t>
            </w:r>
          </w:p>
        </w:tc>
        <w:tc>
          <w:tcPr>
            <w:tcW w:w="6820" w:type="dxa"/>
            <w:vAlign w:val="bottom"/>
            <w:tcBorders>
              <w:right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w w:val="92"/>
              </w:rPr>
              <w:t>derivation and preclinical testing of endothelial progenitor cells for the treatment of age-related vascular</w:t>
            </w:r>
          </w:p>
        </w:tc>
        <w:tc>
          <w:tcPr>
            <w:tcW w:w="0" w:type="dxa"/>
            <w:vAlign w:val="bottom"/>
          </w:tcPr>
          <w:p>
            <w:pPr>
              <w:spacing w:after="0"/>
              <w:rPr>
                <w:sz w:val="1"/>
                <w:szCs w:val="1"/>
                <w:color w:val="auto"/>
              </w:rPr>
            </w:pPr>
          </w:p>
        </w:tc>
      </w:tr>
      <w:tr>
        <w:trPr>
          <w:trHeight w:val="197"/>
        </w:trPr>
        <w:tc>
          <w:tcPr>
            <w:tcW w:w="2320" w:type="dxa"/>
            <w:vAlign w:val="bottom"/>
            <w:tcBorders>
              <w:left w:val="single" w:sz="8" w:color="auto"/>
              <w:right w:val="single" w:sz="8" w:color="auto"/>
            </w:tcBorders>
            <w:shd w:val="clear" w:color="auto" w:fill="CCEEFF"/>
          </w:tcPr>
          <w:p>
            <w:pPr>
              <w:spacing w:after="0"/>
              <w:rPr>
                <w:sz w:val="17"/>
                <w:szCs w:val="17"/>
                <w:color w:val="auto"/>
              </w:rPr>
            </w:pPr>
          </w:p>
        </w:tc>
        <w:tc>
          <w:tcPr>
            <w:tcW w:w="2300" w:type="dxa"/>
            <w:vAlign w:val="bottom"/>
            <w:tcBorders>
              <w:right w:val="single" w:sz="8" w:color="auto"/>
            </w:tcBorders>
            <w:shd w:val="clear" w:color="auto" w:fill="CCEEFF"/>
          </w:tcPr>
          <w:p>
            <w:pPr>
              <w:ind w:left="20"/>
              <w:spacing w:after="0" w:line="198" w:lineRule="exact"/>
              <w:rPr>
                <w:sz w:val="20"/>
                <w:szCs w:val="20"/>
                <w:color w:val="auto"/>
              </w:rPr>
            </w:pPr>
            <w:r>
              <w:rPr>
                <w:rFonts w:ascii="Arial" w:cs="Arial" w:eastAsia="Arial" w:hAnsi="Arial"/>
                <w:sz w:val="14"/>
                <w:szCs w:val="14"/>
                <w:color w:val="auto"/>
              </w:rPr>
              <w:t xml:space="preserve">its proprietary </w:t>
            </w:r>
            <w:r>
              <w:rPr>
                <w:rFonts w:ascii="Arial" w:cs="Arial" w:eastAsia="Arial" w:hAnsi="Arial"/>
                <w:sz w:val="14"/>
                <w:szCs w:val="14"/>
                <w:i w:val="1"/>
                <w:iCs w:val="1"/>
                <w:color w:val="auto"/>
              </w:rPr>
              <w:t>ReCyte</w:t>
            </w:r>
            <w:r>
              <w:rPr>
                <w:rFonts w:ascii="Arial" w:cs="Arial" w:eastAsia="Arial" w:hAnsi="Arial"/>
                <w:sz w:val="22"/>
                <w:szCs w:val="22"/>
                <w:color w:val="auto"/>
                <w:vertAlign w:val="superscript"/>
              </w:rPr>
              <w:t>™</w:t>
            </w: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disease.</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shd w:val="clear" w:color="auto" w:fill="CCEEFF"/>
          </w:tcPr>
          <w:p>
            <w:pPr>
              <w:spacing w:after="0"/>
              <w:rPr>
                <w:sz w:val="16"/>
                <w:szCs w:val="16"/>
                <w:color w:val="auto"/>
              </w:rPr>
            </w:pPr>
          </w:p>
        </w:tc>
        <w:tc>
          <w:tcPr>
            <w:tcW w:w="2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2"/>
              </w:rPr>
              <w:t>technology and human pluripotent</w:t>
            </w:r>
          </w:p>
        </w:tc>
        <w:tc>
          <w:tcPr>
            <w:tcW w:w="68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3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stem cell derived cells.</w:t>
            </w:r>
          </w:p>
        </w:tc>
        <w:tc>
          <w:tcPr>
            <w:tcW w:w="682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3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Cell Cure Neurosciences</w:t>
            </w:r>
          </w:p>
        </w:tc>
        <w:tc>
          <w:tcPr>
            <w:tcW w:w="2300" w:type="dxa"/>
            <w:vAlign w:val="bottom"/>
            <w:tcBorders>
              <w:top w:val="single" w:sz="8" w:color="auto"/>
              <w:right w:val="single" w:sz="8" w:color="auto"/>
            </w:tcBorders>
          </w:tcPr>
          <w:p>
            <w:pPr>
              <w:ind w:left="20"/>
              <w:spacing w:after="0" w:line="200" w:lineRule="exact"/>
              <w:rPr>
                <w:sz w:val="20"/>
                <w:szCs w:val="20"/>
                <w:color w:val="auto"/>
              </w:rPr>
            </w:pPr>
            <w:r>
              <w:rPr>
                <w:rFonts w:ascii="Arial" w:cs="Arial" w:eastAsia="Arial" w:hAnsi="Arial"/>
                <w:sz w:val="14"/>
                <w:szCs w:val="14"/>
                <w:i w:val="1"/>
                <w:iCs w:val="1"/>
                <w:color w:val="auto"/>
              </w:rPr>
              <w:t>OpRegen</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and</w:t>
            </w:r>
            <w:r>
              <w:rPr>
                <w:rFonts w:ascii="Arial" w:cs="Arial" w:eastAsia="Arial" w:hAnsi="Arial"/>
                <w:sz w:val="14"/>
                <w:szCs w:val="14"/>
                <w:i w:val="1"/>
                <w:iCs w:val="1"/>
                <w:color w:val="auto"/>
              </w:rPr>
              <w:t xml:space="preserve"> OpRegen</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-Plus</w:t>
            </w:r>
          </w:p>
        </w:tc>
        <w:tc>
          <w:tcPr>
            <w:tcW w:w="6820" w:type="dxa"/>
            <w:vAlign w:val="bottom"/>
            <w:tcBorders>
              <w:top w:val="single" w:sz="8" w:color="auto"/>
              <w:right w:val="single" w:sz="8" w:color="auto"/>
            </w:tcBorders>
          </w:tcPr>
          <w:p>
            <w:pPr>
              <w:spacing w:after="0" w:line="200" w:lineRule="exact"/>
              <w:rPr>
                <w:sz w:val="20"/>
                <w:szCs w:val="20"/>
                <w:color w:val="auto"/>
              </w:rPr>
            </w:pPr>
            <w:r>
              <w:rPr>
                <w:rFonts w:ascii="Arial" w:cs="Arial" w:eastAsia="Arial" w:hAnsi="Arial"/>
                <w:sz w:val="14"/>
                <w:szCs w:val="14"/>
                <w:color w:val="auto"/>
              </w:rPr>
              <w:t xml:space="preserve">Conducted IND enabling preclinical studies to demonstrate safety and efficacy of </w:t>
            </w:r>
            <w:r>
              <w:rPr>
                <w:rFonts w:ascii="Arial" w:cs="Arial" w:eastAsia="Arial" w:hAnsi="Arial"/>
                <w:sz w:val="14"/>
                <w:szCs w:val="14"/>
                <w:i w:val="1"/>
                <w:iCs w:val="1"/>
                <w:color w:val="auto"/>
              </w:rPr>
              <w:t>OpRegen</w:t>
            </w:r>
            <w:r>
              <w:rPr>
                <w:rFonts w:ascii="Arial" w:cs="Arial" w:eastAsia="Arial" w:hAnsi="Arial"/>
                <w:sz w:val="23"/>
                <w:szCs w:val="23"/>
                <w:color w:val="auto"/>
                <w:vertAlign w:val="superscript"/>
              </w:rPr>
              <w:t>®</w:t>
            </w:r>
            <w:r>
              <w:rPr>
                <w:rFonts w:ascii="Arial" w:cs="Arial" w:eastAsia="Arial" w:hAnsi="Arial"/>
                <w:sz w:val="14"/>
                <w:szCs w:val="14"/>
                <w:color w:val="auto"/>
              </w:rPr>
              <w:t>, as well as</w:t>
            </w:r>
          </w:p>
        </w:tc>
        <w:tc>
          <w:tcPr>
            <w:tcW w:w="0" w:type="dxa"/>
            <w:vAlign w:val="bottom"/>
          </w:tcPr>
          <w:p>
            <w:pPr>
              <w:spacing w:after="0"/>
              <w:rPr>
                <w:sz w:val="1"/>
                <w:szCs w:val="1"/>
                <w:color w:val="auto"/>
              </w:rPr>
            </w:pPr>
          </w:p>
        </w:tc>
      </w:tr>
      <w:tr>
        <w:trPr>
          <w:trHeight w:val="189"/>
        </w:trPr>
        <w:tc>
          <w:tcPr>
            <w:tcW w:w="232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 treatment of age related</w:t>
            </w:r>
          </w:p>
        </w:tc>
        <w:tc>
          <w:tcPr>
            <w:tcW w:w="68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pre-IND discussions with the FDA.</w:t>
            </w:r>
          </w:p>
        </w:tc>
        <w:tc>
          <w:tcPr>
            <w:tcW w:w="0" w:type="dxa"/>
            <w:vAlign w:val="bottom"/>
          </w:tcPr>
          <w:p>
            <w:pPr>
              <w:spacing w:after="0"/>
              <w:rPr>
                <w:sz w:val="1"/>
                <w:szCs w:val="1"/>
                <w:color w:val="auto"/>
              </w:rPr>
            </w:pPr>
          </w:p>
        </w:tc>
      </w:tr>
      <w:tr>
        <w:trPr>
          <w:trHeight w:val="200"/>
        </w:trPr>
        <w:tc>
          <w:tcPr>
            <w:tcW w:w="2320" w:type="dxa"/>
            <w:vAlign w:val="bottom"/>
            <w:tcBorders>
              <w:left w:val="single" w:sz="8" w:color="auto"/>
              <w:right w:val="single" w:sz="8" w:color="auto"/>
            </w:tcBorders>
          </w:tcPr>
          <w:p>
            <w:pPr>
              <w:spacing w:after="0"/>
              <w:rPr>
                <w:sz w:val="17"/>
                <w:szCs w:val="17"/>
                <w:color w:val="auto"/>
              </w:rPr>
            </w:pP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macular degeneration.</w:t>
            </w:r>
          </w:p>
        </w:tc>
        <w:tc>
          <w:tcPr>
            <w:tcW w:w="68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 xml:space="preserve">Developed assays to characterize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RPE cells and their engraftment.</w:t>
            </w:r>
          </w:p>
        </w:tc>
        <w:tc>
          <w:tcPr>
            <w:tcW w:w="0" w:type="dxa"/>
            <w:vAlign w:val="bottom"/>
          </w:tcPr>
          <w:p>
            <w:pPr>
              <w:spacing w:after="0"/>
              <w:rPr>
                <w:sz w:val="1"/>
                <w:szCs w:val="1"/>
                <w:color w:val="auto"/>
              </w:rPr>
            </w:pPr>
          </w:p>
        </w:tc>
      </w:tr>
      <w:tr>
        <w:trPr>
          <w:trHeight w:val="218"/>
        </w:trPr>
        <w:tc>
          <w:tcPr>
            <w:tcW w:w="2320" w:type="dxa"/>
            <w:vAlign w:val="bottom"/>
            <w:tcBorders>
              <w:left w:val="single" w:sz="8" w:color="auto"/>
              <w:bottom w:val="single" w:sz="8" w:color="auto"/>
              <w:right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c>
          <w:tcPr>
            <w:tcW w:w="682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3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LifeMap Sciences</w:t>
            </w:r>
          </w:p>
        </w:tc>
        <w:tc>
          <w:tcPr>
            <w:tcW w:w="23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Online, searchable databases</w:t>
            </w:r>
          </w:p>
        </w:tc>
        <w:tc>
          <w:tcPr>
            <w:tcW w:w="68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Marketing searchable, integrated, database products, including:</w:t>
            </w:r>
          </w:p>
        </w:tc>
        <w:tc>
          <w:tcPr>
            <w:tcW w:w="0" w:type="dxa"/>
            <w:vAlign w:val="bottom"/>
          </w:tcPr>
          <w:p>
            <w:pPr>
              <w:spacing w:after="0"/>
              <w:rPr>
                <w:sz w:val="1"/>
                <w:szCs w:val="1"/>
                <w:color w:val="auto"/>
              </w:rPr>
            </w:pPr>
          </w:p>
        </w:tc>
      </w:tr>
      <w:tr>
        <w:trPr>
          <w:trHeight w:val="197"/>
        </w:trPr>
        <w:tc>
          <w:tcPr>
            <w:tcW w:w="2320" w:type="dxa"/>
            <w:vAlign w:val="bottom"/>
            <w:tcBorders>
              <w:left w:val="single" w:sz="8" w:color="auto"/>
              <w:right w:val="single" w:sz="8" w:color="auto"/>
            </w:tcBorders>
            <w:shd w:val="clear" w:color="auto" w:fill="CCEEFF"/>
          </w:tcPr>
          <w:p>
            <w:pPr>
              <w:spacing w:after="0"/>
              <w:rPr>
                <w:sz w:val="17"/>
                <w:szCs w:val="17"/>
                <w:color w:val="auto"/>
              </w:rPr>
            </w:pPr>
          </w:p>
        </w:tc>
        <w:tc>
          <w:tcPr>
            <w:tcW w:w="2300" w:type="dxa"/>
            <w:vAlign w:val="bottom"/>
            <w:tcBorders>
              <w:right w:val="single" w:sz="8" w:color="auto"/>
            </w:tcBorders>
            <w:shd w:val="clear" w:color="auto" w:fill="CCEEFF"/>
          </w:tcPr>
          <w:p>
            <w:pPr>
              <w:spacing w:after="0"/>
              <w:rPr>
                <w:sz w:val="17"/>
                <w:szCs w:val="17"/>
                <w:color w:val="auto"/>
              </w:rPr>
            </w:pPr>
          </w:p>
        </w:tc>
        <w:tc>
          <w:tcPr>
            <w:tcW w:w="6820" w:type="dxa"/>
            <w:vAlign w:val="bottom"/>
            <w:tcBorders>
              <w:right w:val="single" w:sz="8" w:color="auto"/>
            </w:tcBorders>
            <w:shd w:val="clear" w:color="auto" w:fill="CCEEFF"/>
          </w:tcPr>
          <w:p>
            <w:pPr>
              <w:ind w:left="300"/>
              <w:spacing w:after="0" w:line="198"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GeneCards</w:t>
            </w:r>
            <w:r>
              <w:rPr>
                <w:rFonts w:ascii="Arial" w:cs="Arial" w:eastAsia="Arial" w:hAnsi="Arial"/>
                <w:sz w:val="22"/>
                <w:szCs w:val="22"/>
                <w:color w:val="auto"/>
                <w:vertAlign w:val="superscript"/>
              </w:rPr>
              <w:t>®</w:t>
            </w:r>
            <w:r>
              <w:rPr>
                <w:rFonts w:ascii="Arial" w:cs="Arial" w:eastAsia="Arial" w:hAnsi="Arial"/>
                <w:sz w:val="14"/>
                <w:szCs w:val="14"/>
                <w:color w:val="auto"/>
              </w:rPr>
              <w:t>, a database of human genes that provides concise genomic, transcriptomic, genetic,</w:t>
            </w:r>
          </w:p>
        </w:tc>
        <w:tc>
          <w:tcPr>
            <w:tcW w:w="0" w:type="dxa"/>
            <w:vAlign w:val="bottom"/>
          </w:tcPr>
          <w:p>
            <w:pPr>
              <w:spacing w:after="0"/>
              <w:rPr>
                <w:sz w:val="1"/>
                <w:szCs w:val="1"/>
                <w:color w:val="auto"/>
              </w:rPr>
            </w:pPr>
          </w:p>
        </w:tc>
      </w:tr>
      <w:tr>
        <w:trPr>
          <w:trHeight w:val="181"/>
        </w:trPr>
        <w:tc>
          <w:tcPr>
            <w:tcW w:w="2320" w:type="dxa"/>
            <w:vAlign w:val="bottom"/>
            <w:tcBorders>
              <w:left w:val="single" w:sz="8" w:color="auto"/>
              <w:right w:val="single" w:sz="8" w:color="auto"/>
            </w:tcBorders>
            <w:shd w:val="clear" w:color="auto" w:fill="CCEEFF"/>
          </w:tcPr>
          <w:p>
            <w:pPr>
              <w:spacing w:after="0"/>
              <w:rPr>
                <w:sz w:val="15"/>
                <w:szCs w:val="15"/>
                <w:color w:val="auto"/>
              </w:rPr>
            </w:pPr>
          </w:p>
        </w:tc>
        <w:tc>
          <w:tcPr>
            <w:tcW w:w="2300" w:type="dxa"/>
            <w:vAlign w:val="bottom"/>
            <w:tcBorders>
              <w:right w:val="single" w:sz="8" w:color="auto"/>
            </w:tcBorders>
            <w:shd w:val="clear" w:color="auto" w:fill="CCEEFF"/>
          </w:tcPr>
          <w:p>
            <w:pPr>
              <w:spacing w:after="0"/>
              <w:rPr>
                <w:sz w:val="15"/>
                <w:szCs w:val="15"/>
                <w:color w:val="auto"/>
              </w:rPr>
            </w:pPr>
          </w:p>
        </w:tc>
        <w:tc>
          <w:tcPr>
            <w:tcW w:w="6820" w:type="dxa"/>
            <w:vAlign w:val="bottom"/>
            <w:tcBorders>
              <w:right w:val="single" w:sz="8" w:color="auto"/>
            </w:tcBorders>
            <w:shd w:val="clear" w:color="auto" w:fill="CCEEFF"/>
          </w:tcPr>
          <w:p>
            <w:pPr>
              <w:ind w:left="580"/>
              <w:spacing w:after="0" w:line="181" w:lineRule="exact"/>
              <w:rPr>
                <w:sz w:val="20"/>
                <w:szCs w:val="20"/>
                <w:color w:val="auto"/>
              </w:rPr>
            </w:pPr>
            <w:r>
              <w:rPr>
                <w:rFonts w:ascii="Arial" w:cs="Arial" w:eastAsia="Arial" w:hAnsi="Arial"/>
                <w:sz w:val="16"/>
                <w:szCs w:val="16"/>
                <w:color w:val="auto"/>
                <w:w w:val="91"/>
              </w:rPr>
              <w:t>proteomic, functional and disease related information, on all known and predicted human genes;</w:t>
            </w:r>
          </w:p>
        </w:tc>
        <w:tc>
          <w:tcPr>
            <w:tcW w:w="0" w:type="dxa"/>
            <w:vAlign w:val="bottom"/>
          </w:tcPr>
          <w:p>
            <w:pPr>
              <w:spacing w:after="0"/>
              <w:rPr>
                <w:sz w:val="1"/>
                <w:szCs w:val="1"/>
                <w:color w:val="auto"/>
              </w:rPr>
            </w:pPr>
          </w:p>
        </w:tc>
      </w:tr>
      <w:tr>
        <w:trPr>
          <w:trHeight w:val="197"/>
        </w:trPr>
        <w:tc>
          <w:tcPr>
            <w:tcW w:w="2320" w:type="dxa"/>
            <w:vAlign w:val="bottom"/>
            <w:tcBorders>
              <w:left w:val="single" w:sz="8" w:color="auto"/>
              <w:right w:val="single" w:sz="8" w:color="auto"/>
            </w:tcBorders>
            <w:shd w:val="clear" w:color="auto" w:fill="CCEEFF"/>
          </w:tcPr>
          <w:p>
            <w:pPr>
              <w:spacing w:after="0"/>
              <w:rPr>
                <w:sz w:val="17"/>
                <w:szCs w:val="17"/>
                <w:color w:val="auto"/>
              </w:rPr>
            </w:pPr>
          </w:p>
        </w:tc>
        <w:tc>
          <w:tcPr>
            <w:tcW w:w="2300" w:type="dxa"/>
            <w:vAlign w:val="bottom"/>
            <w:tcBorders>
              <w:right w:val="single" w:sz="8" w:color="auto"/>
            </w:tcBorders>
            <w:shd w:val="clear" w:color="auto" w:fill="CCEEFF"/>
          </w:tcPr>
          <w:p>
            <w:pPr>
              <w:spacing w:after="0"/>
              <w:rPr>
                <w:sz w:val="17"/>
                <w:szCs w:val="17"/>
                <w:color w:val="auto"/>
              </w:rPr>
            </w:pPr>
          </w:p>
        </w:tc>
        <w:tc>
          <w:tcPr>
            <w:tcW w:w="6820" w:type="dxa"/>
            <w:vAlign w:val="bottom"/>
            <w:tcBorders>
              <w:right w:val="single" w:sz="8" w:color="auto"/>
            </w:tcBorders>
            <w:shd w:val="clear" w:color="auto" w:fill="CCEEFF"/>
          </w:tcPr>
          <w:p>
            <w:pPr>
              <w:ind w:left="300"/>
              <w:spacing w:after="0" w:line="198"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MalaCards</w:t>
            </w:r>
            <w:r>
              <w:rPr>
                <w:rFonts w:ascii="Arial" w:cs="Arial" w:eastAsia="Arial" w:hAnsi="Arial"/>
                <w:sz w:val="14"/>
                <w:szCs w:val="14"/>
                <w:color w:val="auto"/>
              </w:rPr>
              <w:t xml:space="preserve">, a database of human diseases that is based on the </w:t>
            </w:r>
            <w:r>
              <w:rPr>
                <w:rFonts w:ascii="Arial" w:cs="Arial" w:eastAsia="Arial" w:hAnsi="Arial"/>
                <w:sz w:val="14"/>
                <w:szCs w:val="14"/>
                <w:i w:val="1"/>
                <w:iCs w:val="1"/>
                <w:color w:val="auto"/>
              </w:rPr>
              <w:t>GeneCards</w:t>
            </w:r>
            <w:r>
              <w:rPr>
                <w:rFonts w:ascii="Arial" w:cs="Arial" w:eastAsia="Arial" w:hAnsi="Arial"/>
                <w:sz w:val="22"/>
                <w:szCs w:val="22"/>
                <w:color w:val="auto"/>
                <w:vertAlign w:val="superscript"/>
              </w:rPr>
              <w:t>®</w:t>
            </w:r>
            <w:r>
              <w:rPr>
                <w:rFonts w:ascii="Arial" w:cs="Arial" w:eastAsia="Arial" w:hAnsi="Arial"/>
                <w:sz w:val="14"/>
                <w:szCs w:val="14"/>
                <w:color w:val="auto"/>
              </w:rPr>
              <w:t xml:space="preserve"> platform and contains</w:t>
            </w:r>
          </w:p>
        </w:tc>
        <w:tc>
          <w:tcPr>
            <w:tcW w:w="0" w:type="dxa"/>
            <w:vAlign w:val="bottom"/>
          </w:tcPr>
          <w:p>
            <w:pPr>
              <w:spacing w:after="0"/>
              <w:rPr>
                <w:sz w:val="1"/>
                <w:szCs w:val="1"/>
                <w:color w:val="auto"/>
              </w:rPr>
            </w:pPr>
          </w:p>
        </w:tc>
      </w:tr>
      <w:tr>
        <w:trPr>
          <w:trHeight w:val="181"/>
        </w:trPr>
        <w:tc>
          <w:tcPr>
            <w:tcW w:w="2320" w:type="dxa"/>
            <w:vAlign w:val="bottom"/>
            <w:tcBorders>
              <w:left w:val="single" w:sz="8" w:color="auto"/>
              <w:right w:val="single" w:sz="8" w:color="auto"/>
            </w:tcBorders>
            <w:shd w:val="clear" w:color="auto" w:fill="CCEEFF"/>
          </w:tcPr>
          <w:p>
            <w:pPr>
              <w:spacing w:after="0"/>
              <w:rPr>
                <w:sz w:val="15"/>
                <w:szCs w:val="15"/>
                <w:color w:val="auto"/>
              </w:rPr>
            </w:pPr>
          </w:p>
        </w:tc>
        <w:tc>
          <w:tcPr>
            <w:tcW w:w="2300" w:type="dxa"/>
            <w:vAlign w:val="bottom"/>
            <w:tcBorders>
              <w:right w:val="single" w:sz="8" w:color="auto"/>
            </w:tcBorders>
            <w:shd w:val="clear" w:color="auto" w:fill="CCEEFF"/>
          </w:tcPr>
          <w:p>
            <w:pPr>
              <w:spacing w:after="0"/>
              <w:rPr>
                <w:sz w:val="15"/>
                <w:szCs w:val="15"/>
                <w:color w:val="auto"/>
              </w:rPr>
            </w:pPr>
          </w:p>
        </w:tc>
        <w:tc>
          <w:tcPr>
            <w:tcW w:w="6820" w:type="dxa"/>
            <w:vAlign w:val="bottom"/>
            <w:tcBorders>
              <w:right w:val="single" w:sz="8" w:color="auto"/>
            </w:tcBorders>
            <w:shd w:val="clear" w:color="auto" w:fill="CCEEFF"/>
          </w:tcPr>
          <w:p>
            <w:pPr>
              <w:ind w:left="580"/>
              <w:spacing w:after="0" w:line="181" w:lineRule="exact"/>
              <w:rPr>
                <w:sz w:val="20"/>
                <w:szCs w:val="20"/>
                <w:color w:val="auto"/>
              </w:rPr>
            </w:pPr>
            <w:r>
              <w:rPr>
                <w:rFonts w:ascii="Arial" w:cs="Arial" w:eastAsia="Arial" w:hAnsi="Arial"/>
                <w:sz w:val="16"/>
                <w:szCs w:val="16"/>
                <w:color w:val="auto"/>
                <w:w w:val="94"/>
              </w:rPr>
              <w:t>computerized “cards” classifying information relating to a wide array of human diseases; and</w:t>
            </w:r>
          </w:p>
        </w:tc>
        <w:tc>
          <w:tcPr>
            <w:tcW w:w="0" w:type="dxa"/>
            <w:vAlign w:val="bottom"/>
          </w:tcPr>
          <w:p>
            <w:pPr>
              <w:spacing w:after="0"/>
              <w:rPr>
                <w:sz w:val="1"/>
                <w:szCs w:val="1"/>
                <w:color w:val="auto"/>
              </w:rPr>
            </w:pPr>
          </w:p>
        </w:tc>
      </w:tr>
      <w:tr>
        <w:trPr>
          <w:trHeight w:val="197"/>
        </w:trPr>
        <w:tc>
          <w:tcPr>
            <w:tcW w:w="2320" w:type="dxa"/>
            <w:vAlign w:val="bottom"/>
            <w:tcBorders>
              <w:left w:val="single" w:sz="8" w:color="auto"/>
              <w:right w:val="single" w:sz="8" w:color="auto"/>
            </w:tcBorders>
            <w:shd w:val="clear" w:color="auto" w:fill="CCEEFF"/>
          </w:tcPr>
          <w:p>
            <w:pPr>
              <w:spacing w:after="0"/>
              <w:rPr>
                <w:sz w:val="17"/>
                <w:szCs w:val="17"/>
                <w:color w:val="auto"/>
              </w:rPr>
            </w:pPr>
          </w:p>
        </w:tc>
        <w:tc>
          <w:tcPr>
            <w:tcW w:w="2300" w:type="dxa"/>
            <w:vAlign w:val="bottom"/>
            <w:tcBorders>
              <w:right w:val="single" w:sz="8" w:color="auto"/>
            </w:tcBorders>
            <w:shd w:val="clear" w:color="auto" w:fill="CCEEFF"/>
          </w:tcPr>
          <w:p>
            <w:pPr>
              <w:spacing w:after="0"/>
              <w:rPr>
                <w:sz w:val="17"/>
                <w:szCs w:val="17"/>
                <w:color w:val="auto"/>
              </w:rPr>
            </w:pPr>
          </w:p>
        </w:tc>
        <w:tc>
          <w:tcPr>
            <w:tcW w:w="6820" w:type="dxa"/>
            <w:vAlign w:val="bottom"/>
            <w:tcBorders>
              <w:right w:val="single" w:sz="8" w:color="auto"/>
            </w:tcBorders>
            <w:shd w:val="clear" w:color="auto" w:fill="CCEEFF"/>
          </w:tcPr>
          <w:p>
            <w:pPr>
              <w:ind w:left="300"/>
              <w:spacing w:after="0" w:line="198"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LifeMap Discovery</w:t>
            </w:r>
            <w:r>
              <w:rPr>
                <w:rFonts w:ascii="Arial" w:cs="Arial" w:eastAsia="Arial" w:hAnsi="Arial"/>
                <w:sz w:val="22"/>
                <w:szCs w:val="22"/>
                <w:color w:val="auto"/>
                <w:vertAlign w:val="superscript"/>
              </w:rPr>
              <w:t>®</w:t>
            </w:r>
            <w:r>
              <w:rPr>
                <w:rFonts w:ascii="Arial" w:cs="Arial" w:eastAsia="Arial" w:hAnsi="Arial"/>
                <w:sz w:val="14"/>
                <w:szCs w:val="14"/>
                <w:color w:val="auto"/>
              </w:rPr>
              <w:t>, a database of embryonic development, stem cell research and regenerative</w:t>
            </w:r>
          </w:p>
        </w:tc>
        <w:tc>
          <w:tcPr>
            <w:tcW w:w="0" w:type="dxa"/>
            <w:vAlign w:val="bottom"/>
          </w:tcPr>
          <w:p>
            <w:pPr>
              <w:spacing w:after="0"/>
              <w:rPr>
                <w:sz w:val="1"/>
                <w:szCs w:val="1"/>
                <w:color w:val="auto"/>
              </w:rPr>
            </w:pPr>
          </w:p>
        </w:tc>
      </w:tr>
      <w:tr>
        <w:trPr>
          <w:trHeight w:val="234"/>
        </w:trPr>
        <w:tc>
          <w:tcPr>
            <w:tcW w:w="232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2300" w:type="dxa"/>
            <w:vAlign w:val="bottom"/>
            <w:tcBorders>
              <w:bottom w:val="single" w:sz="8" w:color="CCEEFF"/>
              <w:right w:val="single" w:sz="8" w:color="auto"/>
            </w:tcBorders>
            <w:shd w:val="clear" w:color="auto" w:fill="CCEEFF"/>
          </w:tcPr>
          <w:p>
            <w:pPr>
              <w:spacing w:after="0"/>
              <w:rPr>
                <w:sz w:val="19"/>
                <w:szCs w:val="19"/>
                <w:color w:val="auto"/>
              </w:rPr>
            </w:pPr>
          </w:p>
        </w:tc>
        <w:tc>
          <w:tcPr>
            <w:tcW w:w="6820" w:type="dxa"/>
            <w:vAlign w:val="bottom"/>
            <w:tcBorders>
              <w:bottom w:val="single" w:sz="8" w:color="CCEEFF"/>
              <w:right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medicine.</w:t>
            </w:r>
          </w:p>
        </w:tc>
        <w:tc>
          <w:tcPr>
            <w:tcW w:w="0" w:type="dxa"/>
            <w:vAlign w:val="bottom"/>
          </w:tcPr>
          <w:p>
            <w:pPr>
              <w:spacing w:after="0"/>
              <w:rPr>
                <w:sz w:val="1"/>
                <w:szCs w:val="1"/>
                <w:color w:val="auto"/>
              </w:rPr>
            </w:pPr>
          </w:p>
        </w:tc>
      </w:tr>
      <w:tr>
        <w:trPr>
          <w:trHeight w:val="523"/>
        </w:trPr>
        <w:tc>
          <w:tcPr>
            <w:tcW w:w="232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6820" w:type="dxa"/>
            <w:vAlign w:val="bottom"/>
            <w:tcBorders>
              <w:top w:val="single" w:sz="8" w:color="auto"/>
            </w:tcBorders>
          </w:tcPr>
          <w:p>
            <w:pPr>
              <w:ind w:left="104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37"/>
        </w:trPr>
        <w:tc>
          <w:tcPr>
            <w:tcW w:w="232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tcPr>
          <w:p>
            <w:pPr>
              <w:spacing w:after="0"/>
              <w:rPr>
                <w:sz w:val="3"/>
                <w:szCs w:val="3"/>
                <w:color w:val="auto"/>
              </w:rPr>
            </w:pPr>
          </w:p>
        </w:tc>
        <w:tc>
          <w:tcPr>
            <w:tcW w:w="6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4" w:right="219" w:bottom="1440" w:gutter="0" w:footer="0" w:header="0"/>
        </w:sectPr>
      </w:pPr>
    </w:p>
    <w:bookmarkStart w:id="84" w:name="page85"/>
    <w:bookmarkEnd w:id="84"/>
    <w:p>
      <w:pPr>
        <w:ind w:left="5"/>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5" w:right="80" w:firstLine="567"/>
        <w:spacing w:after="0" w:line="268" w:lineRule="auto"/>
        <w:rPr>
          <w:sz w:val="20"/>
          <w:szCs w:val="20"/>
          <w:color w:val="auto"/>
        </w:rPr>
      </w:pPr>
      <w:r>
        <w:rPr>
          <w:rFonts w:ascii="Arial" w:cs="Arial" w:eastAsia="Arial" w:hAnsi="Arial"/>
          <w:sz w:val="15"/>
          <w:szCs w:val="15"/>
          <w:color w:val="auto"/>
        </w:rPr>
        <w:t>The inherent uncertainties of developing new products for stem cell research and for medical use make it impossible to predict the amount of time and expense that will be required to complete the development and commence commercialization of new products. There is no assurance that we or any of our subsidiaries will be successful in developing new technologies or stem cell products, or that any technology or products that may be developed will be proven safe and effective for treating diseases in humans, or will be successfully commercialized. Most of our potential therapeutic products are at a very early stage of preclinical development. Before any clinical trials can be conducted by us or any of our subsidiaries, the company seeking to conduct the trials would have to compile sufficient laboratory test data substantiating the characteristics and purity of the stem cells, conduct animal studies, and then obtain all necessary regulatory and clinical trial site approvals, after which a team of physicians and statisticians would need to be assembled to perform the trials. Clinical trials will be costly to undertake and will take years to complete. See our discussion of the risks inherent in our business and the impact of government regulation on our business in the “Risk Factors” section and “Business” section of this report.</w:t>
      </w:r>
    </w:p>
    <w:p>
      <w:pPr>
        <w:spacing w:after="0" w:line="184" w:lineRule="exact"/>
        <w:rPr>
          <w:sz w:val="20"/>
          <w:szCs w:val="20"/>
          <w:color w:val="auto"/>
        </w:rPr>
      </w:pPr>
    </w:p>
    <w:p>
      <w:pPr>
        <w:ind w:left="5" w:right="60" w:firstLine="567"/>
        <w:spacing w:after="0" w:line="253" w:lineRule="auto"/>
        <w:rPr>
          <w:sz w:val="20"/>
          <w:szCs w:val="20"/>
          <w:color w:val="auto"/>
        </w:rPr>
      </w:pPr>
      <w:r>
        <w:rPr>
          <w:rFonts w:ascii="Arial" w:cs="Arial" w:eastAsia="Arial" w:hAnsi="Arial"/>
          <w:sz w:val="16"/>
          <w:szCs w:val="16"/>
          <w:color w:val="auto"/>
        </w:rPr>
        <w:t>We believe each of our operating subsidiaries has sufficient capital to carry out its current research and development plan during 2014. We may provide additional financing for our subsidiaries, or obtain financing from third parties, based on the following: our evaluation of progress made in their respective research and development programs, any changes to or the expansion of the scope and focus of their research, and our projection of future costs. See “Liquidity and Capital Resources” for a discussion of our available capital resources, our potential need for future financing, and possible sources of capital.</w:t>
      </w:r>
    </w:p>
    <w:p>
      <w:pPr>
        <w:spacing w:after="0" w:line="18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Research and Development Expenses</w:t>
      </w:r>
    </w:p>
    <w:p>
      <w:pPr>
        <w:spacing w:after="0" w:line="222" w:lineRule="exact"/>
        <w:rPr>
          <w:sz w:val="20"/>
          <w:szCs w:val="20"/>
          <w:color w:val="auto"/>
        </w:rPr>
      </w:pPr>
    </w:p>
    <w:p>
      <w:pPr>
        <w:ind w:left="5" w:right="120" w:firstLine="567"/>
        <w:spacing w:after="0" w:line="267" w:lineRule="auto"/>
        <w:rPr>
          <w:sz w:val="20"/>
          <w:szCs w:val="20"/>
          <w:color w:val="auto"/>
        </w:rPr>
      </w:pPr>
      <w:r>
        <w:rPr>
          <w:rFonts w:ascii="Arial" w:cs="Arial" w:eastAsia="Arial" w:hAnsi="Arial"/>
          <w:sz w:val="16"/>
          <w:szCs w:val="16"/>
          <w:color w:val="auto"/>
        </w:rPr>
        <w:t>The following table shows the approximate percentages of our total research and development expenses of $26,609,423 and $18,116,688 allocated to our primary research and development projects during the years ended December 31, 2013 and 2012, respectively.</w:t>
      </w:r>
    </w:p>
    <w:p>
      <w:pPr>
        <w:spacing w:after="0" w:line="108" w:lineRule="exact"/>
        <w:rPr>
          <w:sz w:val="20"/>
          <w:szCs w:val="20"/>
          <w:color w:val="auto"/>
        </w:rPr>
      </w:pPr>
    </w:p>
    <w:tbl>
      <w:tblPr>
        <w:tblLayout w:type="fixed"/>
        <w:tblInd w:w="5" w:type="dxa"/>
        <w:tblCellMar>
          <w:top w:w="0" w:type="dxa"/>
          <w:left w:w="0" w:type="dxa"/>
          <w:bottom w:w="0" w:type="dxa"/>
          <w:right w:w="0" w:type="dxa"/>
        </w:tblCellMar>
      </w:tblPr>
      <w:tr>
        <w:trPr>
          <w:trHeight w:val="303"/>
        </w:trPr>
        <w:tc>
          <w:tcPr>
            <w:tcW w:w="21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Amount</w:t>
            </w:r>
            <w:r>
              <w:rPr>
                <w:rFonts w:ascii="Arial" w:cs="Arial" w:eastAsia="Arial" w:hAnsi="Arial"/>
                <w:sz w:val="26"/>
                <w:szCs w:val="26"/>
                <w:color w:val="auto"/>
                <w:vertAlign w:val="superscript"/>
              </w:rPr>
              <w:t>(1)</w:t>
            </w:r>
          </w:p>
        </w:tc>
        <w:tc>
          <w:tcPr>
            <w:tcW w:w="1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b w:val="1"/>
                <w:bCs w:val="1"/>
                <w:color w:val="auto"/>
                <w:w w:val="91"/>
              </w:rPr>
              <w:t>Percent</w:t>
            </w:r>
          </w:p>
        </w:tc>
      </w:tr>
      <w:tr>
        <w:trPr>
          <w:trHeight w:val="216"/>
        </w:trPr>
        <w:tc>
          <w:tcPr>
            <w:tcW w:w="216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Company</w:t>
            </w:r>
          </w:p>
        </w:tc>
        <w:tc>
          <w:tcPr>
            <w:tcW w:w="4120" w:type="dxa"/>
            <w:vAlign w:val="bottom"/>
            <w:tcBorders>
              <w:bottom w:val="single" w:sz="8" w:color="auto"/>
            </w:tcBorders>
          </w:tcPr>
          <w:p>
            <w:pPr>
              <w:ind w:left="2060"/>
              <w:spacing w:after="0"/>
              <w:rPr>
                <w:sz w:val="20"/>
                <w:szCs w:val="20"/>
                <w:color w:val="auto"/>
              </w:rPr>
            </w:pPr>
            <w:r>
              <w:rPr>
                <w:rFonts w:ascii="Arial" w:cs="Arial" w:eastAsia="Arial" w:hAnsi="Arial"/>
                <w:sz w:val="16"/>
                <w:szCs w:val="16"/>
                <w:b w:val="1"/>
                <w:bCs w:val="1"/>
                <w:color w:val="auto"/>
              </w:rPr>
              <w:t>Program</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2013</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2012</w:t>
            </w: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2013</w:t>
            </w:r>
          </w:p>
        </w:tc>
        <w:tc>
          <w:tcPr>
            <w:tcW w:w="15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2012</w:t>
            </w:r>
          </w:p>
        </w:tc>
      </w:tr>
      <w:tr>
        <w:trPr>
          <w:trHeight w:val="200"/>
        </w:trPr>
        <w:tc>
          <w:tcPr>
            <w:tcW w:w="2160" w:type="dxa"/>
            <w:vAlign w:val="bottom"/>
            <w:shd w:val="clear" w:color="auto" w:fill="CCEEFF"/>
          </w:tcPr>
          <w:p>
            <w:pPr>
              <w:spacing w:after="0"/>
              <w:rPr>
                <w:sz w:val="17"/>
                <w:szCs w:val="17"/>
                <w:color w:val="auto"/>
              </w:rPr>
            </w:pPr>
          </w:p>
        </w:tc>
        <w:tc>
          <w:tcPr>
            <w:tcW w:w="4120" w:type="dxa"/>
            <w:vAlign w:val="bottom"/>
            <w:shd w:val="clear" w:color="auto" w:fill="CCEEFF"/>
          </w:tcPr>
          <w:p>
            <w:pPr>
              <w:ind w:left="460"/>
              <w:spacing w:after="0" w:line="200" w:lineRule="exact"/>
              <w:rPr>
                <w:sz w:val="20"/>
                <w:szCs w:val="20"/>
                <w:color w:val="auto"/>
              </w:rPr>
            </w:pPr>
            <w:r>
              <w:rPr>
                <w:rFonts w:ascii="Arial" w:cs="Arial" w:eastAsia="Arial" w:hAnsi="Arial"/>
                <w:sz w:val="13"/>
                <w:szCs w:val="13"/>
                <w:i w:val="1"/>
                <w:iCs w:val="1"/>
                <w:color w:val="auto"/>
              </w:rPr>
              <w:t>PureStem</w:t>
            </w:r>
            <w:r>
              <w:rPr>
                <w:rFonts w:ascii="Arial" w:cs="Arial" w:eastAsia="Arial" w:hAnsi="Arial"/>
                <w:sz w:val="23"/>
                <w:szCs w:val="23"/>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hEPCs, cGMP hES cell lines, and related</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2"/>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BioTime and ESI</w:t>
            </w:r>
          </w:p>
        </w:tc>
        <w:tc>
          <w:tcPr>
            <w:tcW w:w="41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research products</w:t>
            </w:r>
          </w:p>
        </w:tc>
        <w:tc>
          <w:tcPr>
            <w:tcW w:w="4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2,763,879</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2,826,558</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5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15.6%</w:t>
            </w:r>
          </w:p>
        </w:tc>
      </w:tr>
      <w:tr>
        <w:trPr>
          <w:trHeight w:val="213"/>
        </w:trPr>
        <w:tc>
          <w:tcPr>
            <w:tcW w:w="2160" w:type="dxa"/>
            <w:vAlign w:val="bottom"/>
          </w:tcPr>
          <w:p>
            <w:pPr>
              <w:spacing w:after="0"/>
              <w:rPr>
                <w:sz w:val="20"/>
                <w:szCs w:val="20"/>
                <w:color w:val="auto"/>
              </w:rPr>
            </w:pPr>
            <w:r>
              <w:rPr>
                <w:rFonts w:ascii="Arial" w:cs="Arial" w:eastAsia="Arial" w:hAnsi="Arial"/>
                <w:sz w:val="16"/>
                <w:szCs w:val="16"/>
                <w:color w:val="auto"/>
              </w:rPr>
              <w:t>BioTime</w:t>
            </w:r>
          </w:p>
        </w:tc>
        <w:tc>
          <w:tcPr>
            <w:tcW w:w="4120" w:type="dxa"/>
            <w:vAlign w:val="bottom"/>
          </w:tcPr>
          <w:p>
            <w:pPr>
              <w:ind w:left="460"/>
              <w:spacing w:after="0" w:line="212" w:lineRule="exact"/>
              <w:rPr>
                <w:sz w:val="20"/>
                <w:szCs w:val="20"/>
                <w:color w:val="auto"/>
              </w:rPr>
            </w:pPr>
            <w:r>
              <w:rPr>
                <w:rFonts w:ascii="Arial" w:cs="Arial" w:eastAsia="Arial" w:hAnsi="Arial"/>
                <w:sz w:val="13"/>
                <w:szCs w:val="13"/>
                <w:i w:val="1"/>
                <w:iCs w:val="1"/>
                <w:color w:val="auto"/>
              </w:rPr>
              <w:t>PureStem</w:t>
            </w:r>
            <w:r>
              <w:rPr>
                <w:rFonts w:ascii="Arial" w:cs="Arial" w:eastAsia="Arial" w:hAnsi="Arial"/>
                <w:sz w:val="24"/>
                <w:szCs w:val="24"/>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technology</w:t>
            </w:r>
          </w:p>
        </w:tc>
        <w:tc>
          <w:tcPr>
            <w:tcW w:w="4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227,429</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1"/>
              <w:spacing w:after="0"/>
              <w:rPr>
                <w:sz w:val="20"/>
                <w:szCs w:val="20"/>
                <w:color w:val="auto"/>
              </w:rPr>
            </w:pPr>
            <w:r>
              <w:rPr>
                <w:rFonts w:ascii="Arial" w:cs="Arial" w:eastAsia="Arial" w:hAnsi="Arial"/>
                <w:sz w:val="16"/>
                <w:szCs w:val="16"/>
                <w:color w:val="auto"/>
              </w:rPr>
              <w:t>794,632</w:t>
            </w:r>
          </w:p>
        </w:tc>
        <w:tc>
          <w:tcPr>
            <w:tcW w:w="780" w:type="dxa"/>
            <w:vAlign w:val="bottom"/>
          </w:tcPr>
          <w:p>
            <w:pPr>
              <w:jc w:val="right"/>
              <w:spacing w:after="0"/>
              <w:rPr>
                <w:sz w:val="20"/>
                <w:szCs w:val="20"/>
                <w:color w:val="auto"/>
              </w:rPr>
            </w:pPr>
            <w:r>
              <w:rPr>
                <w:rFonts w:ascii="Arial" w:cs="Arial" w:eastAsia="Arial" w:hAnsi="Arial"/>
                <w:sz w:val="16"/>
                <w:szCs w:val="16"/>
                <w:color w:val="auto"/>
              </w:rPr>
              <w:t>0.9%</w:t>
            </w:r>
          </w:p>
        </w:tc>
        <w:tc>
          <w:tcPr>
            <w:tcW w:w="1500" w:type="dxa"/>
            <w:vAlign w:val="bottom"/>
          </w:tcPr>
          <w:p>
            <w:pPr>
              <w:jc w:val="right"/>
              <w:ind w:right="241"/>
              <w:spacing w:after="0"/>
              <w:rPr>
                <w:sz w:val="20"/>
                <w:szCs w:val="20"/>
                <w:color w:val="auto"/>
              </w:rPr>
            </w:pPr>
            <w:r>
              <w:rPr>
                <w:rFonts w:ascii="Arial" w:cs="Arial" w:eastAsia="Arial" w:hAnsi="Arial"/>
                <w:sz w:val="16"/>
                <w:szCs w:val="16"/>
                <w:color w:val="auto"/>
              </w:rPr>
              <w:t>4.4%</w:t>
            </w:r>
          </w:p>
        </w:tc>
      </w:tr>
      <w:tr>
        <w:trPr>
          <w:trHeight w:val="189"/>
        </w:trPr>
        <w:tc>
          <w:tcPr>
            <w:tcW w:w="216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BioTime and OrthoCyte</w:t>
            </w:r>
            <w:r>
              <w:rPr>
                <w:rFonts w:ascii="Arial" w:cs="Arial" w:eastAsia="Arial" w:hAnsi="Arial"/>
                <w:sz w:val="21"/>
                <w:szCs w:val="21"/>
                <w:color w:val="auto"/>
                <w:vertAlign w:val="superscript"/>
              </w:rPr>
              <w:t>(2)</w:t>
            </w:r>
          </w:p>
        </w:tc>
        <w:tc>
          <w:tcPr>
            <w:tcW w:w="4120" w:type="dxa"/>
            <w:vAlign w:val="bottom"/>
            <w:shd w:val="clear" w:color="auto" w:fill="CCEEFF"/>
          </w:tcPr>
          <w:p>
            <w:pPr>
              <w:ind w:left="460"/>
              <w:spacing w:after="0" w:line="189" w:lineRule="exact"/>
              <w:rPr>
                <w:sz w:val="20"/>
                <w:szCs w:val="20"/>
                <w:color w:val="auto"/>
              </w:rPr>
            </w:pPr>
            <w:r>
              <w:rPr>
                <w:rFonts w:ascii="Arial" w:cs="Arial" w:eastAsia="Arial" w:hAnsi="Arial"/>
                <w:sz w:val="13"/>
                <w:szCs w:val="13"/>
                <w:color w:val="auto"/>
              </w:rPr>
              <w:t xml:space="preserve">Hydrogel products and </w:t>
            </w:r>
            <w:r>
              <w:rPr>
                <w:rFonts w:ascii="Arial" w:cs="Arial" w:eastAsia="Arial" w:hAnsi="Arial"/>
                <w:sz w:val="13"/>
                <w:szCs w:val="13"/>
                <w:i w:val="1"/>
                <w:iCs w:val="1"/>
                <w:color w:val="auto"/>
              </w:rPr>
              <w:t>HyStem</w:t>
            </w:r>
            <w:r>
              <w:rPr>
                <w:rFonts w:ascii="Arial" w:cs="Arial" w:eastAsia="Arial" w:hAnsi="Arial"/>
                <w:sz w:val="21"/>
                <w:szCs w:val="21"/>
                <w:color w:val="auto"/>
                <w:vertAlign w:val="superscript"/>
              </w:rPr>
              <w:t>®</w:t>
            </w:r>
            <w:r>
              <w:rPr>
                <w:rFonts w:ascii="Arial" w:cs="Arial" w:eastAsia="Arial" w:hAnsi="Arial"/>
                <w:sz w:val="13"/>
                <w:szCs w:val="13"/>
                <w:color w:val="auto"/>
              </w:rPr>
              <w:t xml:space="preserve"> research</w:t>
            </w:r>
          </w:p>
        </w:tc>
        <w:tc>
          <w:tcPr>
            <w:tcW w:w="4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5,229,278</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3,681,893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5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20.3%</w:t>
            </w:r>
          </w:p>
        </w:tc>
      </w:tr>
      <w:tr>
        <w:trPr>
          <w:trHeight w:val="189"/>
        </w:trPr>
        <w:tc>
          <w:tcPr>
            <w:tcW w:w="2160" w:type="dxa"/>
            <w:vAlign w:val="bottom"/>
          </w:tcPr>
          <w:p>
            <w:pPr>
              <w:spacing w:after="0"/>
              <w:rPr>
                <w:sz w:val="20"/>
                <w:szCs w:val="20"/>
                <w:color w:val="auto"/>
              </w:rPr>
            </w:pPr>
            <w:r>
              <w:rPr>
                <w:rFonts w:ascii="Arial" w:cs="Arial" w:eastAsia="Arial" w:hAnsi="Arial"/>
                <w:sz w:val="16"/>
                <w:szCs w:val="16"/>
                <w:color w:val="auto"/>
              </w:rPr>
              <w:t>OncoCyte</w:t>
            </w:r>
          </w:p>
        </w:tc>
        <w:tc>
          <w:tcPr>
            <w:tcW w:w="4120" w:type="dxa"/>
            <w:vAlign w:val="bottom"/>
          </w:tcPr>
          <w:p>
            <w:pPr>
              <w:ind w:left="460"/>
              <w:spacing w:after="0"/>
              <w:rPr>
                <w:sz w:val="20"/>
                <w:szCs w:val="20"/>
                <w:color w:val="auto"/>
              </w:rPr>
            </w:pPr>
            <w:r>
              <w:rPr>
                <w:rFonts w:ascii="Arial" w:cs="Arial" w:eastAsia="Arial" w:hAnsi="Arial"/>
                <w:sz w:val="16"/>
                <w:szCs w:val="16"/>
                <w:color w:val="auto"/>
              </w:rPr>
              <w:t>Cancer therapy and diagnostics and therapy</w:t>
            </w:r>
          </w:p>
        </w:tc>
        <w:tc>
          <w:tcPr>
            <w:tcW w:w="4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2,760,810</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1"/>
              <w:spacing w:after="0"/>
              <w:rPr>
                <w:sz w:val="20"/>
                <w:szCs w:val="20"/>
                <w:color w:val="auto"/>
              </w:rPr>
            </w:pPr>
            <w:r>
              <w:rPr>
                <w:rFonts w:ascii="Arial" w:cs="Arial" w:eastAsia="Arial" w:hAnsi="Arial"/>
                <w:sz w:val="16"/>
                <w:szCs w:val="16"/>
                <w:color w:val="auto"/>
              </w:rPr>
              <w:t>3,129,885</w:t>
            </w:r>
          </w:p>
        </w:tc>
        <w:tc>
          <w:tcPr>
            <w:tcW w:w="780" w:type="dxa"/>
            <w:vAlign w:val="bottom"/>
          </w:tcPr>
          <w:p>
            <w:pPr>
              <w:jc w:val="right"/>
              <w:spacing w:after="0"/>
              <w:rPr>
                <w:sz w:val="20"/>
                <w:szCs w:val="20"/>
                <w:color w:val="auto"/>
              </w:rPr>
            </w:pPr>
            <w:r>
              <w:rPr>
                <w:rFonts w:ascii="Arial" w:cs="Arial" w:eastAsia="Arial" w:hAnsi="Arial"/>
                <w:sz w:val="16"/>
                <w:szCs w:val="16"/>
                <w:color w:val="auto"/>
              </w:rPr>
              <w:t>10.4%</w:t>
            </w:r>
          </w:p>
        </w:tc>
        <w:tc>
          <w:tcPr>
            <w:tcW w:w="1500" w:type="dxa"/>
            <w:vAlign w:val="bottom"/>
          </w:tcPr>
          <w:p>
            <w:pPr>
              <w:jc w:val="right"/>
              <w:ind w:right="241"/>
              <w:spacing w:after="0"/>
              <w:rPr>
                <w:sz w:val="20"/>
                <w:szCs w:val="20"/>
                <w:color w:val="auto"/>
              </w:rPr>
            </w:pPr>
            <w:r>
              <w:rPr>
                <w:rFonts w:ascii="Arial" w:cs="Arial" w:eastAsia="Arial" w:hAnsi="Arial"/>
                <w:sz w:val="16"/>
                <w:szCs w:val="16"/>
                <w:color w:val="auto"/>
              </w:rPr>
              <w:t>17.3%</w:t>
            </w:r>
          </w:p>
        </w:tc>
      </w:tr>
      <w:tr>
        <w:trPr>
          <w:trHeight w:val="189"/>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OrthoCyte</w:t>
            </w:r>
          </w:p>
        </w:tc>
        <w:tc>
          <w:tcPr>
            <w:tcW w:w="4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Orthopedic therapy</w:t>
            </w:r>
          </w:p>
        </w:tc>
        <w:tc>
          <w:tcPr>
            <w:tcW w:w="4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1,029,989</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950,956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5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5.2%</w:t>
            </w:r>
          </w:p>
        </w:tc>
      </w:tr>
      <w:tr>
        <w:trPr>
          <w:trHeight w:val="189"/>
        </w:trPr>
        <w:tc>
          <w:tcPr>
            <w:tcW w:w="2160" w:type="dxa"/>
            <w:vAlign w:val="bottom"/>
          </w:tcPr>
          <w:p>
            <w:pPr>
              <w:spacing w:after="0"/>
              <w:rPr>
                <w:sz w:val="20"/>
                <w:szCs w:val="20"/>
                <w:color w:val="auto"/>
              </w:rPr>
            </w:pPr>
            <w:r>
              <w:rPr>
                <w:rFonts w:ascii="Arial" w:cs="Arial" w:eastAsia="Arial" w:hAnsi="Arial"/>
                <w:sz w:val="16"/>
                <w:szCs w:val="16"/>
                <w:color w:val="auto"/>
              </w:rPr>
              <w:t>ReCyte Therapeutics</w:t>
            </w:r>
          </w:p>
        </w:tc>
        <w:tc>
          <w:tcPr>
            <w:tcW w:w="4120" w:type="dxa"/>
            <w:vAlign w:val="bottom"/>
          </w:tcPr>
          <w:p>
            <w:pPr>
              <w:ind w:left="460"/>
              <w:spacing w:after="0"/>
              <w:rPr>
                <w:sz w:val="20"/>
                <w:szCs w:val="20"/>
                <w:color w:val="auto"/>
              </w:rPr>
            </w:pPr>
            <w:r>
              <w:rPr>
                <w:rFonts w:ascii="Arial" w:cs="Arial" w:eastAsia="Arial" w:hAnsi="Arial"/>
                <w:sz w:val="16"/>
                <w:szCs w:val="16"/>
                <w:color w:val="auto"/>
              </w:rPr>
              <w:t>Cardiovascular therapy</w:t>
            </w:r>
          </w:p>
        </w:tc>
        <w:tc>
          <w:tcPr>
            <w:tcW w:w="4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1,042,102</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1"/>
              <w:spacing w:after="0"/>
              <w:rPr>
                <w:sz w:val="20"/>
                <w:szCs w:val="20"/>
                <w:color w:val="auto"/>
              </w:rPr>
            </w:pPr>
            <w:r>
              <w:rPr>
                <w:rFonts w:ascii="Arial" w:cs="Arial" w:eastAsia="Arial" w:hAnsi="Arial"/>
                <w:sz w:val="16"/>
                <w:szCs w:val="16"/>
                <w:color w:val="auto"/>
              </w:rPr>
              <w:t>1,367,294</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1500" w:type="dxa"/>
            <w:vAlign w:val="bottom"/>
          </w:tcPr>
          <w:p>
            <w:pPr>
              <w:jc w:val="right"/>
              <w:ind w:right="241"/>
              <w:spacing w:after="0"/>
              <w:rPr>
                <w:sz w:val="20"/>
                <w:szCs w:val="20"/>
                <w:color w:val="auto"/>
              </w:rPr>
            </w:pPr>
            <w:r>
              <w:rPr>
                <w:rFonts w:ascii="Arial" w:cs="Arial" w:eastAsia="Arial" w:hAnsi="Arial"/>
                <w:sz w:val="16"/>
                <w:szCs w:val="16"/>
                <w:color w:val="auto"/>
              </w:rPr>
              <w:t>7.6%</w:t>
            </w:r>
          </w:p>
        </w:tc>
      </w:tr>
      <w:tr>
        <w:trPr>
          <w:trHeight w:val="189"/>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BioTime</w:t>
            </w:r>
          </w:p>
        </w:tc>
        <w:tc>
          <w:tcPr>
            <w:tcW w:w="4120" w:type="dxa"/>
            <w:vAlign w:val="bottom"/>
            <w:shd w:val="clear" w:color="auto" w:fill="CCEEFF"/>
          </w:tcPr>
          <w:p>
            <w:pPr>
              <w:ind w:left="460"/>
              <w:spacing w:after="0" w:line="189" w:lineRule="exact"/>
              <w:rPr>
                <w:sz w:val="20"/>
                <w:szCs w:val="20"/>
                <w:color w:val="auto"/>
              </w:rPr>
            </w:pPr>
            <w:r>
              <w:rPr>
                <w:rFonts w:ascii="Arial" w:cs="Arial" w:eastAsia="Arial" w:hAnsi="Arial"/>
                <w:sz w:val="13"/>
                <w:szCs w:val="13"/>
                <w:i w:val="1"/>
                <w:iCs w:val="1"/>
                <w:color w:val="auto"/>
              </w:rPr>
              <w:t>Hextend</w:t>
            </w:r>
            <w:r>
              <w:rPr>
                <w:rFonts w:ascii="Arial" w:cs="Arial" w:eastAsia="Arial" w:hAnsi="Arial"/>
                <w:sz w:val="21"/>
                <w:szCs w:val="21"/>
                <w:color w:val="auto"/>
                <w:vertAlign w:val="superscript"/>
              </w:rPr>
              <w:t>®</w:t>
            </w:r>
          </w:p>
        </w:tc>
        <w:tc>
          <w:tcPr>
            <w:tcW w:w="4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90,379</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291,580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5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1.6%</w:t>
            </w:r>
          </w:p>
        </w:tc>
      </w:tr>
      <w:tr>
        <w:trPr>
          <w:trHeight w:val="189"/>
        </w:trPr>
        <w:tc>
          <w:tcPr>
            <w:tcW w:w="2160" w:type="dxa"/>
            <w:vAlign w:val="bottom"/>
          </w:tcPr>
          <w:p>
            <w:pPr>
              <w:spacing w:after="0"/>
              <w:rPr>
                <w:sz w:val="20"/>
                <w:szCs w:val="20"/>
                <w:color w:val="auto"/>
              </w:rPr>
            </w:pPr>
            <w:r>
              <w:rPr>
                <w:rFonts w:ascii="Arial" w:cs="Arial" w:eastAsia="Arial" w:hAnsi="Arial"/>
                <w:sz w:val="16"/>
                <w:szCs w:val="16"/>
                <w:color w:val="auto"/>
              </w:rPr>
              <w:t>BioTime Asia</w:t>
            </w:r>
          </w:p>
        </w:tc>
        <w:tc>
          <w:tcPr>
            <w:tcW w:w="4120" w:type="dxa"/>
            <w:vAlign w:val="bottom"/>
          </w:tcPr>
          <w:p>
            <w:pPr>
              <w:ind w:left="460"/>
              <w:spacing w:after="0"/>
              <w:rPr>
                <w:sz w:val="20"/>
                <w:szCs w:val="20"/>
                <w:color w:val="auto"/>
              </w:rPr>
            </w:pPr>
            <w:r>
              <w:rPr>
                <w:rFonts w:ascii="Arial" w:cs="Arial" w:eastAsia="Arial" w:hAnsi="Arial"/>
                <w:sz w:val="16"/>
                <w:szCs w:val="16"/>
                <w:color w:val="auto"/>
              </w:rPr>
              <w:t>Stem cell products for research</w:t>
            </w:r>
          </w:p>
        </w:tc>
        <w:tc>
          <w:tcPr>
            <w:tcW w:w="4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31,288</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1"/>
              <w:spacing w:after="0"/>
              <w:rPr>
                <w:sz w:val="20"/>
                <w:szCs w:val="20"/>
                <w:color w:val="auto"/>
              </w:rPr>
            </w:pPr>
            <w:r>
              <w:rPr>
                <w:rFonts w:ascii="Arial" w:cs="Arial" w:eastAsia="Arial" w:hAnsi="Arial"/>
                <w:sz w:val="16"/>
                <w:szCs w:val="16"/>
                <w:color w:val="auto"/>
              </w:rPr>
              <w:t>153,031</w:t>
            </w: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1500" w:type="dxa"/>
            <w:vAlign w:val="bottom"/>
          </w:tcPr>
          <w:p>
            <w:pPr>
              <w:jc w:val="right"/>
              <w:ind w:right="241"/>
              <w:spacing w:after="0"/>
              <w:rPr>
                <w:sz w:val="20"/>
                <w:szCs w:val="20"/>
                <w:color w:val="auto"/>
              </w:rPr>
            </w:pPr>
            <w:r>
              <w:rPr>
                <w:rFonts w:ascii="Arial" w:cs="Arial" w:eastAsia="Arial" w:hAnsi="Arial"/>
                <w:sz w:val="16"/>
                <w:szCs w:val="16"/>
                <w:color w:val="auto"/>
              </w:rPr>
              <w:t>0.8%</w:t>
            </w:r>
          </w:p>
        </w:tc>
      </w:tr>
      <w:tr>
        <w:trPr>
          <w:trHeight w:val="177"/>
        </w:trPr>
        <w:tc>
          <w:tcPr>
            <w:tcW w:w="2160" w:type="dxa"/>
            <w:vAlign w:val="bottom"/>
            <w:shd w:val="clear" w:color="auto" w:fill="CCEEFF"/>
          </w:tcPr>
          <w:p>
            <w:pPr>
              <w:spacing w:after="0"/>
              <w:rPr>
                <w:sz w:val="15"/>
                <w:szCs w:val="15"/>
                <w:color w:val="auto"/>
              </w:rPr>
            </w:pPr>
          </w:p>
        </w:tc>
        <w:tc>
          <w:tcPr>
            <w:tcW w:w="4120" w:type="dxa"/>
            <w:vAlign w:val="bottom"/>
            <w:shd w:val="clear" w:color="auto" w:fill="CCEEFF"/>
          </w:tcPr>
          <w:p>
            <w:pPr>
              <w:ind w:left="460"/>
              <w:spacing w:after="0" w:line="177" w:lineRule="exact"/>
              <w:rPr>
                <w:sz w:val="20"/>
                <w:szCs w:val="20"/>
                <w:color w:val="auto"/>
              </w:rPr>
            </w:pPr>
            <w:r>
              <w:rPr>
                <w:rFonts w:ascii="Arial" w:cs="Arial" w:eastAsia="Arial" w:hAnsi="Arial"/>
                <w:sz w:val="13"/>
                <w:szCs w:val="13"/>
                <w:i w:val="1"/>
                <w:iCs w:val="1"/>
                <w:color w:val="auto"/>
              </w:rPr>
              <w:t>OpRegen</w:t>
            </w:r>
            <w:r>
              <w:rPr>
                <w:rFonts w:ascii="Arial" w:cs="Arial" w:eastAsia="Arial" w:hAnsi="Arial"/>
                <w:sz w:val="20"/>
                <w:szCs w:val="20"/>
                <w:color w:val="auto"/>
                <w:vertAlign w:val="superscript"/>
              </w:rPr>
              <w:t>®</w:t>
            </w:r>
            <w:r>
              <w:rPr>
                <w:rFonts w:ascii="Arial" w:cs="Arial" w:eastAsia="Arial" w:hAnsi="Arial"/>
                <w:sz w:val="13"/>
                <w:szCs w:val="13"/>
                <w:color w:val="auto"/>
              </w:rPr>
              <w:t>,</w:t>
            </w:r>
            <w:r>
              <w:rPr>
                <w:rFonts w:ascii="Arial" w:cs="Arial" w:eastAsia="Arial" w:hAnsi="Arial"/>
                <w:sz w:val="13"/>
                <w:szCs w:val="13"/>
                <w:i w:val="1"/>
                <w:iCs w:val="1"/>
                <w:color w:val="auto"/>
              </w:rPr>
              <w:t xml:space="preserve"> OpRegen</w:t>
            </w:r>
            <w:r>
              <w:rPr>
                <w:rFonts w:ascii="Arial" w:cs="Arial" w:eastAsia="Arial" w:hAnsi="Arial"/>
                <w:sz w:val="20"/>
                <w:szCs w:val="20"/>
                <w:color w:val="auto"/>
                <w:vertAlign w:val="superscript"/>
              </w:rPr>
              <w:t>®</w:t>
            </w:r>
            <w:r>
              <w:rPr>
                <w:rFonts w:ascii="Arial" w:cs="Arial" w:eastAsia="Arial" w:hAnsi="Arial"/>
                <w:sz w:val="13"/>
                <w:szCs w:val="13"/>
                <w:i w:val="1"/>
                <w:iCs w:val="1"/>
                <w:color w:val="auto"/>
              </w:rPr>
              <w:t>-Plus</w:t>
            </w:r>
            <w:r>
              <w:rPr>
                <w:rFonts w:ascii="Arial" w:cs="Arial" w:eastAsia="Arial" w:hAnsi="Arial"/>
                <w:sz w:val="13"/>
                <w:szCs w:val="13"/>
                <w:color w:val="auto"/>
              </w:rPr>
              <w:t>, and neurological disease</w:t>
            </w: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02"/>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Cell Cure Neurosciences</w:t>
            </w:r>
          </w:p>
        </w:tc>
        <w:tc>
          <w:tcPr>
            <w:tcW w:w="41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therapies</w:t>
            </w:r>
          </w:p>
        </w:tc>
        <w:tc>
          <w:tcPr>
            <w:tcW w:w="4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6,401,884</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3,185,490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5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17.6%</w:t>
            </w:r>
          </w:p>
        </w:tc>
      </w:tr>
      <w:tr>
        <w:trPr>
          <w:trHeight w:val="189"/>
        </w:trPr>
        <w:tc>
          <w:tcPr>
            <w:tcW w:w="2160" w:type="dxa"/>
            <w:vAlign w:val="bottom"/>
          </w:tcPr>
          <w:p>
            <w:pPr>
              <w:spacing w:after="0"/>
              <w:rPr>
                <w:sz w:val="20"/>
                <w:szCs w:val="20"/>
                <w:color w:val="auto"/>
              </w:rPr>
            </w:pPr>
            <w:r>
              <w:rPr>
                <w:rFonts w:ascii="Arial" w:cs="Arial" w:eastAsia="Arial" w:hAnsi="Arial"/>
                <w:sz w:val="16"/>
                <w:szCs w:val="16"/>
                <w:color w:val="auto"/>
              </w:rPr>
              <w:t>LifeMap Sciences</w:t>
            </w:r>
          </w:p>
        </w:tc>
        <w:tc>
          <w:tcPr>
            <w:tcW w:w="4120" w:type="dxa"/>
            <w:vAlign w:val="bottom"/>
          </w:tcPr>
          <w:p>
            <w:pPr>
              <w:ind w:left="460"/>
              <w:spacing w:after="0"/>
              <w:rPr>
                <w:sz w:val="20"/>
                <w:szCs w:val="20"/>
                <w:color w:val="auto"/>
              </w:rPr>
            </w:pPr>
            <w:r>
              <w:rPr>
                <w:rFonts w:ascii="Arial" w:cs="Arial" w:eastAsia="Arial" w:hAnsi="Arial"/>
                <w:sz w:val="16"/>
                <w:szCs w:val="16"/>
                <w:color w:val="auto"/>
              </w:rPr>
              <w:t>Database development and sales</w:t>
            </w:r>
          </w:p>
        </w:tc>
        <w:tc>
          <w:tcPr>
            <w:tcW w:w="4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2,663,066</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1"/>
              <w:spacing w:after="0"/>
              <w:rPr>
                <w:sz w:val="20"/>
                <w:szCs w:val="20"/>
                <w:color w:val="auto"/>
              </w:rPr>
            </w:pPr>
            <w:r>
              <w:rPr>
                <w:rFonts w:ascii="Arial" w:cs="Arial" w:eastAsia="Arial" w:hAnsi="Arial"/>
                <w:sz w:val="16"/>
                <w:szCs w:val="16"/>
                <w:color w:val="auto"/>
              </w:rPr>
              <w:t>1,735,369</w:t>
            </w: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1500" w:type="dxa"/>
            <w:vAlign w:val="bottom"/>
          </w:tcPr>
          <w:p>
            <w:pPr>
              <w:jc w:val="right"/>
              <w:ind w:right="241"/>
              <w:spacing w:after="0"/>
              <w:rPr>
                <w:sz w:val="20"/>
                <w:szCs w:val="20"/>
                <w:color w:val="auto"/>
              </w:rPr>
            </w:pPr>
            <w:r>
              <w:rPr>
                <w:rFonts w:ascii="Arial" w:cs="Arial" w:eastAsia="Arial" w:hAnsi="Arial"/>
                <w:sz w:val="16"/>
                <w:szCs w:val="16"/>
                <w:color w:val="auto"/>
              </w:rPr>
              <w:t>9.6%</w:t>
            </w:r>
          </w:p>
        </w:tc>
      </w:tr>
      <w:tr>
        <w:trPr>
          <w:trHeight w:val="189"/>
        </w:trPr>
        <w:tc>
          <w:tcPr>
            <w:tcW w:w="216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Asterias Biotherapeutics</w:t>
            </w:r>
            <w:r>
              <w:rPr>
                <w:rFonts w:ascii="Arial" w:cs="Arial" w:eastAsia="Arial" w:hAnsi="Arial"/>
                <w:sz w:val="21"/>
                <w:szCs w:val="21"/>
                <w:color w:val="auto"/>
                <w:vertAlign w:val="superscript"/>
              </w:rPr>
              <w:t>(3)</w:t>
            </w:r>
          </w:p>
        </w:tc>
        <w:tc>
          <w:tcPr>
            <w:tcW w:w="4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hESC-based cell therapy programs</w:t>
            </w:r>
          </w:p>
        </w:tc>
        <w:tc>
          <w:tcPr>
            <w:tcW w:w="4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4,319,494</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5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r>
      <w:tr>
        <w:trPr>
          <w:trHeight w:val="200"/>
        </w:trPr>
        <w:tc>
          <w:tcPr>
            <w:tcW w:w="2160" w:type="dxa"/>
            <w:vAlign w:val="bottom"/>
          </w:tcPr>
          <w:p>
            <w:pPr>
              <w:spacing w:after="0"/>
              <w:rPr>
                <w:sz w:val="20"/>
                <w:szCs w:val="20"/>
                <w:color w:val="auto"/>
              </w:rPr>
            </w:pPr>
            <w:r>
              <w:rPr>
                <w:rFonts w:ascii="Arial" w:cs="Arial" w:eastAsia="Arial" w:hAnsi="Arial"/>
                <w:sz w:val="16"/>
                <w:szCs w:val="16"/>
                <w:color w:val="auto"/>
              </w:rPr>
              <w:t>BioTime</w:t>
            </w:r>
          </w:p>
        </w:tc>
        <w:tc>
          <w:tcPr>
            <w:tcW w:w="4120" w:type="dxa"/>
            <w:vAlign w:val="bottom"/>
          </w:tcPr>
          <w:p>
            <w:pPr>
              <w:ind w:left="460"/>
              <w:spacing w:after="0"/>
              <w:rPr>
                <w:sz w:val="20"/>
                <w:szCs w:val="20"/>
                <w:color w:val="auto"/>
              </w:rPr>
            </w:pPr>
            <w:r>
              <w:rPr>
                <w:rFonts w:ascii="Arial" w:cs="Arial" w:eastAsia="Arial" w:hAnsi="Arial"/>
                <w:sz w:val="16"/>
                <w:szCs w:val="16"/>
                <w:color w:val="auto"/>
              </w:rPr>
              <w:t>3D Culture</w:t>
            </w:r>
          </w:p>
        </w:tc>
        <w:tc>
          <w:tcPr>
            <w:tcW w:w="4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49,825</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1500" w:type="dxa"/>
            <w:vAlign w:val="bottom"/>
          </w:tcPr>
          <w:p>
            <w:pPr>
              <w:jc w:val="right"/>
              <w:ind w:right="241"/>
              <w:spacing w:after="0"/>
              <w:rPr>
                <w:sz w:val="20"/>
                <w:szCs w:val="20"/>
                <w:color w:val="auto"/>
              </w:rPr>
            </w:pPr>
            <w:r>
              <w:rPr>
                <w:rFonts w:ascii="Arial" w:cs="Arial" w:eastAsia="Arial" w:hAnsi="Arial"/>
                <w:sz w:val="16"/>
                <w:szCs w:val="16"/>
                <w:color w:val="auto"/>
              </w:rPr>
              <w:t>-%</w:t>
            </w:r>
          </w:p>
        </w:tc>
      </w:tr>
    </w:tbl>
    <w:p>
      <w:pPr>
        <w:spacing w:after="0" w:line="189" w:lineRule="exact"/>
        <w:rPr>
          <w:sz w:val="20"/>
          <w:szCs w:val="20"/>
          <w:color w:val="auto"/>
        </w:rPr>
      </w:pPr>
    </w:p>
    <w:p>
      <w:pPr>
        <w:ind w:left="285" w:right="40" w:hanging="285"/>
        <w:spacing w:after="0" w:line="340" w:lineRule="auto"/>
        <w:tabs>
          <w:tab w:leader="none" w:pos="285"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 also includes research and development expenses incurred directly by the subsidiary and certain general research and development expenses, such as lab supplies, lab expenses, rent allocated, and insurance allocated to research and development expenses, incurred directly by BioTime on behalf of the subsidiary and allocated to the subsidiary.</w:t>
      </w:r>
    </w:p>
    <w:p>
      <w:pPr>
        <w:spacing w:after="0" w:line="126" w:lineRule="exact"/>
        <w:rPr>
          <w:rFonts w:ascii="Arial" w:cs="Arial" w:eastAsia="Arial" w:hAnsi="Arial"/>
          <w:sz w:val="14"/>
          <w:szCs w:val="14"/>
          <w:color w:val="auto"/>
        </w:rPr>
      </w:pPr>
    </w:p>
    <w:p>
      <w:pPr>
        <w:ind w:left="285" w:hanging="285"/>
        <w:spacing w:after="0"/>
        <w:tabs>
          <w:tab w:leader="none" w:pos="28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OrthoCyte transferred its </w:t>
      </w:r>
      <w:r>
        <w:rPr>
          <w:rFonts w:ascii="Arial" w:cs="Arial" w:eastAsia="Arial" w:hAnsi="Arial"/>
          <w:sz w:val="16"/>
          <w:szCs w:val="16"/>
          <w:i w:val="1"/>
          <w:iCs w:val="1"/>
          <w:color w:val="auto"/>
        </w:rPr>
        <w:t>HyStem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 line and related research to BioTime during January 2012.</w:t>
      </w:r>
    </w:p>
    <w:p>
      <w:pPr>
        <w:spacing w:after="0" w:line="110" w:lineRule="exact"/>
        <w:rPr>
          <w:rFonts w:ascii="Arial" w:cs="Arial" w:eastAsia="Arial" w:hAnsi="Arial"/>
          <w:sz w:val="16"/>
          <w:szCs w:val="16"/>
          <w:color w:val="auto"/>
        </w:rPr>
      </w:pPr>
    </w:p>
    <w:p>
      <w:pPr>
        <w:ind w:left="285" w:right="380" w:hanging="285"/>
        <w:spacing w:after="0" w:line="267" w:lineRule="auto"/>
        <w:tabs>
          <w:tab w:leader="none" w:pos="285"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Excludes IPR&amp;D expenses related to intangible assets acquired from Geron. IPR&amp;D represents the value of incomplete research and development projects which Asterias intends to continue. See Notes 2 and 15 to the Consolidated Financial Statements.</w:t>
      </w:r>
    </w:p>
    <w:p>
      <w:pPr>
        <w:spacing w:after="0" w:line="131"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85" w:name="page86"/>
    <w:bookmarkEnd w:id="8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 Expenses</w:t>
      </w:r>
    </w:p>
    <w:p>
      <w:pPr>
        <w:spacing w:after="0" w:line="222" w:lineRule="exact"/>
        <w:rPr>
          <w:sz w:val="20"/>
          <w:szCs w:val="20"/>
          <w:color w:val="auto"/>
        </w:rPr>
      </w:pPr>
    </w:p>
    <w:p>
      <w:pPr>
        <w:ind w:right="80" w:firstLine="567"/>
        <w:spacing w:after="0" w:line="267" w:lineRule="auto"/>
        <w:rPr>
          <w:sz w:val="20"/>
          <w:szCs w:val="20"/>
          <w:color w:val="auto"/>
        </w:rPr>
      </w:pPr>
      <w:r>
        <w:rPr>
          <w:rFonts w:ascii="Arial" w:cs="Arial" w:eastAsia="Arial" w:hAnsi="Arial"/>
          <w:sz w:val="16"/>
          <w:szCs w:val="16"/>
          <w:color w:val="auto"/>
        </w:rPr>
        <w:t>The following table shows the amount and approximate percentages of our total general and administrative expenses of $15,558,674 and $10,365,045 allocated to BioTime and our subsidiaries during the years ended December 31, 2013 and 2012, respectively.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6"/>
                <w:szCs w:val="16"/>
                <w:b w:val="1"/>
                <w:bCs w:val="1"/>
                <w:color w:val="auto"/>
              </w:rPr>
              <w:t>Amount</w:t>
            </w:r>
            <w:r>
              <w:rPr>
                <w:rFonts w:ascii="Arial" w:cs="Arial" w:eastAsia="Arial" w:hAnsi="Arial"/>
                <w:sz w:val="26"/>
                <w:szCs w:val="26"/>
                <w:b w:val="1"/>
                <w:bCs w:val="1"/>
                <w:color w:val="auto"/>
                <w:vertAlign w:val="superscript"/>
              </w:rPr>
              <w:t>(1)</w:t>
            </w: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6"/>
                <w:szCs w:val="16"/>
                <w:b w:val="1"/>
                <w:bCs w:val="1"/>
                <w:color w:val="auto"/>
              </w:rPr>
              <w:t>Percent</w:t>
            </w:r>
          </w:p>
        </w:tc>
      </w:tr>
      <w:tr>
        <w:trPr>
          <w:trHeight w:val="216"/>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Company</w:t>
            </w:r>
          </w:p>
        </w:tc>
        <w:tc>
          <w:tcPr>
            <w:tcW w:w="260" w:type="dxa"/>
            <w:vAlign w:val="bottom"/>
          </w:tcPr>
          <w:p>
            <w:pPr>
              <w:spacing w:after="0"/>
              <w:rPr>
                <w:sz w:val="18"/>
                <w:szCs w:val="18"/>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114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rPr>
              <w:t>2013</w:t>
            </w:r>
          </w:p>
        </w:tc>
        <w:tc>
          <w:tcPr>
            <w:tcW w:w="1680" w:type="dxa"/>
            <w:vAlign w:val="bottom"/>
            <w:gridSpan w:val="3"/>
          </w:tcPr>
          <w:p>
            <w:pPr>
              <w:jc w:val="right"/>
              <w:ind w:right="401"/>
              <w:spacing w:after="0"/>
              <w:rPr>
                <w:sz w:val="20"/>
                <w:szCs w:val="20"/>
                <w:color w:val="auto"/>
              </w:rPr>
            </w:pPr>
            <w:r>
              <w:rPr>
                <w:rFonts w:ascii="Arial" w:cs="Arial" w:eastAsia="Arial" w:hAnsi="Arial"/>
                <w:sz w:val="16"/>
                <w:szCs w:val="16"/>
                <w:b w:val="1"/>
                <w:bCs w:val="1"/>
                <w:color w:val="auto"/>
              </w:rPr>
              <w:t>2012</w:t>
            </w:r>
          </w:p>
        </w:tc>
      </w:tr>
      <w:tr>
        <w:trPr>
          <w:trHeight w:val="189"/>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BioTime</w:t>
            </w:r>
          </w:p>
        </w:tc>
        <w:tc>
          <w:tcPr>
            <w:tcW w:w="1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7,366,234</w:t>
            </w:r>
          </w:p>
        </w:tc>
        <w:tc>
          <w:tcPr>
            <w:tcW w:w="24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4,757,477</w:t>
            </w:r>
          </w:p>
        </w:tc>
        <w:tc>
          <w:tcPr>
            <w:tcW w:w="22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47.3%</w:t>
            </w: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45.9%</w:t>
            </w:r>
          </w:p>
        </w:tc>
      </w:tr>
      <w:tr>
        <w:trPr>
          <w:trHeight w:val="189"/>
        </w:trPr>
        <w:tc>
          <w:tcPr>
            <w:tcW w:w="6060" w:type="dxa"/>
            <w:vAlign w:val="bottom"/>
            <w:gridSpan w:val="2"/>
          </w:tcPr>
          <w:p>
            <w:pPr>
              <w:spacing w:after="0"/>
              <w:rPr>
                <w:sz w:val="20"/>
                <w:szCs w:val="20"/>
                <w:color w:val="auto"/>
              </w:rPr>
            </w:pPr>
            <w:r>
              <w:rPr>
                <w:rFonts w:ascii="Arial" w:cs="Arial" w:eastAsia="Arial" w:hAnsi="Arial"/>
                <w:sz w:val="16"/>
                <w:szCs w:val="16"/>
                <w:color w:val="auto"/>
              </w:rPr>
              <w:t>Asterias Biotherapeutics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3,883,185</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758,563</w:t>
            </w:r>
          </w:p>
        </w:tc>
        <w:tc>
          <w:tcPr>
            <w:tcW w:w="1140" w:type="dxa"/>
            <w:vAlign w:val="bottom"/>
            <w:gridSpan w:val="2"/>
          </w:tcPr>
          <w:p>
            <w:pPr>
              <w:jc w:val="right"/>
              <w:ind w:right="21"/>
              <w:spacing w:after="0"/>
              <w:rPr>
                <w:sz w:val="20"/>
                <w:szCs w:val="20"/>
                <w:color w:val="auto"/>
              </w:rPr>
            </w:pPr>
            <w:r>
              <w:rPr>
                <w:rFonts w:ascii="Arial" w:cs="Arial" w:eastAsia="Arial" w:hAnsi="Arial"/>
                <w:sz w:val="16"/>
                <w:szCs w:val="16"/>
                <w:color w:val="auto"/>
              </w:rPr>
              <w:t>25.0%</w:t>
            </w:r>
          </w:p>
        </w:tc>
        <w:tc>
          <w:tcPr>
            <w:tcW w:w="1680" w:type="dxa"/>
            <w:vAlign w:val="bottom"/>
            <w:gridSpan w:val="3"/>
          </w:tcPr>
          <w:p>
            <w:pPr>
              <w:jc w:val="right"/>
              <w:ind w:right="361"/>
              <w:spacing w:after="0"/>
              <w:rPr>
                <w:sz w:val="20"/>
                <w:szCs w:val="20"/>
                <w:color w:val="auto"/>
              </w:rPr>
            </w:pPr>
            <w:r>
              <w:rPr>
                <w:rFonts w:ascii="Arial" w:cs="Arial" w:eastAsia="Arial" w:hAnsi="Arial"/>
                <w:sz w:val="16"/>
                <w:szCs w:val="16"/>
                <w:color w:val="auto"/>
              </w:rPr>
              <w:t>7.3%</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BioTime Asia</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164,432</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869,730</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1680" w:type="dxa"/>
            <w:vAlign w:val="bottom"/>
            <w:gridSpan w:val="3"/>
            <w:shd w:val="clear" w:color="auto" w:fill="CCEEFF"/>
          </w:tcPr>
          <w:p>
            <w:pPr>
              <w:jc w:val="right"/>
              <w:ind w:right="361"/>
              <w:spacing w:after="0"/>
              <w:rPr>
                <w:sz w:val="20"/>
                <w:szCs w:val="20"/>
                <w:color w:val="auto"/>
              </w:rPr>
            </w:pPr>
            <w:r>
              <w:rPr>
                <w:rFonts w:ascii="Arial" w:cs="Arial" w:eastAsia="Arial" w:hAnsi="Arial"/>
                <w:sz w:val="16"/>
                <w:szCs w:val="16"/>
                <w:color w:val="auto"/>
              </w:rPr>
              <w:t>8.4%</w:t>
            </w:r>
          </w:p>
        </w:tc>
      </w:tr>
      <w:tr>
        <w:trPr>
          <w:trHeight w:val="189"/>
        </w:trPr>
        <w:tc>
          <w:tcPr>
            <w:tcW w:w="6060" w:type="dxa"/>
            <w:vAlign w:val="bottom"/>
            <w:gridSpan w:val="2"/>
          </w:tcPr>
          <w:p>
            <w:pPr>
              <w:spacing w:after="0"/>
              <w:rPr>
                <w:sz w:val="20"/>
                <w:szCs w:val="20"/>
                <w:color w:val="auto"/>
              </w:rPr>
            </w:pPr>
            <w:r>
              <w:rPr>
                <w:rFonts w:ascii="Arial" w:cs="Arial" w:eastAsia="Arial" w:hAnsi="Arial"/>
                <w:sz w:val="16"/>
                <w:szCs w:val="16"/>
                <w:color w:val="auto"/>
              </w:rPr>
              <w:t>Cell Cure Neurosciences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675,970</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722,575</w:t>
            </w:r>
          </w:p>
        </w:tc>
        <w:tc>
          <w:tcPr>
            <w:tcW w:w="1140" w:type="dxa"/>
            <w:vAlign w:val="bottom"/>
            <w:gridSpan w:val="2"/>
          </w:tcPr>
          <w:p>
            <w:pPr>
              <w:jc w:val="right"/>
              <w:ind w:right="21"/>
              <w:spacing w:after="0"/>
              <w:rPr>
                <w:sz w:val="20"/>
                <w:szCs w:val="20"/>
                <w:color w:val="auto"/>
              </w:rPr>
            </w:pPr>
            <w:r>
              <w:rPr>
                <w:rFonts w:ascii="Arial" w:cs="Arial" w:eastAsia="Arial" w:hAnsi="Arial"/>
                <w:sz w:val="16"/>
                <w:szCs w:val="16"/>
                <w:color w:val="auto"/>
              </w:rPr>
              <w:t>4.3%</w:t>
            </w:r>
          </w:p>
        </w:tc>
        <w:tc>
          <w:tcPr>
            <w:tcW w:w="1680" w:type="dxa"/>
            <w:vAlign w:val="bottom"/>
            <w:gridSpan w:val="3"/>
          </w:tcPr>
          <w:p>
            <w:pPr>
              <w:jc w:val="right"/>
              <w:ind w:right="361"/>
              <w:spacing w:after="0"/>
              <w:rPr>
                <w:sz w:val="20"/>
                <w:szCs w:val="20"/>
                <w:color w:val="auto"/>
              </w:rPr>
            </w:pPr>
            <w:r>
              <w:rPr>
                <w:rFonts w:ascii="Arial" w:cs="Arial" w:eastAsia="Arial" w:hAnsi="Arial"/>
                <w:sz w:val="16"/>
                <w:szCs w:val="16"/>
                <w:color w:val="auto"/>
              </w:rPr>
              <w:t>7.0%</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ESI</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305,931</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546,485</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c>
          <w:tcPr>
            <w:tcW w:w="1680" w:type="dxa"/>
            <w:vAlign w:val="bottom"/>
            <w:gridSpan w:val="3"/>
            <w:shd w:val="clear" w:color="auto" w:fill="CCEEFF"/>
          </w:tcPr>
          <w:p>
            <w:pPr>
              <w:jc w:val="right"/>
              <w:ind w:right="361"/>
              <w:spacing w:after="0"/>
              <w:rPr>
                <w:sz w:val="20"/>
                <w:szCs w:val="20"/>
                <w:color w:val="auto"/>
              </w:rPr>
            </w:pPr>
            <w:r>
              <w:rPr>
                <w:rFonts w:ascii="Arial" w:cs="Arial" w:eastAsia="Arial" w:hAnsi="Arial"/>
                <w:sz w:val="16"/>
                <w:szCs w:val="16"/>
                <w:color w:val="auto"/>
              </w:rPr>
              <w:t>5.3%</w:t>
            </w:r>
          </w:p>
        </w:tc>
      </w:tr>
      <w:tr>
        <w:trPr>
          <w:trHeight w:val="189"/>
        </w:trPr>
        <w:tc>
          <w:tcPr>
            <w:tcW w:w="6060" w:type="dxa"/>
            <w:vAlign w:val="bottom"/>
            <w:gridSpan w:val="2"/>
          </w:tcPr>
          <w:p>
            <w:pPr>
              <w:spacing w:after="0"/>
              <w:rPr>
                <w:sz w:val="20"/>
                <w:szCs w:val="20"/>
                <w:color w:val="auto"/>
              </w:rPr>
            </w:pPr>
            <w:r>
              <w:rPr>
                <w:rFonts w:ascii="Arial" w:cs="Arial" w:eastAsia="Arial" w:hAnsi="Arial"/>
                <w:sz w:val="16"/>
                <w:szCs w:val="16"/>
                <w:color w:val="auto"/>
              </w:rPr>
              <w:t>LifeMap Sciences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1,995,215</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1,292,898</w:t>
            </w:r>
          </w:p>
        </w:tc>
        <w:tc>
          <w:tcPr>
            <w:tcW w:w="1140" w:type="dxa"/>
            <w:vAlign w:val="bottom"/>
            <w:gridSpan w:val="2"/>
          </w:tcPr>
          <w:p>
            <w:pPr>
              <w:jc w:val="right"/>
              <w:ind w:right="21"/>
              <w:spacing w:after="0"/>
              <w:rPr>
                <w:sz w:val="20"/>
                <w:szCs w:val="20"/>
                <w:color w:val="auto"/>
              </w:rPr>
            </w:pPr>
            <w:r>
              <w:rPr>
                <w:rFonts w:ascii="Arial" w:cs="Arial" w:eastAsia="Arial" w:hAnsi="Arial"/>
                <w:sz w:val="16"/>
                <w:szCs w:val="16"/>
                <w:color w:val="auto"/>
              </w:rPr>
              <w:t>12.8%</w:t>
            </w:r>
          </w:p>
        </w:tc>
        <w:tc>
          <w:tcPr>
            <w:tcW w:w="1680" w:type="dxa"/>
            <w:vAlign w:val="bottom"/>
            <w:gridSpan w:val="3"/>
          </w:tcPr>
          <w:p>
            <w:pPr>
              <w:jc w:val="right"/>
              <w:ind w:right="361"/>
              <w:spacing w:after="0"/>
              <w:rPr>
                <w:sz w:val="20"/>
                <w:szCs w:val="20"/>
                <w:color w:val="auto"/>
              </w:rPr>
            </w:pPr>
            <w:r>
              <w:rPr>
                <w:rFonts w:ascii="Arial" w:cs="Arial" w:eastAsia="Arial" w:hAnsi="Arial"/>
                <w:sz w:val="16"/>
                <w:szCs w:val="16"/>
                <w:color w:val="auto"/>
              </w:rPr>
              <w:t>12.5%</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OncoCyte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408,470</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606,987</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2.6%</w:t>
            </w:r>
          </w:p>
        </w:tc>
        <w:tc>
          <w:tcPr>
            <w:tcW w:w="1680" w:type="dxa"/>
            <w:vAlign w:val="bottom"/>
            <w:gridSpan w:val="3"/>
            <w:shd w:val="clear" w:color="auto" w:fill="CCEEFF"/>
          </w:tcPr>
          <w:p>
            <w:pPr>
              <w:jc w:val="right"/>
              <w:ind w:right="361"/>
              <w:spacing w:after="0"/>
              <w:rPr>
                <w:sz w:val="20"/>
                <w:szCs w:val="20"/>
                <w:color w:val="auto"/>
              </w:rPr>
            </w:pPr>
            <w:r>
              <w:rPr>
                <w:rFonts w:ascii="Arial" w:cs="Arial" w:eastAsia="Arial" w:hAnsi="Arial"/>
                <w:sz w:val="16"/>
                <w:szCs w:val="16"/>
                <w:color w:val="auto"/>
              </w:rPr>
              <w:t>5.8%</w:t>
            </w:r>
          </w:p>
        </w:tc>
      </w:tr>
      <w:tr>
        <w:trPr>
          <w:trHeight w:val="189"/>
        </w:trPr>
        <w:tc>
          <w:tcPr>
            <w:tcW w:w="6060" w:type="dxa"/>
            <w:vAlign w:val="bottom"/>
            <w:gridSpan w:val="2"/>
          </w:tcPr>
          <w:p>
            <w:pPr>
              <w:spacing w:after="0"/>
              <w:rPr>
                <w:sz w:val="20"/>
                <w:szCs w:val="20"/>
                <w:color w:val="auto"/>
              </w:rPr>
            </w:pPr>
            <w:r>
              <w:rPr>
                <w:rFonts w:ascii="Arial" w:cs="Arial" w:eastAsia="Arial" w:hAnsi="Arial"/>
                <w:sz w:val="16"/>
                <w:szCs w:val="16"/>
                <w:color w:val="auto"/>
              </w:rPr>
              <w:t>OrthoCyte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380,903</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403,694</w:t>
            </w:r>
          </w:p>
        </w:tc>
        <w:tc>
          <w:tcPr>
            <w:tcW w:w="1140" w:type="dxa"/>
            <w:vAlign w:val="bottom"/>
            <w:gridSpan w:val="2"/>
          </w:tcPr>
          <w:p>
            <w:pPr>
              <w:jc w:val="right"/>
              <w:ind w:right="21"/>
              <w:spacing w:after="0"/>
              <w:rPr>
                <w:sz w:val="20"/>
                <w:szCs w:val="20"/>
                <w:color w:val="auto"/>
              </w:rPr>
            </w:pPr>
            <w:r>
              <w:rPr>
                <w:rFonts w:ascii="Arial" w:cs="Arial" w:eastAsia="Arial" w:hAnsi="Arial"/>
                <w:sz w:val="16"/>
                <w:szCs w:val="16"/>
                <w:color w:val="auto"/>
              </w:rPr>
              <w:t>2.5%</w:t>
            </w:r>
          </w:p>
        </w:tc>
        <w:tc>
          <w:tcPr>
            <w:tcW w:w="1680" w:type="dxa"/>
            <w:vAlign w:val="bottom"/>
            <w:gridSpan w:val="3"/>
          </w:tcPr>
          <w:p>
            <w:pPr>
              <w:jc w:val="right"/>
              <w:ind w:right="361"/>
              <w:spacing w:after="0"/>
              <w:rPr>
                <w:sz w:val="20"/>
                <w:szCs w:val="20"/>
                <w:color w:val="auto"/>
              </w:rPr>
            </w:pPr>
            <w:r>
              <w:rPr>
                <w:rFonts w:ascii="Arial" w:cs="Arial" w:eastAsia="Arial" w:hAnsi="Arial"/>
                <w:sz w:val="16"/>
                <w:szCs w:val="16"/>
                <w:color w:val="auto"/>
              </w:rPr>
              <w:t>3.9%</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ReCyte Therapeutics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378,334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406,636</w:t>
            </w:r>
          </w:p>
        </w:tc>
        <w:tc>
          <w:tcPr>
            <w:tcW w:w="11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1680" w:type="dxa"/>
            <w:vAlign w:val="bottom"/>
            <w:gridSpan w:val="3"/>
            <w:shd w:val="clear" w:color="auto" w:fill="CCEEFF"/>
          </w:tcPr>
          <w:p>
            <w:pPr>
              <w:jc w:val="right"/>
              <w:ind w:right="361"/>
              <w:spacing w:after="0"/>
              <w:rPr>
                <w:sz w:val="20"/>
                <w:szCs w:val="20"/>
                <w:color w:val="auto"/>
              </w:rPr>
            </w:pPr>
            <w:r>
              <w:rPr>
                <w:rFonts w:ascii="Arial" w:cs="Arial" w:eastAsia="Arial" w:hAnsi="Arial"/>
                <w:sz w:val="16"/>
                <w:szCs w:val="16"/>
                <w:color w:val="auto"/>
              </w:rPr>
              <w:t>3.9%</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(1) Amount includes general and administrative expenses incurred directly by the subsidiary and allocations from BioTime for certain general overhead expenses.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22" w:lineRule="exact"/>
        <w:rPr>
          <w:sz w:val="20"/>
          <w:szCs w:val="20"/>
          <w:color w:val="auto"/>
        </w:rPr>
      </w:pPr>
    </w:p>
    <w:p>
      <w:pPr>
        <w:ind w:right="80" w:firstLine="567"/>
        <w:spacing w:after="0" w:line="266" w:lineRule="auto"/>
        <w:rPr>
          <w:sz w:val="20"/>
          <w:szCs w:val="20"/>
          <w:color w:val="auto"/>
        </w:rPr>
      </w:pPr>
      <w:r>
        <w:rPr>
          <w:rFonts w:ascii="Arial" w:cs="Arial" w:eastAsia="Arial" w:hAnsi="Arial"/>
          <w:sz w:val="15"/>
          <w:szCs w:val="15"/>
          <w:i w:val="1"/>
          <w:iCs w:val="1"/>
          <w:color w:val="auto"/>
        </w:rPr>
        <w:t xml:space="preserve">Revenue recognition </w:t>
      </w:r>
      <w:r>
        <w:rPr>
          <w:rFonts w:ascii="Arial" w:cs="Arial" w:eastAsia="Arial" w:hAnsi="Arial"/>
          <w:sz w:val="15"/>
          <w:szCs w:val="15"/>
          <w:color w:val="auto"/>
        </w:rPr>
        <w:t>– We comply with SEC Staff Accounting Bulletin guidance on revenue recognition. Royalty revenues consist of product royalty payments. License</w:t>
      </w:r>
      <w:r>
        <w:rPr>
          <w:rFonts w:ascii="Arial" w:cs="Arial" w:eastAsia="Arial" w:hAnsi="Arial"/>
          <w:sz w:val="15"/>
          <w:szCs w:val="15"/>
          <w:i w:val="1"/>
          <w:iCs w:val="1"/>
          <w:color w:val="auto"/>
        </w:rPr>
        <w:t xml:space="preserve"> </w:t>
      </w:r>
      <w:r>
        <w:rPr>
          <w:rFonts w:ascii="Arial" w:cs="Arial" w:eastAsia="Arial" w:hAnsi="Arial"/>
          <w:sz w:val="15"/>
          <w:szCs w:val="15"/>
          <w:color w:val="auto"/>
        </w:rPr>
        <w:t>fee revenues consist of fees under license agreements and are recognized when earned and reasonably estimable and also include subscription and advertising revenue from our online databases based upon respective subscription or advertising periods. We recognize revenue in the quarter in which the royalty reports are received rather than the quarter in which the sales took place. When we are entitled to receive up-front nonrefundable licensing or similar fees pursuant to agreements under which we have no continuing performance obligations, the fees are recognized as revenues when collection is reasonably assured. When we receive up-front nonrefundable licensing or similar fees pursuant to agreements under which we do have continuing performance obligations, the fees are deferred and amortized ratably over the performance period. If the performance period cannot be reasonably estimated, we amortize nonrefundable fees over the life of the contract until such time that the performance period can be more reasonably estimated. Milestone payments, if any, related to scientific or technical achievements are recognized in income when the milestone is accomplished if (a) substantive effort was required to achieve the milestone, (b) the amount of the milestone payment appears reasonably commensurate with the effort expended, and (c) collection of the payment is reasonably assured. Grant income and the sale of research products are recognized as revenue when earned. Revenues from the sale of research products are primarily derived from the sale of hydrogels and stem cell products.</w:t>
      </w:r>
    </w:p>
    <w:p>
      <w:pPr>
        <w:spacing w:after="0" w:line="190" w:lineRule="exact"/>
        <w:rPr>
          <w:sz w:val="20"/>
          <w:szCs w:val="20"/>
          <w:color w:val="auto"/>
        </w:rPr>
      </w:pPr>
    </w:p>
    <w:p>
      <w:pPr>
        <w:ind w:right="420" w:firstLine="567"/>
        <w:spacing w:after="0" w:line="340" w:lineRule="auto"/>
        <w:rPr>
          <w:sz w:val="20"/>
          <w:szCs w:val="20"/>
          <w:color w:val="auto"/>
        </w:rPr>
      </w:pPr>
      <w:r>
        <w:rPr>
          <w:rFonts w:ascii="Arial" w:cs="Arial" w:eastAsia="Arial" w:hAnsi="Arial"/>
          <w:sz w:val="14"/>
          <w:szCs w:val="14"/>
          <w:i w:val="1"/>
          <w:iCs w:val="1"/>
          <w:color w:val="auto"/>
        </w:rPr>
        <w:t xml:space="preserve">Patent costs </w:t>
      </w:r>
      <w:r>
        <w:rPr>
          <w:rFonts w:ascii="Arial" w:cs="Arial" w:eastAsia="Arial" w:hAnsi="Arial"/>
          <w:sz w:val="14"/>
          <w:szCs w:val="14"/>
          <w:color w:val="auto"/>
        </w:rPr>
        <w:t>– Costs associated with obtaining patents on products or technology developed are expensed as general and administrative expenses when incurred. This</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is in compliance with guidance promulgated by the Financial Accounting Standards Board (“FASB”) regarding goodwill and other intangible assets.</w:t>
      </w:r>
    </w:p>
    <w:p>
      <w:pPr>
        <w:spacing w:after="0" w:line="135" w:lineRule="exact"/>
        <w:rPr>
          <w:sz w:val="20"/>
          <w:szCs w:val="20"/>
          <w:color w:val="auto"/>
        </w:rPr>
      </w:pPr>
    </w:p>
    <w:p>
      <w:pPr>
        <w:ind w:right="100" w:firstLine="567"/>
        <w:spacing w:after="0" w:line="269" w:lineRule="auto"/>
        <w:rPr>
          <w:sz w:val="20"/>
          <w:szCs w:val="20"/>
          <w:color w:val="auto"/>
        </w:rPr>
      </w:pPr>
      <w:r>
        <w:rPr>
          <w:rFonts w:ascii="Arial" w:cs="Arial" w:eastAsia="Arial" w:hAnsi="Arial"/>
          <w:sz w:val="15"/>
          <w:szCs w:val="15"/>
          <w:i w:val="1"/>
          <w:iCs w:val="1"/>
          <w:color w:val="auto"/>
        </w:rPr>
        <w:t xml:space="preserve">Intangible assets </w:t>
      </w:r>
      <w:r>
        <w:rPr>
          <w:rFonts w:ascii="Arial" w:cs="Arial" w:eastAsia="Arial" w:hAnsi="Arial"/>
          <w:sz w:val="15"/>
          <w:szCs w:val="15"/>
          <w:color w:val="auto"/>
        </w:rPr>
        <w:t>– Intangible assets with finite useful lives are amortized over estimated useful lives and intangible assets with indefinite lives are not amortized but rather</w:t>
      </w:r>
      <w:r>
        <w:rPr>
          <w:rFonts w:ascii="Arial" w:cs="Arial" w:eastAsia="Arial" w:hAnsi="Arial"/>
          <w:sz w:val="15"/>
          <w:szCs w:val="15"/>
          <w:i w:val="1"/>
          <w:iCs w:val="1"/>
          <w:color w:val="auto"/>
        </w:rPr>
        <w:t xml:space="preserve"> </w:t>
      </w:r>
      <w:r>
        <w:rPr>
          <w:rFonts w:ascii="Arial" w:cs="Arial" w:eastAsia="Arial" w:hAnsi="Arial"/>
          <w:sz w:val="15"/>
          <w:szCs w:val="15"/>
          <w:color w:val="auto"/>
        </w:rPr>
        <w:t>are tested at least annually for impairment. Acquired in-process research and development intangible assets are accounted depending on whether they were acquired as part of an acquisition of a business, or assets that do not constitute a business. When acquired in conjunction with acquisition of a business, these assets are considered to be indefinite-lived until the completion or abandonment of the associated research and development efforts and are capitalized as an asset. If and when development is complete, the associated assets would be deemed finite-lived and would then be amortized based on their respective estimated useful lives at that point in time. However, when acquired in conjunction with an acquisition of assets that do not constitute a business (such as Asterias’ acquisition of assets from Geron), in accordance with the accounting rules in ASC 805-50, such intangible assets related to IPR&amp;D are expensed upon acquisition.</w:t>
      </w:r>
    </w:p>
    <w:p>
      <w:pPr>
        <w:spacing w:after="0" w:line="183" w:lineRule="exact"/>
        <w:rPr>
          <w:sz w:val="20"/>
          <w:szCs w:val="20"/>
          <w:color w:val="auto"/>
        </w:rPr>
      </w:pPr>
    </w:p>
    <w:p>
      <w:pPr>
        <w:ind w:right="20" w:firstLine="567"/>
        <w:spacing w:after="0" w:line="257"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 We comply with FASB requirements governing accounting for research and development costs. Research and development costs are expensed</w:t>
      </w:r>
      <w:r>
        <w:rPr>
          <w:rFonts w:ascii="Arial" w:cs="Arial" w:eastAsia="Arial" w:hAnsi="Arial"/>
          <w:sz w:val="16"/>
          <w:szCs w:val="16"/>
          <w:i w:val="1"/>
          <w:iCs w:val="1"/>
          <w:color w:val="auto"/>
        </w:rPr>
        <w:t xml:space="preserve"> </w:t>
      </w:r>
      <w:r>
        <w:rPr>
          <w:rFonts w:ascii="Arial" w:cs="Arial" w:eastAsia="Arial" w:hAnsi="Arial"/>
          <w:sz w:val="16"/>
          <w:szCs w:val="16"/>
          <w:color w:val="auto"/>
        </w:rPr>
        <w:t>when incurred, and consist principally of salaries, payroll taxes, consulting fees, research and laboratory fees, and license fees paid to acquire patents or licenses to use patents and other technology from third parties.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86" w:name="page87"/>
    <w:bookmarkEnd w:id="8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100" w:firstLine="567"/>
        <w:spacing w:after="0" w:line="289" w:lineRule="auto"/>
        <w:rPr>
          <w:sz w:val="20"/>
          <w:szCs w:val="20"/>
          <w:color w:val="auto"/>
        </w:rPr>
      </w:pPr>
      <w:r>
        <w:rPr>
          <w:rFonts w:ascii="Arial" w:cs="Arial" w:eastAsia="Arial" w:hAnsi="Arial"/>
          <w:sz w:val="14"/>
          <w:szCs w:val="14"/>
          <w:i w:val="1"/>
          <w:iCs w:val="1"/>
          <w:color w:val="auto"/>
        </w:rPr>
        <w:t xml:space="preserve">Stock-based compensation </w:t>
      </w:r>
      <w:r>
        <w:rPr>
          <w:rFonts w:ascii="Arial" w:cs="Arial" w:eastAsia="Arial" w:hAnsi="Arial"/>
          <w:sz w:val="14"/>
          <w:szCs w:val="14"/>
          <w:color w:val="auto"/>
        </w:rPr>
        <w:t>– We have adopted accounting standards governing share-based payments, which require the measurement and recognition of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expense for all share-based payment awards made to directors and employees, including employee stock options, based on estimated fair values. We utilize the Black-Scholes Merton option pricing model. Our determination of fair value of share-based payment awards on the date of grant using an option-pricing model is affected by our stock price as well as assumptions regarding a number of highly complex and subjective variables. These variables include, but are not limited to, expected stock price volatility over the term of the awards, and actual and projected employee stock option exercise behaviors. The expected term of options granted is derived from historical data on employee exercises and post-vesting employment termination behavior. The risk-free rate is based on the U.S. Treasury rates in effect during the corresponding period of grant. Although the fair value of employee stock options is determined in accordance with recent FASB guidance, changes in the subjective assumptions can materially affect the estimated value. In management’s opinion, the existing valuation models may not provide an accurate measure of the fair value of employee stock options because the option-pricing model value may not be indicative of the fair value that would be established in a willing buyer/willing seller market transaction.</w:t>
      </w:r>
    </w:p>
    <w:p>
      <w:pPr>
        <w:spacing w:after="0" w:line="170" w:lineRule="exact"/>
        <w:rPr>
          <w:sz w:val="20"/>
          <w:szCs w:val="20"/>
          <w:color w:val="auto"/>
        </w:rPr>
      </w:pPr>
    </w:p>
    <w:p>
      <w:pPr>
        <w:ind w:right="300" w:firstLine="567"/>
        <w:spacing w:after="0" w:line="267" w:lineRule="auto"/>
        <w:rPr>
          <w:sz w:val="20"/>
          <w:szCs w:val="20"/>
          <w:color w:val="auto"/>
        </w:rPr>
      </w:pPr>
      <w:r>
        <w:rPr>
          <w:rFonts w:ascii="Arial" w:cs="Arial" w:eastAsia="Arial" w:hAnsi="Arial"/>
          <w:sz w:val="16"/>
          <w:szCs w:val="16"/>
          <w:i w:val="1"/>
          <w:iCs w:val="1"/>
          <w:color w:val="auto"/>
        </w:rPr>
        <w:t xml:space="preserve">Treasury stock </w:t>
      </w:r>
      <w:r>
        <w:rPr>
          <w:rFonts w:ascii="Arial" w:cs="Arial" w:eastAsia="Arial" w:hAnsi="Arial"/>
          <w:sz w:val="16"/>
          <w:szCs w:val="16"/>
          <w:color w:val="auto"/>
        </w:rPr>
        <w:t>– We account for BioTime common shares issued to subsidiaries for future potential working capital needs as treasury stock on the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 We have the intent and ability to register any unregistered shares to support the marketability of the shares.</w:t>
      </w:r>
    </w:p>
    <w:p>
      <w:pPr>
        <w:spacing w:after="0" w:line="181" w:lineRule="exact"/>
        <w:rPr>
          <w:sz w:val="20"/>
          <w:szCs w:val="20"/>
          <w:color w:val="auto"/>
        </w:rPr>
      </w:pPr>
    </w:p>
    <w:p>
      <w:pPr>
        <w:jc w:val="both"/>
        <w:ind w:right="20" w:firstLine="567"/>
        <w:spacing w:after="0" w:line="253" w:lineRule="auto"/>
        <w:rPr>
          <w:sz w:val="20"/>
          <w:szCs w:val="20"/>
          <w:color w:val="auto"/>
        </w:rPr>
      </w:pPr>
      <w:r>
        <w:rPr>
          <w:rFonts w:ascii="Arial" w:cs="Arial" w:eastAsia="Arial" w:hAnsi="Arial"/>
          <w:sz w:val="16"/>
          <w:szCs w:val="16"/>
          <w:i w:val="1"/>
          <w:iCs w:val="1"/>
          <w:color w:val="auto"/>
        </w:rPr>
        <w:t xml:space="preserve">Impairment of long-lived assets – </w:t>
      </w:r>
      <w:r>
        <w:rPr>
          <w:rFonts w:ascii="Arial" w:cs="Arial" w:eastAsia="Arial" w:hAnsi="Arial"/>
          <w:sz w:val="16"/>
          <w:szCs w:val="16"/>
          <w:color w:val="auto"/>
        </w:rPr>
        <w:t>Our long-lived assets, including intangible assets, are reviewed for impairment whenever events or changes in circumstances indicate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carrying amount of an asset may not be fully recoverable. If an impairment indicator is present, we evaluate recoverability by a comparison of the carrying amount of the assets to future undiscounted net cash flows expected to be generated by the assets. If the assets are impaired, the impairment recognized is measured by the amount by which the carrying amount exceeds the estimated fair value of the assets.</w:t>
      </w:r>
    </w:p>
    <w:p>
      <w:pPr>
        <w:spacing w:after="0" w:line="193" w:lineRule="exact"/>
        <w:rPr>
          <w:sz w:val="20"/>
          <w:szCs w:val="20"/>
          <w:color w:val="auto"/>
        </w:rPr>
      </w:pPr>
    </w:p>
    <w:p>
      <w:pPr>
        <w:ind w:firstLine="567"/>
        <w:spacing w:after="0" w:line="250" w:lineRule="auto"/>
        <w:rPr>
          <w:sz w:val="20"/>
          <w:szCs w:val="20"/>
          <w:color w:val="auto"/>
        </w:rPr>
      </w:pPr>
      <w:r>
        <w:rPr>
          <w:rFonts w:ascii="Arial" w:cs="Arial" w:eastAsia="Arial" w:hAnsi="Arial"/>
          <w:sz w:val="16"/>
          <w:szCs w:val="16"/>
          <w:i w:val="1"/>
          <w:iCs w:val="1"/>
          <w:color w:val="auto"/>
        </w:rPr>
        <w:t xml:space="preserve">Deferred license and consulting fees </w:t>
      </w:r>
      <w:r>
        <w:rPr>
          <w:rFonts w:ascii="Arial" w:cs="Arial" w:eastAsia="Arial" w:hAnsi="Arial"/>
          <w:sz w:val="16"/>
          <w:szCs w:val="16"/>
          <w:color w:val="auto"/>
        </w:rPr>
        <w:t>– Deferred license and consulting fees consist of the value of warrants issued to third parties for services, and deferred license fees paid</w:t>
      </w:r>
      <w:r>
        <w:rPr>
          <w:rFonts w:ascii="Arial" w:cs="Arial" w:eastAsia="Arial" w:hAnsi="Arial"/>
          <w:sz w:val="16"/>
          <w:szCs w:val="16"/>
          <w:i w:val="1"/>
          <w:iCs w:val="1"/>
          <w:color w:val="auto"/>
        </w:rPr>
        <w:t xml:space="preserve"> </w:t>
      </w:r>
      <w:r>
        <w:rPr>
          <w:rFonts w:ascii="Arial" w:cs="Arial" w:eastAsia="Arial" w:hAnsi="Arial"/>
          <w:sz w:val="16"/>
          <w:szCs w:val="16"/>
          <w:color w:val="auto"/>
        </w:rPr>
        <w:t>to acquire rights to use the proprietary technologies of third parties. The value of the warrants is being amortized over the lives of the warrants, and deferred license fees over the estimated useful lives of the licensed technologies or licensed research products. The estimation of the useful life any technology or product involves a significant degree of inherent uncertainty, since the outcome of research and development or the commercial life of a new product cannot be known with certainty at the time that the right to use the technology or product is acquired. We will review its amortization schedules for impairments that might occur earlier than the original expected useful lives. See also Note 6 to the Condensed Consolidated Interim Financial Statements.</w:t>
      </w:r>
    </w:p>
    <w:p>
      <w:pPr>
        <w:spacing w:after="0" w:line="197" w:lineRule="exact"/>
        <w:rPr>
          <w:sz w:val="20"/>
          <w:szCs w:val="20"/>
          <w:color w:val="auto"/>
        </w:rPr>
      </w:pPr>
    </w:p>
    <w:p>
      <w:pPr>
        <w:ind w:right="20" w:firstLine="567"/>
        <w:spacing w:after="0" w:line="268" w:lineRule="auto"/>
        <w:rPr>
          <w:sz w:val="20"/>
          <w:szCs w:val="20"/>
          <w:color w:val="auto"/>
        </w:rPr>
      </w:pPr>
      <w:r>
        <w:rPr>
          <w:rFonts w:ascii="Arial" w:cs="Arial" w:eastAsia="Arial" w:hAnsi="Arial"/>
          <w:sz w:val="15"/>
          <w:szCs w:val="15"/>
          <w:i w:val="1"/>
          <w:iCs w:val="1"/>
          <w:color w:val="auto"/>
        </w:rPr>
        <w:t xml:space="preserve">Principles of consolidation – </w:t>
      </w:r>
      <w:r>
        <w:rPr>
          <w:rFonts w:ascii="Arial" w:cs="Arial" w:eastAsia="Arial" w:hAnsi="Arial"/>
          <w:sz w:val="15"/>
          <w:szCs w:val="15"/>
          <w:color w:val="auto"/>
        </w:rPr>
        <w:t>Our consolidated financial statements include the accounts of our wholly-owned subsidiaries, OrthoCyte, and ESI, the accounts of ReCyte</w:t>
      </w:r>
      <w:r>
        <w:rPr>
          <w:rFonts w:ascii="Arial" w:cs="Arial" w:eastAsia="Arial" w:hAnsi="Arial"/>
          <w:sz w:val="15"/>
          <w:szCs w:val="15"/>
          <w:i w:val="1"/>
          <w:iCs w:val="1"/>
          <w:color w:val="auto"/>
        </w:rPr>
        <w:t xml:space="preserve"> </w:t>
      </w:r>
      <w:r>
        <w:rPr>
          <w:rFonts w:ascii="Arial" w:cs="Arial" w:eastAsia="Arial" w:hAnsi="Arial"/>
          <w:sz w:val="15"/>
          <w:szCs w:val="15"/>
          <w:color w:val="auto"/>
        </w:rPr>
        <w:t>Therapeutics, a subsidiary of which we owned approximately 94.8% of the outstanding shares of common stock as of December 31, 2013; the accounts of OncoCyte, a subsidiary of which we owned approximately 75.3% of the outstanding shares of common stock as of December 31, 2013; the accounts of BioTime Asia, a subsidiary of which we owned approximately 81.0% of the outstanding shares as of December 31, 2013, the accounts of Cell Cure Neurosciences, a subsidiary of which we owned approximately 62.5% of the outstanding shares as of December 31, 2013, the accounts of LifeMap Sciences, a subsidiary of which we owned approximately 73.2% of the outstanding shares as of December 31, 2013, and the accounts of Asterias, a subsidiary of which we owned 71.6% of the outstanding shares as of December 31, 2013. All material intercompany accounts and transactions have been eliminated in consolidation. The consolidated financial statements are presented in accordance with accounting principles generally accepted in the U.S. and with the accounting and reporting requirements of Regulation S-X of the SEC.</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33"/>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Results of Operations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2"/>
        </w:trPr>
        <w:tc>
          <w:tcPr>
            <w:tcW w:w="6060" w:type="dxa"/>
            <w:vAlign w:val="bottom"/>
            <w:gridSpan w:val="2"/>
          </w:tcPr>
          <w:p>
            <w:pPr>
              <w:spacing w:after="0"/>
              <w:rPr>
                <w:sz w:val="20"/>
                <w:szCs w:val="20"/>
                <w:color w:val="auto"/>
              </w:rPr>
            </w:pPr>
            <w:r>
              <w:rPr>
                <w:rFonts w:ascii="Arial" w:cs="Arial" w:eastAsia="Arial" w:hAnsi="Arial"/>
                <w:sz w:val="16"/>
                <w:szCs w:val="16"/>
                <w:i w:val="1"/>
                <w:iCs w:val="1"/>
                <w:color w:val="auto"/>
              </w:rPr>
              <w:t>Comparison of Years Ended December 31, 2013 and 2012</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7"/>
        </w:trPr>
        <w:tc>
          <w:tcPr>
            <w:tcW w:w="8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tcPr>
          <w:p>
            <w:pPr>
              <w:jc w:val="center"/>
              <w:ind w:left="441"/>
              <w:spacing w:after="0"/>
              <w:rPr>
                <w:sz w:val="20"/>
                <w:szCs w:val="20"/>
                <w:color w:val="auto"/>
              </w:rPr>
            </w:pPr>
            <w:r>
              <w:rPr>
                <w:rFonts w:ascii="Arial" w:cs="Arial" w:eastAsia="Arial" w:hAnsi="Arial"/>
                <w:sz w:val="16"/>
                <w:szCs w:val="16"/>
                <w:b w:val="1"/>
                <w:bCs w:val="1"/>
                <w:color w:val="auto"/>
                <w:w w:val="90"/>
              </w:rPr>
              <w:t>Year Ended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09"/>
        </w:trPr>
        <w:tc>
          <w:tcPr>
            <w:tcW w:w="8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6"/>
                <w:szCs w:val="16"/>
                <w:b w:val="1"/>
                <w:bCs w:val="1"/>
                <w:color w:val="auto"/>
                <w:w w:val="88"/>
              </w:rPr>
              <w:t>December 31,</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Increase/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Increase/</w:t>
            </w:r>
          </w:p>
        </w:tc>
      </w:tr>
      <w:tr>
        <w:trPr>
          <w:trHeight w:val="193"/>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341"/>
              <w:spacing w:after="0"/>
              <w:rPr>
                <w:sz w:val="20"/>
                <w:szCs w:val="20"/>
                <w:color w:val="auto"/>
              </w:rPr>
            </w:pPr>
            <w:r>
              <w:rPr>
                <w:rFonts w:ascii="Arial" w:cs="Arial" w:eastAsia="Arial" w:hAnsi="Arial"/>
                <w:sz w:val="16"/>
                <w:szCs w:val="16"/>
                <w:b w:val="1"/>
                <w:bCs w:val="1"/>
                <w:color w:val="auto"/>
                <w:w w:val="95"/>
              </w:rPr>
              <w:t>2012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Decrease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4"/>
              </w:rPr>
              <w:t>Decrease</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License fees</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2,218,174</w:t>
            </w:r>
          </w:p>
        </w:tc>
        <w:tc>
          <w:tcPr>
            <w:tcW w:w="2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899,998</w:t>
            </w: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+1,318,176</w:t>
            </w:r>
          </w:p>
        </w:tc>
        <w:tc>
          <w:tcPr>
            <w:tcW w:w="22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+146.5%</w:t>
            </w:r>
          </w:p>
        </w:tc>
      </w:tr>
      <w:tr>
        <w:trPr>
          <w:trHeight w:val="189"/>
        </w:trPr>
        <w:tc>
          <w:tcPr>
            <w:tcW w:w="6060" w:type="dxa"/>
            <w:vAlign w:val="bottom"/>
            <w:gridSpan w:val="2"/>
          </w:tcPr>
          <w:p>
            <w:pPr>
              <w:spacing w:after="0"/>
              <w:rPr>
                <w:sz w:val="20"/>
                <w:szCs w:val="20"/>
                <w:color w:val="auto"/>
              </w:rPr>
            </w:pPr>
            <w:r>
              <w:rPr>
                <w:rFonts w:ascii="Arial" w:cs="Arial" w:eastAsia="Arial" w:hAnsi="Arial"/>
                <w:sz w:val="16"/>
                <w:szCs w:val="16"/>
                <w:color w:val="auto"/>
              </w:rPr>
              <w:t>Royalty from product sales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366,775</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541,681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-174,906</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-32.3%</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 income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1,573,329</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2,222,458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-649,129</w:t>
            </w:r>
          </w:p>
        </w:tc>
        <w:tc>
          <w:tcPr>
            <w:tcW w:w="12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-29.2%</w:t>
            </w:r>
          </w:p>
        </w:tc>
      </w:tr>
      <w:tr>
        <w:trPr>
          <w:trHeight w:val="193"/>
        </w:trPr>
        <w:tc>
          <w:tcPr>
            <w:tcW w:w="6060" w:type="dxa"/>
            <w:vAlign w:val="bottom"/>
            <w:gridSpan w:val="2"/>
          </w:tcPr>
          <w:p>
            <w:pPr>
              <w:spacing w:after="0"/>
              <w:rPr>
                <w:sz w:val="20"/>
                <w:szCs w:val="20"/>
                <w:color w:val="auto"/>
              </w:rPr>
            </w:pPr>
            <w:r>
              <w:rPr>
                <w:rFonts w:ascii="Arial" w:cs="Arial" w:eastAsia="Arial" w:hAnsi="Arial"/>
                <w:sz w:val="16"/>
                <w:szCs w:val="16"/>
                <w:color w:val="auto"/>
              </w:rPr>
              <w:t>Sales of research products and services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276,058</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251,190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+24,868</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+9.9%</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4,434,336</w:t>
            </w:r>
          </w:p>
        </w:tc>
        <w:tc>
          <w:tcPr>
            <w:tcW w:w="2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3,915,327</w:t>
            </w: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+519,009</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+13.3%</w:t>
            </w:r>
          </w:p>
        </w:tc>
      </w:tr>
      <w:tr>
        <w:trPr>
          <w:trHeight w:val="193"/>
        </w:trPr>
        <w:tc>
          <w:tcPr>
            <w:tcW w:w="6060" w:type="dxa"/>
            <w:vAlign w:val="bottom"/>
            <w:gridSpan w:val="2"/>
          </w:tcPr>
          <w:p>
            <w:pPr>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(792,659)</w:t>
            </w:r>
          </w:p>
        </w:tc>
        <w:tc>
          <w:tcPr>
            <w:tcW w:w="3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(434,271)</w:t>
            </w: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+(358,388)</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+82.5%</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 net</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3,641,677</w:t>
            </w:r>
          </w:p>
        </w:tc>
        <w:tc>
          <w:tcPr>
            <w:tcW w:w="2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3,481,056</w:t>
            </w: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+160,621</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+4.6%</w:t>
            </w:r>
          </w:p>
        </w:tc>
      </w:tr>
      <w:tr>
        <w:trPr>
          <w:trHeight w:val="385"/>
        </w:trPr>
        <w:tc>
          <w:tcPr>
            <w:tcW w:w="8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0"/>
              </w:rPr>
              <w:t>Three Months Ended</w:t>
            </w:r>
          </w:p>
        </w:tc>
        <w:tc>
          <w:tcPr>
            <w:tcW w:w="180" w:type="dxa"/>
            <w:vAlign w:val="bottom"/>
          </w:tcPr>
          <w:p>
            <w:pPr>
              <w:spacing w:after="0"/>
              <w:rPr>
                <w:sz w:val="24"/>
                <w:szCs w:val="24"/>
                <w:color w:val="auto"/>
              </w:rPr>
            </w:pPr>
          </w:p>
        </w:tc>
        <w:tc>
          <w:tcPr>
            <w:tcW w:w="96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09"/>
        </w:trPr>
        <w:tc>
          <w:tcPr>
            <w:tcW w:w="8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6"/>
                <w:szCs w:val="16"/>
                <w:b w:val="1"/>
                <w:bCs w:val="1"/>
                <w:color w:val="auto"/>
                <w:w w:val="88"/>
              </w:rPr>
              <w:t>December 31,</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Increase/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Increase/</w:t>
            </w:r>
          </w:p>
        </w:tc>
      </w:tr>
      <w:tr>
        <w:trPr>
          <w:trHeight w:val="193"/>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341"/>
              <w:spacing w:after="0"/>
              <w:rPr>
                <w:sz w:val="20"/>
                <w:szCs w:val="20"/>
                <w:color w:val="auto"/>
              </w:rPr>
            </w:pPr>
            <w:r>
              <w:rPr>
                <w:rFonts w:ascii="Arial" w:cs="Arial" w:eastAsia="Arial" w:hAnsi="Arial"/>
                <w:sz w:val="16"/>
                <w:szCs w:val="16"/>
                <w:b w:val="1"/>
                <w:bCs w:val="1"/>
                <w:color w:val="auto"/>
                <w:w w:val="95"/>
              </w:rPr>
              <w:t>2012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Decrease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4"/>
              </w:rPr>
              <w:t>Decrease</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License fees</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1,123,331</w:t>
            </w:r>
          </w:p>
        </w:tc>
        <w:tc>
          <w:tcPr>
            <w:tcW w:w="2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350,477</w:t>
            </w: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+772,854</w:t>
            </w:r>
          </w:p>
        </w:tc>
        <w:tc>
          <w:tcPr>
            <w:tcW w:w="22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+220.5%</w:t>
            </w:r>
          </w:p>
        </w:tc>
      </w:tr>
      <w:tr>
        <w:trPr>
          <w:trHeight w:val="189"/>
        </w:trPr>
        <w:tc>
          <w:tcPr>
            <w:tcW w:w="6060" w:type="dxa"/>
            <w:vAlign w:val="bottom"/>
            <w:gridSpan w:val="2"/>
          </w:tcPr>
          <w:p>
            <w:pPr>
              <w:spacing w:after="0"/>
              <w:rPr>
                <w:sz w:val="20"/>
                <w:szCs w:val="20"/>
                <w:color w:val="auto"/>
              </w:rPr>
            </w:pPr>
            <w:r>
              <w:rPr>
                <w:rFonts w:ascii="Arial" w:cs="Arial" w:eastAsia="Arial" w:hAnsi="Arial"/>
                <w:sz w:val="16"/>
                <w:szCs w:val="16"/>
                <w:color w:val="auto"/>
              </w:rPr>
              <w:t>Royalty from product sales</w:t>
            </w: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75,270</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133,878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-58,608</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-43.8%</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 income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632,103</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704,372</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-72,269</w:t>
            </w:r>
          </w:p>
        </w:tc>
        <w:tc>
          <w:tcPr>
            <w:tcW w:w="12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-10.3%</w:t>
            </w:r>
          </w:p>
        </w:tc>
      </w:tr>
      <w:tr>
        <w:trPr>
          <w:trHeight w:val="193"/>
        </w:trPr>
        <w:tc>
          <w:tcPr>
            <w:tcW w:w="6060" w:type="dxa"/>
            <w:vAlign w:val="bottom"/>
            <w:gridSpan w:val="2"/>
          </w:tcPr>
          <w:p>
            <w:pPr>
              <w:spacing w:after="0"/>
              <w:rPr>
                <w:sz w:val="20"/>
                <w:szCs w:val="20"/>
                <w:color w:val="auto"/>
              </w:rPr>
            </w:pPr>
            <w:r>
              <w:rPr>
                <w:rFonts w:ascii="Arial" w:cs="Arial" w:eastAsia="Arial" w:hAnsi="Arial"/>
                <w:sz w:val="16"/>
                <w:szCs w:val="16"/>
                <w:color w:val="auto"/>
              </w:rPr>
              <w:t>Sales of research products and services</w:t>
            </w: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61,781</w:t>
            </w:r>
          </w:p>
        </w:tc>
        <w:tc>
          <w:tcPr>
            <w:tcW w:w="38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33,810</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+27,971</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+82.7%</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1,892,485</w:t>
            </w:r>
          </w:p>
        </w:tc>
        <w:tc>
          <w:tcPr>
            <w:tcW w:w="2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1,222,537</w:t>
            </w: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+669,948</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+54.8%</w:t>
            </w:r>
          </w:p>
        </w:tc>
      </w:tr>
      <w:tr>
        <w:trPr>
          <w:trHeight w:val="193"/>
        </w:trPr>
        <w:tc>
          <w:tcPr>
            <w:tcW w:w="6060" w:type="dxa"/>
            <w:vAlign w:val="bottom"/>
            <w:gridSpan w:val="2"/>
          </w:tcPr>
          <w:p>
            <w:pPr>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(222,422)</w:t>
            </w:r>
          </w:p>
        </w:tc>
        <w:tc>
          <w:tcPr>
            <w:tcW w:w="3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(160,355)</w:t>
            </w: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+(62,067)</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+38.7%</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 net</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1,670,063</w:t>
            </w:r>
          </w:p>
        </w:tc>
        <w:tc>
          <w:tcPr>
            <w:tcW w:w="2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1,062,182</w:t>
            </w: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+607,881</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+57.2%</w:t>
            </w:r>
          </w:p>
        </w:tc>
      </w:tr>
    </w:tbl>
    <w:p>
      <w:pPr>
        <w:spacing w:after="0" w:line="2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license fee revenues amounted to $2,218,174 and $899,998 for the years ended December 31, 2013 and 2012, respectively. The 146.5% increase in license fee revenue</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in 2013 is partially attributed $1,317,008 and $752,896 in subscription and advertising revenues as of December 31, 2013 and 2012, respectively from LifeMap Science’s online</w:t>
      </w:r>
    </w:p>
    <w:p>
      <w:pPr>
        <w:spacing w:after="0" w:line="199" w:lineRule="auto"/>
        <w:rPr>
          <w:sz w:val="20"/>
          <w:szCs w:val="20"/>
          <w:color w:val="auto"/>
        </w:rPr>
      </w:pPr>
      <w:r>
        <w:rPr>
          <w:rFonts w:ascii="Arial" w:cs="Arial" w:eastAsia="Arial" w:hAnsi="Arial"/>
          <w:sz w:val="14"/>
          <w:szCs w:val="14"/>
          <w:color w:val="auto"/>
        </w:rPr>
        <w:t xml:space="preserve">database business primarily related to its </w:t>
      </w:r>
      <w:r>
        <w:rPr>
          <w:rFonts w:ascii="Arial" w:cs="Arial" w:eastAsia="Arial" w:hAnsi="Arial"/>
          <w:sz w:val="14"/>
          <w:szCs w:val="14"/>
          <w:i w:val="1"/>
          <w:iCs w:val="1"/>
          <w:color w:val="auto"/>
        </w:rPr>
        <w:t>GeneCards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database which LifeMap Sciences began marketing after its acquisition of XenneX during 2012. License fee revenues also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include $899,551 and $145,873 from Summit, for the years ended December 31, 2013 and 2012, respectively. We received the license fees from Summit during the years 2005</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-2008. Full recognition of the revenues derived from those license fees was deferred and revenues have been recognized over the lives of the respective contracts, which had been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estimated to last until approximately 2019 based on the current expected life of the governing patent covering our products in Korea and Japan. However, we recognized all of the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unamortized balance of the Summit license fees during the fourth quarter of 2013 upon termination of our license agreements with Summit. See Note 1 to the Consolidated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w:t>
      </w:r>
    </w:p>
    <w:p>
      <w:pPr>
        <w:spacing w:after="0" w:line="198" w:lineRule="exact"/>
        <w:rPr>
          <w:sz w:val="20"/>
          <w:szCs w:val="20"/>
          <w:color w:val="auto"/>
        </w:rPr>
      </w:pPr>
    </w:p>
    <w:p>
      <w:pPr>
        <w:ind w:right="40" w:firstLine="567"/>
        <w:spacing w:after="0" w:line="222" w:lineRule="auto"/>
        <w:rPr>
          <w:sz w:val="20"/>
          <w:szCs w:val="20"/>
          <w:color w:val="auto"/>
        </w:rPr>
      </w:pPr>
      <w:r>
        <w:rPr>
          <w:rFonts w:ascii="Arial" w:cs="Arial" w:eastAsia="Arial" w:hAnsi="Arial"/>
          <w:sz w:val="15"/>
          <w:szCs w:val="15"/>
          <w:color w:val="auto"/>
        </w:rPr>
        <w:t xml:space="preserve">Under our license agreements with Hospira and CJ, our licensees report sales of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pay us the royalties and license fees due on account of such sales within 90 days after the end of each calendar quarter. We recognize such revenues in the quarter in which the sales report is received, rather than the quarter in which the sales took place. For example, royalties on sales made during the fourth quarter of 2012 were not recognized until the first quarter of fiscal year 2013.</w:t>
      </w:r>
    </w:p>
    <w:p>
      <w:pPr>
        <w:spacing w:after="0" w:line="195" w:lineRule="exact"/>
        <w:rPr>
          <w:sz w:val="20"/>
          <w:szCs w:val="20"/>
          <w:color w:val="auto"/>
        </w:rPr>
      </w:pPr>
    </w:p>
    <w:p>
      <w:pPr>
        <w:ind w:right="80" w:firstLine="567"/>
        <w:spacing w:after="0" w:line="224" w:lineRule="auto"/>
        <w:rPr>
          <w:sz w:val="20"/>
          <w:szCs w:val="20"/>
          <w:color w:val="auto"/>
        </w:rPr>
      </w:pPr>
      <w:r>
        <w:rPr>
          <w:rFonts w:ascii="Arial" w:cs="Arial" w:eastAsia="Arial" w:hAnsi="Arial"/>
          <w:sz w:val="14"/>
          <w:szCs w:val="14"/>
          <w:color w:val="auto"/>
        </w:rPr>
        <w:t xml:space="preserve">Our royalty revenues from product sales for the year ended December 31, 2013 primarily consist of royalties on sales of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made by Hospira and CJ during the period beginning October 1, 2012 and ending September 30, 2013. Royalty revenues recognized from Hospira and CJ for that period were $366,492 compared with $541,293 recognized for the year ended December 31, 2012. This 32% decrease in royalties is attributable to a decrease in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sales in the U.S. and in the Republic of Korea. The decrease in royalties received from Hospira is primarily due to the decline in the price of hetastarch-based products in the market. The blood volume expander marketing continues to contract and hospitals continue to shift their purchases to albumin products. Hospira has reported that they have seen a rapid decline in the price of hetastarch-based plasma expanders in the market which could continue to have a negative impact on revenues from the sale of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Hospira implemented further price reductions for </w:t>
      </w:r>
      <w:r>
        <w:rPr>
          <w:rFonts w:ascii="Arial" w:cs="Arial" w:eastAsia="Arial" w:hAnsi="Arial"/>
          <w:sz w:val="14"/>
          <w:szCs w:val="14"/>
          <w:i w:val="1"/>
          <w:iCs w:val="1"/>
          <w:color w:val="auto"/>
        </w:rPr>
        <w:t>Hextend</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during 2012 in an attempt to maintain market share. We expect royalty revenues from product sales to continue to decline as a percentage of total revenue.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88" w:name="page89"/>
    <w:bookmarkEnd w:id="8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7" w:lineRule="exact"/>
        <w:rPr>
          <w:sz w:val="20"/>
          <w:szCs w:val="20"/>
          <w:color w:val="auto"/>
        </w:rPr>
      </w:pPr>
    </w:p>
    <w:p>
      <w:pPr>
        <w:ind w:firstLine="567"/>
        <w:spacing w:after="0" w:line="272" w:lineRule="auto"/>
        <w:rPr>
          <w:sz w:val="20"/>
          <w:szCs w:val="20"/>
          <w:color w:val="auto"/>
        </w:rPr>
      </w:pPr>
      <w:r>
        <w:rPr>
          <w:rFonts w:ascii="Arial" w:cs="Arial" w:eastAsia="Arial" w:hAnsi="Arial"/>
          <w:sz w:val="15"/>
          <w:szCs w:val="15"/>
          <w:color w:val="auto"/>
        </w:rPr>
        <w:t>Total grant revenue in 2013 decreased by approximately 29% as a result of the completion of the CIRM grant in August 31, 2012. Grant revenue in 2013 includes $150,239 of a $335,900 grant awarded to us by the NIH, $71,355 under a $285,423 grant awarded by the NIH, $1,333,901 recognized through Cell Cure Neurosciences, $13,838 recognized through LifeMap Sciences, Ltd., and $3,996 recognized through ES Cell International. Grant revenue in 2012 included $1,047,106 from CIRM, $1,109,699 recognized through Cell Cure Neurosciences, $18,145 recognized through Life Map Sciences, Ltd., and $47,507 of a $335,900 grant awarded to us by the NIH. The grant period for the $335,900 grant expires on September 29, 2014. The grant period for the $285,423 NIH grant expires on June 13,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center"/>
              <w:ind w:left="461"/>
              <w:spacing w:after="0"/>
              <w:rPr>
                <w:sz w:val="20"/>
                <w:szCs w:val="20"/>
                <w:color w:val="auto"/>
              </w:rPr>
            </w:pPr>
            <w:r>
              <w:rPr>
                <w:rFonts w:ascii="Arial" w:cs="Arial" w:eastAsia="Arial" w:hAnsi="Arial"/>
                <w:sz w:val="16"/>
                <w:szCs w:val="16"/>
                <w:b w:val="1"/>
                <w:bCs w:val="1"/>
                <w:color w:val="auto"/>
                <w:w w:val="90"/>
              </w:rPr>
              <w:t>Year Ended</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w:t>
            </w:r>
          </w:p>
        </w:tc>
        <w:tc>
          <w:tcPr>
            <w:tcW w:w="220" w:type="dxa"/>
            <w:vAlign w:val="bottom"/>
          </w:tcPr>
          <w:p>
            <w:pPr>
              <w:spacing w:after="0"/>
              <w:rPr>
                <w:sz w:val="16"/>
                <w:szCs w:val="16"/>
                <w:color w:val="auto"/>
              </w:rPr>
            </w:pPr>
          </w:p>
        </w:tc>
        <w:tc>
          <w:tcPr>
            <w:tcW w:w="1240" w:type="dxa"/>
            <w:vAlign w:val="bottom"/>
          </w:tcPr>
          <w:p>
            <w:pPr>
              <w:jc w:val="right"/>
              <w:ind w:right="461"/>
              <w:spacing w:after="0"/>
              <w:rPr>
                <w:sz w:val="20"/>
                <w:szCs w:val="20"/>
                <w:color w:val="auto"/>
              </w:rPr>
            </w:pPr>
            <w:r>
              <w:rPr>
                <w:rFonts w:ascii="Arial" w:cs="Arial" w:eastAsia="Arial" w:hAnsi="Arial"/>
                <w:sz w:val="16"/>
                <w:szCs w:val="16"/>
                <w:b w:val="1"/>
                <w:bCs w:val="1"/>
                <w:color w:val="auto"/>
              </w:rPr>
              <w:t>%</w:t>
            </w:r>
          </w:p>
        </w:tc>
      </w:tr>
      <w:tr>
        <w:trPr>
          <w:trHeight w:val="209"/>
        </w:trPr>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6"/>
                <w:szCs w:val="16"/>
                <w:b w:val="1"/>
                <w:bCs w:val="1"/>
                <w:color w:val="auto"/>
                <w:w w:val="88"/>
              </w:rPr>
              <w:t>December 31,</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Increase/</w:t>
            </w:r>
          </w:p>
        </w:tc>
        <w:tc>
          <w:tcPr>
            <w:tcW w:w="1240" w:type="dxa"/>
            <w:vAlign w:val="bottom"/>
          </w:tcPr>
          <w:p>
            <w:pPr>
              <w:jc w:val="right"/>
              <w:ind w:right="261"/>
              <w:spacing w:after="0"/>
              <w:rPr>
                <w:sz w:val="20"/>
                <w:szCs w:val="20"/>
                <w:color w:val="auto"/>
              </w:rPr>
            </w:pPr>
            <w:r>
              <w:rPr>
                <w:rFonts w:ascii="Arial" w:cs="Arial" w:eastAsia="Arial" w:hAnsi="Arial"/>
                <w:sz w:val="16"/>
                <w:szCs w:val="16"/>
                <w:b w:val="1"/>
                <w:bCs w:val="1"/>
                <w:color w:val="auto"/>
              </w:rPr>
              <w:t>Increase/</w:t>
            </w:r>
          </w:p>
        </w:tc>
      </w:tr>
      <w:tr>
        <w:trPr>
          <w:trHeight w:val="193"/>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41"/>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341"/>
              <w:spacing w:after="0"/>
              <w:rPr>
                <w:sz w:val="20"/>
                <w:szCs w:val="20"/>
                <w:color w:val="auto"/>
              </w:rPr>
            </w:pPr>
            <w:r>
              <w:rPr>
                <w:rFonts w:ascii="Arial" w:cs="Arial" w:eastAsia="Arial" w:hAnsi="Arial"/>
                <w:sz w:val="16"/>
                <w:szCs w:val="16"/>
                <w:b w:val="1"/>
                <w:bCs w:val="1"/>
                <w:color w:val="auto"/>
                <w:w w:val="95"/>
              </w:rPr>
              <w:t>2012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Decrease</w:t>
            </w:r>
          </w:p>
        </w:tc>
        <w:tc>
          <w:tcPr>
            <w:tcW w:w="1240" w:type="dxa"/>
            <w:vAlign w:val="bottom"/>
          </w:tcPr>
          <w:p>
            <w:pPr>
              <w:jc w:val="right"/>
              <w:ind w:right="241"/>
              <w:spacing w:after="0"/>
              <w:rPr>
                <w:sz w:val="20"/>
                <w:szCs w:val="20"/>
                <w:color w:val="auto"/>
              </w:rPr>
            </w:pPr>
            <w:r>
              <w:rPr>
                <w:rFonts w:ascii="Arial" w:cs="Arial" w:eastAsia="Arial" w:hAnsi="Arial"/>
                <w:sz w:val="16"/>
                <w:szCs w:val="16"/>
                <w:b w:val="1"/>
                <w:bCs w:val="1"/>
                <w:color w:val="auto"/>
              </w:rPr>
              <w:t>Decrease</w:t>
            </w:r>
          </w:p>
        </w:tc>
      </w:tr>
      <w:tr>
        <w:trPr>
          <w:trHeight w:val="189"/>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(26,609,423)</w:t>
            </w:r>
          </w:p>
        </w:tc>
        <w:tc>
          <w:tcPr>
            <w:tcW w:w="2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(18,116,688)</w:t>
            </w: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+8,492,735</w:t>
            </w:r>
          </w:p>
        </w:tc>
        <w:tc>
          <w:tcPr>
            <w:tcW w:w="22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+46.9%</w:t>
            </w: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Acquired in-process research and development expenses</w:t>
            </w:r>
          </w:p>
        </w:tc>
        <w:tc>
          <w:tcPr>
            <w:tcW w:w="2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(17,458,766)</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+17,458,766</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w:t>
            </w:r>
          </w:p>
        </w:tc>
      </w:tr>
      <w:tr>
        <w:trPr>
          <w:trHeight w:val="189"/>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(15,558,674)</w:t>
            </w:r>
          </w:p>
        </w:tc>
        <w:tc>
          <w:tcPr>
            <w:tcW w:w="3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0"/>
              </w:rPr>
              <w:t>(10,365,045)</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+5,193,629</w:t>
            </w:r>
          </w:p>
        </w:tc>
        <w:tc>
          <w:tcPr>
            <w:tcW w:w="12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+50.1%</w:t>
            </w: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Interest income/(expense)</w:t>
            </w:r>
          </w:p>
        </w:tc>
        <w:tc>
          <w:tcPr>
            <w:tcW w:w="2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(578)</w:t>
            </w:r>
          </w:p>
        </w:tc>
        <w:tc>
          <w:tcPr>
            <w:tcW w:w="38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19,383</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-19,961</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-103.0%</w:t>
            </w:r>
          </w:p>
        </w:tc>
      </w:tr>
      <w:tr>
        <w:trPr>
          <w:trHeight w:val="189"/>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Other income/(expense)</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(209,177)</w:t>
            </w:r>
          </w:p>
        </w:tc>
        <w:tc>
          <w:tcPr>
            <w:tcW w:w="3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(317,710)</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-(108,533)</w:t>
            </w:r>
          </w:p>
        </w:tc>
        <w:tc>
          <w:tcPr>
            <w:tcW w:w="12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-34.2%</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0"/>
              </w:rPr>
              <w:t>Three Months Ended</w:t>
            </w:r>
          </w:p>
        </w:tc>
        <w:tc>
          <w:tcPr>
            <w:tcW w:w="180" w:type="dxa"/>
            <w:vAlign w:val="bottom"/>
          </w:tcPr>
          <w:p>
            <w:pPr>
              <w:spacing w:after="0"/>
              <w:rPr>
                <w:sz w:val="16"/>
                <w:szCs w:val="16"/>
                <w:color w:val="auto"/>
              </w:rPr>
            </w:pPr>
          </w:p>
        </w:tc>
        <w:tc>
          <w:tcPr>
            <w:tcW w:w="96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09"/>
        </w:trPr>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6"/>
                <w:szCs w:val="16"/>
                <w:b w:val="1"/>
                <w:bCs w:val="1"/>
                <w:color w:val="auto"/>
                <w:w w:val="88"/>
              </w:rPr>
              <w:t>December 31,</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Increase/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Increase/</w:t>
            </w:r>
          </w:p>
        </w:tc>
      </w:tr>
      <w:tr>
        <w:trPr>
          <w:trHeight w:val="193"/>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41"/>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341"/>
              <w:spacing w:after="0"/>
              <w:rPr>
                <w:sz w:val="20"/>
                <w:szCs w:val="20"/>
                <w:color w:val="auto"/>
              </w:rPr>
            </w:pPr>
            <w:r>
              <w:rPr>
                <w:rFonts w:ascii="Arial" w:cs="Arial" w:eastAsia="Arial" w:hAnsi="Arial"/>
                <w:sz w:val="16"/>
                <w:szCs w:val="16"/>
                <w:b w:val="1"/>
                <w:bCs w:val="1"/>
                <w:color w:val="auto"/>
                <w:w w:val="95"/>
              </w:rPr>
              <w:t>2012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Decrease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4"/>
              </w:rPr>
              <w:t>Decrease</w:t>
            </w:r>
          </w:p>
        </w:tc>
      </w:tr>
      <w:tr>
        <w:trPr>
          <w:trHeight w:val="189"/>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(9,220,014)</w:t>
            </w:r>
          </w:p>
        </w:tc>
        <w:tc>
          <w:tcPr>
            <w:tcW w:w="2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(4,793,278)</w:t>
            </w: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+4,426,736</w:t>
            </w:r>
          </w:p>
        </w:tc>
        <w:tc>
          <w:tcPr>
            <w:tcW w:w="22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+92.4%</w:t>
            </w: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Acquired in-process research and development expenses</w:t>
            </w:r>
          </w:p>
        </w:tc>
        <w:tc>
          <w:tcPr>
            <w:tcW w:w="2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(17,458,766)</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+17,458,766</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w:t>
            </w:r>
          </w:p>
        </w:tc>
      </w:tr>
      <w:tr>
        <w:trPr>
          <w:trHeight w:val="189"/>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(4,284,726)</w:t>
            </w:r>
          </w:p>
        </w:tc>
        <w:tc>
          <w:tcPr>
            <w:tcW w:w="3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(3,327,238)</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+957,488</w:t>
            </w:r>
          </w:p>
        </w:tc>
        <w:tc>
          <w:tcPr>
            <w:tcW w:w="12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+28.8%</w:t>
            </w: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Interest income/(expense)</w:t>
            </w:r>
          </w:p>
        </w:tc>
        <w:tc>
          <w:tcPr>
            <w:tcW w:w="2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(2,611)</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-4,673</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-226.6%</w:t>
            </w:r>
          </w:p>
        </w:tc>
      </w:tr>
      <w:tr>
        <w:trPr>
          <w:trHeight w:val="189"/>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Other income/(expense)</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(39,665)</w:t>
            </w:r>
          </w:p>
        </w:tc>
        <w:tc>
          <w:tcPr>
            <w:tcW w:w="3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(93,811)</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-(54,146)</w:t>
            </w:r>
          </w:p>
        </w:tc>
        <w:tc>
          <w:tcPr>
            <w:tcW w:w="12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-57.7%</w:t>
            </w:r>
          </w:p>
        </w:tc>
      </w:tr>
    </w:tbl>
    <w:p>
      <w:pPr>
        <w:spacing w:after="0" w:line="200"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 xml:space="preserve">Research and development expenses – </w:t>
      </w:r>
      <w:r>
        <w:rPr>
          <w:rFonts w:ascii="Arial" w:cs="Arial" w:eastAsia="Arial" w:hAnsi="Arial"/>
          <w:sz w:val="14"/>
          <w:szCs w:val="14"/>
          <w:color w:val="auto"/>
        </w:rPr>
        <w:t>Research and development expenses increased by $8,492,735 or approximately 46.9% to $26,609,423 for the year ended December</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31, 2013, from $18,116,688 for the year ended December 31, 2012. In addition, during 2013 Asterias recognized $17,458,766 of IPR&amp;D in connection with the consummation of its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acquisition of assets from Geron. IPR&amp;D represents the value allocated by management to incomplete research and development projects which Asterias acquired from Geron and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intends to continue. That value was expensed under applicable accounting rules rather than capitalized for future amortization because the acquisition was accounted for as an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acquisition of assets rather than an acquisition of a business. See Notes 2 and 15 to the Consolidated Financial Statements. The increase in research and development expenses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other than IPR&amp;D during 2013 is attributable to an increase of $2,304,195 in employee compensation and related costs allocated to research and development expenses, including</w:t>
      </w:r>
    </w:p>
    <w:p>
      <w:pPr>
        <w:spacing w:after="0" w:line="199" w:lineRule="auto"/>
        <w:rPr>
          <w:sz w:val="20"/>
          <w:szCs w:val="20"/>
          <w:color w:val="auto"/>
        </w:rPr>
      </w:pPr>
      <w:r>
        <w:rPr>
          <w:rFonts w:ascii="Arial" w:cs="Arial" w:eastAsia="Arial" w:hAnsi="Arial"/>
          <w:sz w:val="14"/>
          <w:szCs w:val="14"/>
          <w:color w:val="auto"/>
        </w:rPr>
        <w:t xml:space="preserve">costs of new employees added by Asterias, an increase of $584,423 in </w:t>
      </w:r>
      <w:r>
        <w:rPr>
          <w:rFonts w:ascii="Arial" w:cs="Arial" w:eastAsia="Arial" w:hAnsi="Arial"/>
          <w:sz w:val="14"/>
          <w:szCs w:val="14"/>
          <w:i w:val="1"/>
          <w:iCs w:val="1"/>
          <w:color w:val="auto"/>
        </w:rPr>
        <w:t>HyStem</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program expenses including those related to the clinical safety trial of </w:t>
      </w:r>
      <w:r>
        <w:rPr>
          <w:rFonts w:ascii="Arial" w:cs="Arial" w:eastAsia="Arial" w:hAnsi="Arial"/>
          <w:sz w:val="14"/>
          <w:szCs w:val="14"/>
          <w:i w:val="1"/>
          <w:iCs w:val="1"/>
          <w:color w:val="auto"/>
        </w:rPr>
        <w:t>Renevia</w:t>
      </w:r>
      <w:r>
        <w:rPr>
          <w:rFonts w:ascii="Arial" w:cs="Arial" w:eastAsia="Arial" w:hAnsi="Arial"/>
          <w:sz w:val="23"/>
          <w:szCs w:val="23"/>
          <w:color w:val="auto"/>
          <w:vertAlign w:val="superscript"/>
        </w:rPr>
        <w:t>™</w:t>
      </w:r>
      <w:r>
        <w:rPr>
          <w:rFonts w:ascii="Arial" w:cs="Arial" w:eastAsia="Arial" w:hAnsi="Arial"/>
          <w:sz w:val="14"/>
          <w:szCs w:val="14"/>
          <w:color w:val="auto"/>
        </w:rPr>
        <w:t>, an increase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$428,490 in rent and facilities maintenance related expenses allocated to research and development expenses primarily attributed to Asterias’ office and research facility, an increase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of $354,644 in laboratory expenses and supplies, an increase of $269,385 in stock based compensation allocated to research and development expenses, an increase of $211,819 in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depreciation expenses allocated to research and development expenses, an increase of $112,234 in travel, lodging, and meals allocated to research and development expenses, an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increase of $87,827 in patent related litigation fees related primarily to the ViaCyte proceedings that Asterias assumed from Geron, and an increase of $3,328,812 in Cell Cure</w:t>
      </w:r>
    </w:p>
    <w:p>
      <w:pPr>
        <w:spacing w:after="0" w:line="199" w:lineRule="auto"/>
        <w:rPr>
          <w:sz w:val="20"/>
          <w:szCs w:val="20"/>
          <w:color w:val="auto"/>
        </w:rPr>
      </w:pPr>
      <w:r>
        <w:rPr>
          <w:rFonts w:ascii="Arial" w:cs="Arial" w:eastAsia="Arial" w:hAnsi="Arial"/>
          <w:sz w:val="14"/>
          <w:szCs w:val="14"/>
          <w:color w:val="auto"/>
        </w:rPr>
        <w:t xml:space="preserve">Neurosciences research and development expenses related to its development of </w:t>
      </w:r>
      <w:r>
        <w:rPr>
          <w:rFonts w:ascii="Arial" w:cs="Arial" w:eastAsia="Arial" w:hAnsi="Arial"/>
          <w:sz w:val="14"/>
          <w:szCs w:val="14"/>
          <w:i w:val="1"/>
          <w:iCs w:val="1"/>
          <w:color w:val="auto"/>
        </w:rPr>
        <w:t>OpRegen</w:t>
      </w:r>
      <w:r>
        <w:rPr>
          <w:rFonts w:ascii="Arial" w:cs="Arial" w:eastAsia="Arial" w:hAnsi="Arial"/>
          <w:sz w:val="23"/>
          <w:szCs w:val="23"/>
          <w:color w:val="auto"/>
          <w:vertAlign w:val="superscript"/>
        </w:rPr>
        <w:t>®</w:t>
      </w:r>
      <w:r>
        <w:rPr>
          <w:rFonts w:ascii="Arial" w:cs="Arial" w:eastAsia="Arial" w:hAnsi="Arial"/>
          <w:sz w:val="14"/>
          <w:szCs w:val="14"/>
          <w:color w:val="auto"/>
        </w:rPr>
        <w:t>. These increases were offset in part by a decrease $149,932 in ESI research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development expenses. Research and development expenses for 2013 and 2012 also include $3,295,716 and $2,446,975, respectively, of amortization of our cost of acquiring</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patents and technology. The increase of $848,741 in amortization expense reflects, in part, a full year of amortization related to the acquisition of XenneX, Inc. by LifeMap</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Sciences during May 2012, and Asterias’ acquisition of Geron’s stem cell assets during October 2013.</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89" w:name="page90"/>
    <w:bookmarkEnd w:id="8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720" w:firstLine="567"/>
        <w:spacing w:after="0" w:line="301" w:lineRule="auto"/>
        <w:rPr>
          <w:sz w:val="20"/>
          <w:szCs w:val="20"/>
          <w:color w:val="auto"/>
        </w:rPr>
      </w:pPr>
      <w:r>
        <w:rPr>
          <w:rFonts w:ascii="Arial" w:cs="Arial" w:eastAsia="Arial" w:hAnsi="Arial"/>
          <w:sz w:val="15"/>
          <w:szCs w:val="15"/>
          <w:color w:val="auto"/>
        </w:rPr>
        <w:t>Research and development expenses include IPR&amp;D expense related to acquired assets, laboratory study expenses, patent and technology license fees, employee compensation, rent, insurance, and science-related consultants’ fees and amortization allocated to research and development expense.</w:t>
      </w:r>
    </w:p>
    <w:p>
      <w:pPr>
        <w:spacing w:after="0" w:line="158" w:lineRule="exact"/>
        <w:rPr>
          <w:sz w:val="20"/>
          <w:szCs w:val="20"/>
          <w:color w:val="auto"/>
        </w:rPr>
      </w:pPr>
    </w:p>
    <w:p>
      <w:pPr>
        <w:ind w:firstLine="567"/>
        <w:spacing w:after="0" w:line="288" w:lineRule="auto"/>
        <w:rPr>
          <w:sz w:val="20"/>
          <w:szCs w:val="20"/>
          <w:color w:val="auto"/>
        </w:rPr>
      </w:pPr>
      <w:r>
        <w:rPr>
          <w:rFonts w:ascii="Arial" w:cs="Arial" w:eastAsia="Arial" w:hAnsi="Arial"/>
          <w:sz w:val="14"/>
          <w:szCs w:val="14"/>
          <w:i w:val="1"/>
          <w:iCs w:val="1"/>
          <w:color w:val="auto"/>
        </w:rPr>
        <w:t xml:space="preserve">General and administrative expenses – </w:t>
      </w:r>
      <w:r>
        <w:rPr>
          <w:rFonts w:ascii="Arial" w:cs="Arial" w:eastAsia="Arial" w:hAnsi="Arial"/>
          <w:sz w:val="14"/>
          <w:szCs w:val="14"/>
          <w:color w:val="auto"/>
        </w:rPr>
        <w:t>General and administrative expenses increased by approximately 50.1% to $15,558,674 for the year ended December 31, 2013 from</w:t>
      </w:r>
      <w:r>
        <w:rPr>
          <w:rFonts w:ascii="Arial" w:cs="Arial" w:eastAsia="Arial" w:hAnsi="Arial"/>
          <w:sz w:val="14"/>
          <w:szCs w:val="14"/>
          <w:i w:val="1"/>
          <w:iCs w:val="1"/>
          <w:color w:val="auto"/>
        </w:rPr>
        <w:t xml:space="preserve"> </w:t>
      </w:r>
      <w:r>
        <w:rPr>
          <w:rFonts w:ascii="Arial" w:cs="Arial" w:eastAsia="Arial" w:hAnsi="Arial"/>
          <w:sz w:val="14"/>
          <w:szCs w:val="14"/>
          <w:color w:val="auto"/>
        </w:rPr>
        <w:t>$10,365,045 for the year ended December 31, 2012. The increase in general and administrative expenses was $5,193,629 in 2013 of which $3,124,622 is a attributable to Asterias. The principal components of the $5,193,629 increase in total general and administrative costs on a consolidated basis were: $1,344,324 in employee compensation and related costs allocated to general and administrative expenses; an increase of $532,425 in legal fees; an increase of $825,679 in stock-based compensation to employees, consultants and independent directors; an increase of $488,890 in investor and public relations expenses, transfer agent, stock listing and registration fees; an increase of $470,856 in accounting and tax services; an increase of $338,741 in rent and facilities maintenance related expenses allocated to general and administrative expenses; an increase of $266,359 in general office supplies and expenses; an increase of $234,250 in cash compensation paid to our independent directors; an increase of $285,270 in marketing and advertisement related expenses; an increase of $131,727 in recruiting service expenses; an increase of $184,900 in travel, lodging and meals allocated to general and administrative expenses; an increase of $126,106 in general consulting expenses; and an increase of $63,366 in telephone and on-line fees allocated to general and administrative expenses. These increases are in part offset by a decrease of $112,675 in ESI general and administrative expenses due to a reduction in ESI staffing.</w:t>
      </w:r>
    </w:p>
    <w:p>
      <w:pPr>
        <w:spacing w:after="0" w:line="172" w:lineRule="exact"/>
        <w:rPr>
          <w:sz w:val="20"/>
          <w:szCs w:val="20"/>
          <w:color w:val="auto"/>
        </w:rPr>
      </w:pPr>
    </w:p>
    <w:p>
      <w:pPr>
        <w:ind w:right="140" w:firstLine="567"/>
        <w:spacing w:after="0" w:line="253" w:lineRule="auto"/>
        <w:rPr>
          <w:sz w:val="20"/>
          <w:szCs w:val="20"/>
          <w:color w:val="auto"/>
        </w:rPr>
      </w:pPr>
      <w:r>
        <w:rPr>
          <w:rFonts w:ascii="Arial" w:cs="Arial" w:eastAsia="Arial" w:hAnsi="Arial"/>
          <w:sz w:val="16"/>
          <w:szCs w:val="16"/>
          <w:color w:val="auto"/>
        </w:rPr>
        <w:t>The increase in legal and accounting expenses are primarily due to start-up and transaction expenses related to Asterias and its acquisition of Geron’s stem cell assets, and the fees incurred in connection with the preparation and filing of certain registration statements under the Securities Act of 1933, as amended, with the Securities and Exchange Commission related to the issuance of Asterias and BioTime securities under the Asset Contribution Agreement, and costs associated with the special meeting of our shareholders held during May 2013 to approve certain matters related that asset contribution transaction.</w:t>
      </w:r>
    </w:p>
    <w:p>
      <w:pPr>
        <w:spacing w:after="0" w:line="170" w:lineRule="exact"/>
        <w:rPr>
          <w:sz w:val="20"/>
          <w:szCs w:val="20"/>
          <w:color w:val="auto"/>
        </w:rPr>
      </w:pPr>
    </w:p>
    <w:p>
      <w:pPr>
        <w:jc w:val="both"/>
        <w:ind w:right="200" w:firstLine="567"/>
        <w:spacing w:after="0" w:line="282" w:lineRule="auto"/>
        <w:rPr>
          <w:sz w:val="20"/>
          <w:szCs w:val="20"/>
          <w:color w:val="auto"/>
        </w:rPr>
      </w:pPr>
      <w:r>
        <w:rPr>
          <w:rFonts w:ascii="Arial" w:cs="Arial" w:eastAsia="Arial" w:hAnsi="Arial"/>
          <w:sz w:val="15"/>
          <w:szCs w:val="15"/>
          <w:color w:val="auto"/>
        </w:rPr>
        <w:t>General and administrative expenses include employee and director compensation allocated to general and administrative expenses, consulting fees other than those paid for science-related consulting, insurance costs allocated to general and administrative expenses, stock exchange-related costs, depreciation expense, shipping expenses, marketing costs, legal and accounting costs, and other miscellaneous expenses which are allocated to general and administrative expense.</w:t>
      </w:r>
    </w:p>
    <w:p>
      <w:pPr>
        <w:spacing w:after="0" w:line="172" w:lineRule="exact"/>
        <w:rPr>
          <w:sz w:val="20"/>
          <w:szCs w:val="20"/>
          <w:color w:val="auto"/>
        </w:rPr>
      </w:pPr>
    </w:p>
    <w:p>
      <w:pPr>
        <w:ind w:right="140" w:firstLine="567"/>
        <w:spacing w:after="0" w:line="340" w:lineRule="auto"/>
        <w:rPr>
          <w:sz w:val="20"/>
          <w:szCs w:val="20"/>
          <w:color w:val="auto"/>
        </w:rPr>
      </w:pPr>
      <w:r>
        <w:rPr>
          <w:rFonts w:ascii="Arial" w:cs="Arial" w:eastAsia="Arial" w:hAnsi="Arial"/>
          <w:sz w:val="14"/>
          <w:szCs w:val="14"/>
          <w:i w:val="1"/>
          <w:iCs w:val="1"/>
          <w:color w:val="auto"/>
        </w:rPr>
        <w:t xml:space="preserve">Interest income/(expense) – </w:t>
      </w:r>
      <w:r>
        <w:rPr>
          <w:rFonts w:ascii="Arial" w:cs="Arial" w:eastAsia="Arial" w:hAnsi="Arial"/>
          <w:sz w:val="14"/>
          <w:szCs w:val="14"/>
          <w:color w:val="auto"/>
        </w:rPr>
        <w:t>During 2013, we earned $2,512 of interest income, net of $3,090 of interest expense. During 2012, we earned $19,698 of interest income, net</w:t>
      </w:r>
      <w:r>
        <w:rPr>
          <w:rFonts w:ascii="Arial" w:cs="Arial" w:eastAsia="Arial" w:hAnsi="Arial"/>
          <w:sz w:val="14"/>
          <w:szCs w:val="14"/>
          <w:i w:val="1"/>
          <w:iCs w:val="1"/>
          <w:color w:val="auto"/>
        </w:rPr>
        <w:t xml:space="preserve"> </w:t>
      </w:r>
      <w:r>
        <w:rPr>
          <w:rFonts w:ascii="Arial" w:cs="Arial" w:eastAsia="Arial" w:hAnsi="Arial"/>
          <w:sz w:val="14"/>
          <w:szCs w:val="14"/>
          <w:color w:val="auto"/>
        </w:rPr>
        <w:t>of $315 of interest expense. Interest income is primarily attributed to interest earned on cash balances held in interest bearing accounts during their respective years.</w:t>
      </w:r>
    </w:p>
    <w:p>
      <w:pPr>
        <w:spacing w:after="0" w:line="135" w:lineRule="exact"/>
        <w:rPr>
          <w:sz w:val="20"/>
          <w:szCs w:val="20"/>
          <w:color w:val="auto"/>
        </w:rPr>
      </w:pPr>
    </w:p>
    <w:p>
      <w:pPr>
        <w:ind w:right="40" w:firstLine="567"/>
        <w:spacing w:after="0" w:line="340" w:lineRule="auto"/>
        <w:rPr>
          <w:sz w:val="20"/>
          <w:szCs w:val="20"/>
          <w:color w:val="auto"/>
        </w:rPr>
      </w:pPr>
      <w:r>
        <w:rPr>
          <w:rFonts w:ascii="Arial" w:cs="Arial" w:eastAsia="Arial" w:hAnsi="Arial"/>
          <w:sz w:val="14"/>
          <w:szCs w:val="14"/>
          <w:i w:val="1"/>
          <w:iCs w:val="1"/>
          <w:color w:val="auto"/>
        </w:rPr>
        <w:t xml:space="preserve">Other income/(expense) – </w:t>
      </w:r>
      <w:r>
        <w:rPr>
          <w:rFonts w:ascii="Arial" w:cs="Arial" w:eastAsia="Arial" w:hAnsi="Arial"/>
          <w:sz w:val="14"/>
          <w:szCs w:val="14"/>
          <w:color w:val="auto"/>
        </w:rPr>
        <w:t>Other expenses in 2013 consists primarily of charitable donations of $42,500, $45,461 in income tax provision for LifeMap Sciences, Ltd, one of</w:t>
      </w:r>
      <w:r>
        <w:rPr>
          <w:rFonts w:ascii="Arial" w:cs="Arial" w:eastAsia="Arial" w:hAnsi="Arial"/>
          <w:sz w:val="14"/>
          <w:szCs w:val="14"/>
          <w:i w:val="1"/>
          <w:iCs w:val="1"/>
          <w:color w:val="auto"/>
        </w:rPr>
        <w:t xml:space="preserve"> </w:t>
      </w:r>
      <w:r>
        <w:rPr>
          <w:rFonts w:ascii="Arial" w:cs="Arial" w:eastAsia="Arial" w:hAnsi="Arial"/>
          <w:sz w:val="14"/>
          <w:szCs w:val="14"/>
          <w:color w:val="auto"/>
        </w:rPr>
        <w:t>our majority owned subsidiaries, and $133,479 of foreign currency transaction loss. Other expenses in 2012 include reversal of $207,425 in revenues recognized by ESI.</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33"/>
        </w:trPr>
        <w:tc>
          <w:tcPr>
            <w:tcW w:w="6060" w:type="dxa"/>
            <w:vAlign w:val="bottom"/>
            <w:gridSpan w:val="2"/>
          </w:tcPr>
          <w:p>
            <w:pPr>
              <w:spacing w:after="0"/>
              <w:rPr>
                <w:sz w:val="20"/>
                <w:szCs w:val="20"/>
                <w:color w:val="auto"/>
              </w:rPr>
            </w:pPr>
            <w:r>
              <w:rPr>
                <w:rFonts w:ascii="Arial" w:cs="Arial" w:eastAsia="Arial" w:hAnsi="Arial"/>
                <w:sz w:val="16"/>
                <w:szCs w:val="16"/>
                <w:i w:val="1"/>
                <w:iCs w:val="1"/>
                <w:color w:val="auto"/>
              </w:rPr>
              <w:t>Comparison of Years Ended December 31, 2012 and 2011</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87"/>
        </w:trPr>
        <w:tc>
          <w:tcPr>
            <w:tcW w:w="8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tcPr>
          <w:p>
            <w:pPr>
              <w:jc w:val="center"/>
              <w:ind w:left="441"/>
              <w:spacing w:after="0"/>
              <w:rPr>
                <w:sz w:val="20"/>
                <w:szCs w:val="20"/>
                <w:color w:val="auto"/>
              </w:rPr>
            </w:pPr>
            <w:r>
              <w:rPr>
                <w:rFonts w:ascii="Arial" w:cs="Arial" w:eastAsia="Arial" w:hAnsi="Arial"/>
                <w:sz w:val="16"/>
                <w:szCs w:val="16"/>
                <w:b w:val="1"/>
                <w:bCs w:val="1"/>
                <w:color w:val="auto"/>
                <w:w w:val="90"/>
              </w:rPr>
              <w:t>Year Ended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09"/>
        </w:trPr>
        <w:tc>
          <w:tcPr>
            <w:tcW w:w="8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6"/>
                <w:szCs w:val="16"/>
                <w:b w:val="1"/>
                <w:bCs w:val="1"/>
                <w:color w:val="auto"/>
                <w:w w:val="88"/>
              </w:rPr>
              <w:t>December 31,</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Increase/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Increase/</w:t>
            </w:r>
          </w:p>
        </w:tc>
      </w:tr>
      <w:tr>
        <w:trPr>
          <w:trHeight w:val="193"/>
        </w:trPr>
        <w:tc>
          <w:tcPr>
            <w:tcW w:w="8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341"/>
              <w:spacing w:after="0"/>
              <w:rPr>
                <w:sz w:val="20"/>
                <w:szCs w:val="20"/>
                <w:color w:val="auto"/>
              </w:rPr>
            </w:pPr>
            <w:r>
              <w:rPr>
                <w:rFonts w:ascii="Arial" w:cs="Arial" w:eastAsia="Arial" w:hAnsi="Arial"/>
                <w:sz w:val="16"/>
                <w:szCs w:val="16"/>
                <w:b w:val="1"/>
                <w:bCs w:val="1"/>
                <w:color w:val="auto"/>
                <w:w w:val="95"/>
              </w:rPr>
              <w:t>2011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Decrease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4"/>
              </w:rPr>
              <w:t>Decrease</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License fees</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899,998</w:t>
            </w:r>
          </w:p>
        </w:tc>
        <w:tc>
          <w:tcPr>
            <w:tcW w:w="2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263,757</w:t>
            </w: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+636,241</w:t>
            </w:r>
          </w:p>
        </w:tc>
        <w:tc>
          <w:tcPr>
            <w:tcW w:w="22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+241.2%</w:t>
            </w:r>
          </w:p>
        </w:tc>
      </w:tr>
      <w:tr>
        <w:trPr>
          <w:trHeight w:val="189"/>
        </w:trPr>
        <w:tc>
          <w:tcPr>
            <w:tcW w:w="6060" w:type="dxa"/>
            <w:vAlign w:val="bottom"/>
            <w:gridSpan w:val="2"/>
          </w:tcPr>
          <w:p>
            <w:pPr>
              <w:spacing w:after="0"/>
              <w:rPr>
                <w:sz w:val="20"/>
                <w:szCs w:val="20"/>
                <w:color w:val="auto"/>
              </w:rPr>
            </w:pPr>
            <w:r>
              <w:rPr>
                <w:rFonts w:ascii="Arial" w:cs="Arial" w:eastAsia="Arial" w:hAnsi="Arial"/>
                <w:sz w:val="16"/>
                <w:szCs w:val="16"/>
                <w:color w:val="auto"/>
              </w:rPr>
              <w:t>Royalty from product sales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541,681</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756,950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-215,269</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-28.4%</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 income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2,222,458</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2,767,181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-544,723</w:t>
            </w:r>
          </w:p>
        </w:tc>
        <w:tc>
          <w:tcPr>
            <w:tcW w:w="12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-19.7%</w:t>
            </w:r>
          </w:p>
        </w:tc>
      </w:tr>
      <w:tr>
        <w:trPr>
          <w:trHeight w:val="193"/>
        </w:trPr>
        <w:tc>
          <w:tcPr>
            <w:tcW w:w="6060" w:type="dxa"/>
            <w:vAlign w:val="bottom"/>
            <w:gridSpan w:val="2"/>
          </w:tcPr>
          <w:p>
            <w:pPr>
              <w:spacing w:after="0"/>
              <w:rPr>
                <w:sz w:val="20"/>
                <w:szCs w:val="20"/>
                <w:color w:val="auto"/>
              </w:rPr>
            </w:pPr>
            <w:r>
              <w:rPr>
                <w:rFonts w:ascii="Arial" w:cs="Arial" w:eastAsia="Arial" w:hAnsi="Arial"/>
                <w:sz w:val="16"/>
                <w:szCs w:val="16"/>
                <w:color w:val="auto"/>
              </w:rPr>
              <w:t>Sale of research products and services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251,190</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646,271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-395,081</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-61.1%</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3,915,327</w:t>
            </w:r>
          </w:p>
        </w:tc>
        <w:tc>
          <w:tcPr>
            <w:tcW w:w="2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4,434,159</w:t>
            </w: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-518,832</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-11.7%</w:t>
            </w:r>
          </w:p>
        </w:tc>
      </w:tr>
      <w:tr>
        <w:trPr>
          <w:trHeight w:val="193"/>
        </w:trPr>
        <w:tc>
          <w:tcPr>
            <w:tcW w:w="6060" w:type="dxa"/>
            <w:vAlign w:val="bottom"/>
            <w:gridSpan w:val="2"/>
          </w:tcPr>
          <w:p>
            <w:pPr>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(434,271)</w:t>
            </w:r>
          </w:p>
        </w:tc>
        <w:tc>
          <w:tcPr>
            <w:tcW w:w="3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(79,397)</w:t>
            </w: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+(354,874)</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+447.0%</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 net</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3,481,056</w:t>
            </w:r>
          </w:p>
        </w:tc>
        <w:tc>
          <w:tcPr>
            <w:tcW w:w="2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4,354,762</w:t>
            </w: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-873,706</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-20.1%</w:t>
            </w:r>
          </w:p>
        </w:tc>
      </w:tr>
    </w:tbl>
    <w:p>
      <w:pPr>
        <w:spacing w:after="0" w:line="200" w:lineRule="exact"/>
        <w:rPr>
          <w:sz w:val="20"/>
          <w:szCs w:val="20"/>
          <w:color w:val="auto"/>
        </w:rPr>
      </w:pPr>
    </w:p>
    <w:p>
      <w:pPr>
        <w:jc w:val="both"/>
        <w:ind w:right="20" w:firstLine="567"/>
        <w:spacing w:after="0" w:line="253" w:lineRule="auto"/>
        <w:rPr>
          <w:sz w:val="20"/>
          <w:szCs w:val="20"/>
          <w:color w:val="auto"/>
        </w:rPr>
      </w:pPr>
      <w:r>
        <w:rPr>
          <w:rFonts w:ascii="Arial" w:cs="Arial" w:eastAsia="Arial" w:hAnsi="Arial"/>
          <w:sz w:val="16"/>
          <w:szCs w:val="16"/>
          <w:color w:val="auto"/>
        </w:rPr>
        <w:t>Our license fee revenue of $899,998 in 2012 and $263,757 in 2011 were primarily comprised of and license fees from CJ and Summit. The license fees were received from CJ during April 2003 and July 2004, and from Summit during December 2004 and April and October of 2005, but full recognition of the license fees has been deferred, and is being recognized over the life of the contract, which has been estimated to last until approximately 2019 based on the current expected life of the governing patent covering our products in Korea and Japan. See Note 1 to the Consolidated Financial Statements.</w:t>
      </w:r>
    </w:p>
    <w:p>
      <w:pPr>
        <w:spacing w:after="0" w:line="185" w:lineRule="exact"/>
        <w:rPr>
          <w:sz w:val="20"/>
          <w:szCs w:val="20"/>
          <w:color w:val="auto"/>
        </w:rPr>
      </w:pPr>
    </w:p>
    <w:p>
      <w:pPr>
        <w:ind w:right="40" w:firstLine="567"/>
        <w:spacing w:after="0" w:line="193" w:lineRule="auto"/>
        <w:rPr>
          <w:sz w:val="20"/>
          <w:szCs w:val="20"/>
          <w:color w:val="auto"/>
        </w:rPr>
      </w:pPr>
      <w:r>
        <w:rPr>
          <w:rFonts w:ascii="Arial" w:cs="Arial" w:eastAsia="Arial" w:hAnsi="Arial"/>
          <w:sz w:val="15"/>
          <w:szCs w:val="15"/>
          <w:color w:val="auto"/>
        </w:rPr>
        <w:t xml:space="preserve">Our royalty revenue from product sales for the year ended December 31, 2012 consist of royalties on sales of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made by Hospira and CJ during the period beginning October 1, 2011 and ending September 30, 2012. Royalty revenues recognized for that period were $541,681 compared with $756,950 recognized for the year ended December 31, 2011. This 28% decrease in royalties is attributable to a decrease in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sales in the U.S. and in the Republic of Korea. The decrease in royalties received from Hospira is primarily due to the decline in the price of hetastarch-based products in the market. The blood volume expander marketing continues to contract and hospitals continue to shift their purchases to albumin products. Hospira has reported that they have seen a rapid decline in the price of hetastarch-based plasma expanders in the market which could continue to have a negative impact on revenues from the sale of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Hospira implemented further price reductions for </w:t>
      </w:r>
      <w:r>
        <w:rPr>
          <w:rFonts w:ascii="Arial" w:cs="Arial" w:eastAsia="Arial" w:hAnsi="Arial"/>
          <w:sz w:val="15"/>
          <w:szCs w:val="15"/>
          <w:i w:val="1"/>
          <w:iCs w:val="1"/>
          <w:color w:val="auto"/>
        </w:rPr>
        <w:t>Hextend</w:t>
      </w:r>
      <w:r>
        <w:rPr>
          <w:rFonts w:ascii="Arial" w:cs="Arial" w:eastAsia="Arial" w:hAnsi="Arial"/>
          <w:sz w:val="25"/>
          <w:szCs w:val="25"/>
          <w:color w:val="auto"/>
          <w:vertAlign w:val="superscript"/>
        </w:rPr>
        <w:t>®</w:t>
      </w:r>
      <w:r>
        <w:rPr>
          <w:rFonts w:ascii="Arial" w:cs="Arial" w:eastAsia="Arial" w:hAnsi="Arial"/>
          <w:sz w:val="15"/>
          <w:szCs w:val="15"/>
          <w:color w:val="auto"/>
        </w:rPr>
        <w:t xml:space="preserve"> during 2012 in an attempt to maintain market share. We expect royalty revenues from product sales to continue to decline as a percentage of total revenue.</w:t>
      </w:r>
    </w:p>
    <w:p>
      <w:pPr>
        <w:spacing w:after="0" w:line="203" w:lineRule="exact"/>
        <w:rPr>
          <w:sz w:val="20"/>
          <w:szCs w:val="20"/>
          <w:color w:val="auto"/>
        </w:rPr>
      </w:pPr>
    </w:p>
    <w:p>
      <w:pPr>
        <w:ind w:right="200" w:firstLine="567"/>
        <w:spacing w:after="0" w:line="253" w:lineRule="auto"/>
        <w:rPr>
          <w:sz w:val="20"/>
          <w:szCs w:val="20"/>
          <w:color w:val="auto"/>
        </w:rPr>
      </w:pPr>
      <w:r>
        <w:rPr>
          <w:rFonts w:ascii="Arial" w:cs="Arial" w:eastAsia="Arial" w:hAnsi="Arial"/>
          <w:sz w:val="16"/>
          <w:szCs w:val="16"/>
          <w:color w:val="auto"/>
        </w:rPr>
        <w:t>Total grant revenue in 2012 decreased by approximately 20% as a result of the completion of the CIRM grant in August 31, 2012 compared to a full year of CIRM grant revenue in 2011. Grant revenue in 2012 included $1,047,106 from CIRM, $1,109,699 recognized through Cell Cure Neurosciences and $18,145 through Life Map Sciences, Ltd., and $47,507 of a $335,900 grant awarded to us by the NIH. The original NIH grant period ran from September 30, 2011 through September 29, 2012. However, this grant was extended for another year through September 29, 2013.</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decline in sales of research products and services in 2012 is primarily attributed to a one time sale of approximately $200,000 in revenues recognized through ESI in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2011.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center"/>
              <w:ind w:left="461"/>
              <w:spacing w:after="0"/>
              <w:rPr>
                <w:sz w:val="20"/>
                <w:szCs w:val="20"/>
                <w:color w:val="auto"/>
              </w:rPr>
            </w:pPr>
            <w:r>
              <w:rPr>
                <w:rFonts w:ascii="Arial" w:cs="Arial" w:eastAsia="Arial" w:hAnsi="Arial"/>
                <w:sz w:val="16"/>
                <w:szCs w:val="16"/>
                <w:b w:val="1"/>
                <w:bCs w:val="1"/>
                <w:color w:val="auto"/>
                <w:w w:val="90"/>
              </w:rPr>
              <w:t>Year Ended</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w:t>
            </w:r>
          </w:p>
        </w:tc>
        <w:tc>
          <w:tcPr>
            <w:tcW w:w="2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09"/>
        </w:trPr>
        <w:tc>
          <w:tcPr>
            <w:tcW w:w="39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6"/>
                <w:szCs w:val="16"/>
                <w:b w:val="1"/>
                <w:bCs w:val="1"/>
                <w:color w:val="auto"/>
                <w:w w:val="88"/>
              </w:rPr>
              <w:t>December 31,</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Increase/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Increase/</w:t>
            </w:r>
          </w:p>
        </w:tc>
      </w:tr>
      <w:tr>
        <w:trPr>
          <w:trHeight w:val="193"/>
        </w:trPr>
        <w:tc>
          <w:tcPr>
            <w:tcW w:w="39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341"/>
              <w:spacing w:after="0"/>
              <w:rPr>
                <w:sz w:val="20"/>
                <w:szCs w:val="20"/>
                <w:color w:val="auto"/>
              </w:rPr>
            </w:pPr>
            <w:r>
              <w:rPr>
                <w:rFonts w:ascii="Arial" w:cs="Arial" w:eastAsia="Arial" w:hAnsi="Arial"/>
                <w:sz w:val="16"/>
                <w:szCs w:val="16"/>
                <w:b w:val="1"/>
                <w:bCs w:val="1"/>
                <w:color w:val="auto"/>
                <w:w w:val="95"/>
              </w:rPr>
              <w:t>2011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Decrease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4"/>
              </w:rPr>
              <w:t>Decrease</w:t>
            </w:r>
          </w:p>
        </w:tc>
      </w:tr>
      <w:tr>
        <w:trPr>
          <w:trHeight w:val="189"/>
        </w:trPr>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20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(18,116,688)</w:t>
            </w:r>
          </w:p>
        </w:tc>
        <w:tc>
          <w:tcPr>
            <w:tcW w:w="2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(13,699,691)</w:t>
            </w: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+(4,416,997)</w:t>
            </w:r>
          </w:p>
        </w:tc>
        <w:tc>
          <w:tcPr>
            <w:tcW w:w="22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+32.2%</w:t>
            </w: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(10,365,045)</w:t>
            </w:r>
          </w:p>
        </w:tc>
        <w:tc>
          <w:tcPr>
            <w:tcW w:w="3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(9,341,502)</w:t>
            </w: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+(1,023,543)</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+11.0%</w:t>
            </w:r>
          </w:p>
        </w:tc>
      </w:tr>
      <w:tr>
        <w:trPr>
          <w:trHeight w:val="189"/>
        </w:trPr>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income/(expense)</w:t>
            </w:r>
          </w:p>
        </w:tc>
        <w:tc>
          <w:tcPr>
            <w:tcW w:w="2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19,383</w:t>
            </w:r>
          </w:p>
        </w:tc>
        <w:tc>
          <w:tcPr>
            <w:tcW w:w="3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29,727</w:t>
            </w: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-10,344</w:t>
            </w:r>
          </w:p>
        </w:tc>
        <w:tc>
          <w:tcPr>
            <w:tcW w:w="12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-34.8%</w:t>
            </w:r>
          </w:p>
        </w:tc>
      </w:tr>
      <w:tr>
        <w:trPr>
          <w:trHeight w:val="200"/>
        </w:trPr>
        <w:tc>
          <w:tcPr>
            <w:tcW w:w="3980" w:type="dxa"/>
            <w:vAlign w:val="bottom"/>
          </w:tcPr>
          <w:p>
            <w:pPr>
              <w:spacing w:after="0"/>
              <w:rPr>
                <w:sz w:val="20"/>
                <w:szCs w:val="20"/>
                <w:color w:val="auto"/>
              </w:rPr>
            </w:pPr>
            <w:r>
              <w:rPr>
                <w:rFonts w:ascii="Arial" w:cs="Arial" w:eastAsia="Arial" w:hAnsi="Arial"/>
                <w:sz w:val="16"/>
                <w:szCs w:val="16"/>
                <w:color w:val="auto"/>
              </w:rPr>
              <w:t>Other income/(expense)</w:t>
            </w: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(317,710)</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219,067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-536,777</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-245.0%</w:t>
            </w:r>
          </w:p>
        </w:tc>
      </w:tr>
      <w:tr>
        <w:trPr>
          <w:trHeight w:val="511"/>
        </w:trPr>
        <w:tc>
          <w:tcPr>
            <w:tcW w:w="3980" w:type="dxa"/>
            <w:vAlign w:val="bottom"/>
          </w:tcPr>
          <w:p>
            <w:pPr>
              <w:spacing w:after="0"/>
              <w:rPr>
                <w:sz w:val="24"/>
                <w:szCs w:val="24"/>
                <w:color w:val="auto"/>
              </w:rPr>
            </w:pPr>
          </w:p>
        </w:tc>
        <w:tc>
          <w:tcPr>
            <w:tcW w:w="2080" w:type="dxa"/>
            <w:vAlign w:val="bottom"/>
          </w:tcPr>
          <w:p>
            <w:pPr>
              <w:jc w:val="right"/>
              <w:ind w:right="217"/>
              <w:spacing w:after="0"/>
              <w:rPr>
                <w:sz w:val="20"/>
                <w:szCs w:val="20"/>
                <w:color w:val="auto"/>
              </w:rPr>
            </w:pPr>
            <w:r>
              <w:rPr>
                <w:rFonts w:ascii="Arial" w:cs="Arial" w:eastAsia="Arial" w:hAnsi="Arial"/>
                <w:sz w:val="13"/>
                <w:szCs w:val="13"/>
                <w:color w:val="auto"/>
              </w:rPr>
              <w:t>91</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
        </w:trPr>
        <w:tc>
          <w:tcPr>
            <w:tcW w:w="398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08" w:right="219" w:bottom="1440" w:gutter="0" w:footer="0" w:header="0"/>
        </w:sectPr>
      </w:pPr>
    </w:p>
    <w:bookmarkStart w:id="91" w:name="page92"/>
    <w:bookmarkEnd w:id="9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360" w:firstLine="567"/>
        <w:spacing w:after="0" w:line="282" w:lineRule="auto"/>
        <w:rPr>
          <w:sz w:val="20"/>
          <w:szCs w:val="20"/>
          <w:color w:val="auto"/>
        </w:rPr>
      </w:pPr>
      <w:r>
        <w:rPr>
          <w:rFonts w:ascii="Arial" w:cs="Arial" w:eastAsia="Arial" w:hAnsi="Arial"/>
          <w:sz w:val="15"/>
          <w:szCs w:val="15"/>
          <w:i w:val="1"/>
          <w:iCs w:val="1"/>
          <w:color w:val="auto"/>
        </w:rPr>
        <w:t xml:space="preserve">Research and development expenses – </w:t>
      </w:r>
      <w:r>
        <w:rPr>
          <w:rFonts w:ascii="Arial" w:cs="Arial" w:eastAsia="Arial" w:hAnsi="Arial"/>
          <w:sz w:val="15"/>
          <w:szCs w:val="15"/>
          <w:color w:val="auto"/>
        </w:rPr>
        <w:t>Research and development expenses increased approximately 32% to $18,116,688 for the year ended December 31, 2012, from</w:t>
      </w:r>
      <w:r>
        <w:rPr>
          <w:rFonts w:ascii="Arial" w:cs="Arial" w:eastAsia="Arial" w:hAnsi="Arial"/>
          <w:sz w:val="15"/>
          <w:szCs w:val="15"/>
          <w:i w:val="1"/>
          <w:iCs w:val="1"/>
          <w:color w:val="auto"/>
        </w:rPr>
        <w:t xml:space="preserve"> </w:t>
      </w:r>
      <w:r>
        <w:rPr>
          <w:rFonts w:ascii="Arial" w:cs="Arial" w:eastAsia="Arial" w:hAnsi="Arial"/>
          <w:sz w:val="15"/>
          <w:szCs w:val="15"/>
          <w:color w:val="auto"/>
        </w:rPr>
        <w:t>$13,699,691 for the year ended December 31, 2011. Research and development expenses include laboratory study expenses, patent and technology license fees, employee compensation, rent, insurance, and science-related consultants’ fees which are allocated to research and development expense.</w:t>
      </w:r>
    </w:p>
    <w:p>
      <w:pPr>
        <w:spacing w:after="0" w:line="172" w:lineRule="exact"/>
        <w:rPr>
          <w:sz w:val="20"/>
          <w:szCs w:val="20"/>
          <w:color w:val="auto"/>
        </w:rPr>
      </w:pPr>
    </w:p>
    <w:p>
      <w:pPr>
        <w:ind w:right="120" w:firstLine="567"/>
        <w:spacing w:after="0" w:line="248" w:lineRule="auto"/>
        <w:rPr>
          <w:sz w:val="20"/>
          <w:szCs w:val="20"/>
          <w:color w:val="auto"/>
        </w:rPr>
      </w:pPr>
      <w:r>
        <w:rPr>
          <w:rFonts w:ascii="Arial" w:cs="Arial" w:eastAsia="Arial" w:hAnsi="Arial"/>
          <w:sz w:val="15"/>
          <w:szCs w:val="15"/>
          <w:color w:val="auto"/>
        </w:rPr>
        <w:t xml:space="preserve">Research and development expenses for the years ended December 31, 2012 and 2011, include $1,582,647 and $1,499,726, respectively, derived from the amortization of patent technology related to our acquisition of ESI and Cell Cure Neurosciences in May and October 2010, respectively. Aside from these expenses, the increase in research and development expenses during 2012 is primarily attributable to an increase of $2,116,195 in employee compensation and related costs allocated to research and development expenses, an increase of $1,019,031 in our </w:t>
      </w:r>
      <w:r>
        <w:rPr>
          <w:rFonts w:ascii="Arial" w:cs="Arial" w:eastAsia="Arial" w:hAnsi="Arial"/>
          <w:sz w:val="15"/>
          <w:szCs w:val="15"/>
          <w:i w:val="1"/>
          <w:iCs w:val="1"/>
          <w:color w:val="auto"/>
        </w:rPr>
        <w:t>HyStem</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program related research expenses, an increase of $456,068 in the amortization of patent technology reflecting a full year of amortization related to our acquisition of assets from CTI and merger with Glycosan in 2011, and amortization related to the merger with XenneX in 2012, an increase of $409,546 in expenditures made to cover laboratory expenses and supplies, an increase of $181,194 in stock-based compensation to employees and consultants, an increase of $148,501 in licenses, patent and trademark related fees and legal fees, an increase of $144,082 in scientific consulting fees, an increase of $142,744 in outside research and research related outside services, an increase of $160,218 in rent and building maintenance, an increase of $108,116 in travel, lodging and meals, and an increase of $96,888 in depreciation expense. These increases in 2012 over 2011 were offset in part by a decrease of $335,567 and $272,225 in ESI and Cell Cure Neurosciences research and development expenses, respectively.</w:t>
      </w:r>
    </w:p>
    <w:p>
      <w:pPr>
        <w:spacing w:after="0" w:line="202" w:lineRule="exact"/>
        <w:rPr>
          <w:sz w:val="20"/>
          <w:szCs w:val="20"/>
          <w:color w:val="auto"/>
        </w:rPr>
      </w:pPr>
    </w:p>
    <w:p>
      <w:pPr>
        <w:ind w:firstLine="567"/>
        <w:spacing w:after="0" w:line="276" w:lineRule="auto"/>
        <w:rPr>
          <w:sz w:val="20"/>
          <w:szCs w:val="20"/>
          <w:color w:val="auto"/>
        </w:rPr>
      </w:pPr>
      <w:r>
        <w:rPr>
          <w:rFonts w:ascii="Arial" w:cs="Arial" w:eastAsia="Arial" w:hAnsi="Arial"/>
          <w:sz w:val="15"/>
          <w:szCs w:val="15"/>
          <w:i w:val="1"/>
          <w:iCs w:val="1"/>
          <w:color w:val="auto"/>
        </w:rPr>
        <w:t xml:space="preserve">General and administrative expenses – </w:t>
      </w:r>
      <w:r>
        <w:rPr>
          <w:rFonts w:ascii="Arial" w:cs="Arial" w:eastAsia="Arial" w:hAnsi="Arial"/>
          <w:sz w:val="15"/>
          <w:szCs w:val="15"/>
          <w:color w:val="auto"/>
        </w:rPr>
        <w:t>General and administrative expenses increased to $10,365,045 for the year ended December 31, 2012 from $9,341,502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2011. General and administrative expenses include employee and director compensation allocated to general and administrative expenses, consulting fees other than those paid for science-related consulting, insurance costs allocated to general and administrative expenses, stock exchange-related costs, depreciation expense, shipping expenses, marketing costs, and other miscellaneous expenses which are allocated to general and administrative expense.</w:t>
      </w:r>
    </w:p>
    <w:p>
      <w:pPr>
        <w:spacing w:after="0" w:line="176" w:lineRule="exact"/>
        <w:rPr>
          <w:sz w:val="20"/>
          <w:szCs w:val="20"/>
          <w:color w:val="auto"/>
        </w:rPr>
      </w:pPr>
    </w:p>
    <w:p>
      <w:pPr>
        <w:ind w:firstLine="567"/>
        <w:spacing w:after="0" w:line="296" w:lineRule="auto"/>
        <w:rPr>
          <w:sz w:val="20"/>
          <w:szCs w:val="20"/>
          <w:color w:val="auto"/>
        </w:rPr>
      </w:pPr>
      <w:r>
        <w:rPr>
          <w:rFonts w:ascii="Arial" w:cs="Arial" w:eastAsia="Arial" w:hAnsi="Arial"/>
          <w:sz w:val="14"/>
          <w:szCs w:val="14"/>
          <w:color w:val="auto"/>
        </w:rPr>
        <w:t>The increase is attributable to an increase of $563,257 in employee compensation, bonuses and related costs allocated to general and administrative expenses, an increase of $180,639 in stock-based compensation to employees and consultants, an increase of $667,731 in legal fees, an increase of $107,818 in accounting and tax services, an increase of $76,745 in rent and building maintenance and an increase of $87,392 in Cell Cure Neurosciences general and administrative expenses. These increases are in part offset by a decrease of $185,456 in consulting fees, a decrease of $165,030 in recruiting service expenses, a decrease of $83,966 in travel, lodging and meals, a decrease of $83,414 in bad debt expenses, decrease of $75,573 in transfer agent, stock listing and registration fees and a decrease of $62,461 in ESI general and administrative expenses.</w:t>
      </w:r>
    </w:p>
    <w:p>
      <w:pPr>
        <w:spacing w:after="0" w:line="165" w:lineRule="exact"/>
        <w:rPr>
          <w:sz w:val="20"/>
          <w:szCs w:val="20"/>
          <w:color w:val="auto"/>
        </w:rPr>
      </w:pPr>
    </w:p>
    <w:p>
      <w:pPr>
        <w:ind w:right="140" w:firstLine="567"/>
        <w:spacing w:after="0" w:line="301" w:lineRule="auto"/>
        <w:rPr>
          <w:sz w:val="20"/>
          <w:szCs w:val="20"/>
          <w:color w:val="auto"/>
        </w:rPr>
      </w:pPr>
      <w:r>
        <w:rPr>
          <w:rFonts w:ascii="Arial" w:cs="Arial" w:eastAsia="Arial" w:hAnsi="Arial"/>
          <w:sz w:val="15"/>
          <w:szCs w:val="15"/>
          <w:i w:val="1"/>
          <w:iCs w:val="1"/>
          <w:color w:val="auto"/>
        </w:rPr>
        <w:t xml:space="preserve">Interest income – </w:t>
      </w:r>
      <w:r>
        <w:rPr>
          <w:rFonts w:ascii="Arial" w:cs="Arial" w:eastAsia="Arial" w:hAnsi="Arial"/>
          <w:sz w:val="15"/>
          <w:szCs w:val="15"/>
          <w:color w:val="auto"/>
        </w:rPr>
        <w:t>During 2012, we earned $19,698 of interest income, net of $315 of interest expense. During 2011, we earned $30,053 of interest income, net of $326 of</w:t>
      </w:r>
      <w:r>
        <w:rPr>
          <w:rFonts w:ascii="Arial" w:cs="Arial" w:eastAsia="Arial" w:hAnsi="Arial"/>
          <w:sz w:val="15"/>
          <w:szCs w:val="15"/>
          <w:i w:val="1"/>
          <w:iCs w:val="1"/>
          <w:color w:val="auto"/>
        </w:rPr>
        <w:t xml:space="preserve"> </w:t>
      </w:r>
      <w:r>
        <w:rPr>
          <w:rFonts w:ascii="Arial" w:cs="Arial" w:eastAsia="Arial" w:hAnsi="Arial"/>
          <w:sz w:val="15"/>
          <w:szCs w:val="15"/>
          <w:color w:val="auto"/>
        </w:rPr>
        <w:t>interest expense. Interest income is primarily attributed to interest earned on cash balances held in interest bearing accounts during their respective years.</w:t>
      </w:r>
    </w:p>
    <w:p>
      <w:pPr>
        <w:spacing w:after="0" w:line="158" w:lineRule="exact"/>
        <w:rPr>
          <w:sz w:val="20"/>
          <w:szCs w:val="20"/>
          <w:color w:val="auto"/>
        </w:rPr>
      </w:pPr>
    </w:p>
    <w:p>
      <w:pPr>
        <w:ind w:right="80" w:firstLine="567"/>
        <w:spacing w:after="0" w:line="251" w:lineRule="auto"/>
        <w:rPr>
          <w:sz w:val="20"/>
          <w:szCs w:val="20"/>
          <w:color w:val="auto"/>
        </w:rPr>
      </w:pPr>
      <w:r>
        <w:rPr>
          <w:rFonts w:ascii="Arial" w:cs="Arial" w:eastAsia="Arial" w:hAnsi="Arial"/>
          <w:sz w:val="16"/>
          <w:szCs w:val="16"/>
          <w:i w:val="1"/>
          <w:iCs w:val="1"/>
          <w:color w:val="auto"/>
        </w:rPr>
        <w:t xml:space="preserve">Other income/(expense) – </w:t>
      </w:r>
      <w:r>
        <w:rPr>
          <w:rFonts w:ascii="Arial" w:cs="Arial" w:eastAsia="Arial" w:hAnsi="Arial"/>
          <w:sz w:val="16"/>
          <w:szCs w:val="16"/>
          <w:color w:val="auto"/>
        </w:rPr>
        <w:t>Other expenses in 2012 include reversal of $207,425 in revenues recognized by ESI. The $207,425 represents US $200,000 that was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as revenues in 2011 upon the shipment of cell lines in accordance with an agreement between ESI and a customer. The difference of $7,425 is attributed to foreign currency rates. The revenue for the cell lines shipped to the customer was reversed during the first quarter of 2012 pending the final completion of audits and acceptance of vials by the customer which was incorrectly assumed to have occurred in December 2011. Other income in 2011 consists primarily of approximately $198,000 of reimbursement of tenant improvement expenses incurred by us.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Taxes</w:t>
      </w:r>
    </w:p>
    <w:p>
      <w:pPr>
        <w:spacing w:after="0" w:line="222" w:lineRule="exact"/>
        <w:rPr>
          <w:sz w:val="20"/>
          <w:szCs w:val="20"/>
          <w:color w:val="auto"/>
        </w:rPr>
      </w:pPr>
    </w:p>
    <w:p>
      <w:pPr>
        <w:ind w:right="300" w:firstLine="567"/>
        <w:spacing w:after="0" w:line="257" w:lineRule="auto"/>
        <w:rPr>
          <w:sz w:val="20"/>
          <w:szCs w:val="20"/>
          <w:color w:val="auto"/>
        </w:rPr>
      </w:pPr>
      <w:r>
        <w:rPr>
          <w:rFonts w:ascii="Arial" w:cs="Arial" w:eastAsia="Arial" w:hAnsi="Arial"/>
          <w:sz w:val="16"/>
          <w:szCs w:val="16"/>
          <w:color w:val="auto"/>
        </w:rPr>
        <w:t>At December 31, 2013 we had a cumulative net operating loss carryforward of approximately $99,100,000 for federal income tax purposes and $70,200,000 for state income tax purposes. Our effective tax rate differs from the statutory rate because we have recorded a valuation allowance against our deferred tax assets, as we do not consider realization to be more likely than not.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2" w:name="page93"/>
    <w:bookmarkEnd w:id="9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At December 31, 2013, we had $5,495,478 of cash and cash equivalents on hand. Subsequent to December 31, 2013 we raised $11,974,005 of additional equity capital, including $3,500,000 through the sale of shares of a newly authorized Series A Convertible Preferred Stock, and $8,474,005 through the sales of BioTime common shares by us and certain of our subsidiaries, in “at-the-market” transactions through Cantor Fitzgerald &amp; Co. (“Cantor”), as the sales agent. The offer and sale of our common shares for our account through Cantor under our $25 million Controlled Equity Offering has been registered under the Securities Act of 1933, as amended (the "Securities Act"). Under the sales agreement, Cantor may sell our common shares by any method permitted by law deemed to be an "at-the-market" offering as defined in Rule 415 under the Securities Act, including, but not limited to, sales made directly on NYSE MKT, on any other existing trading market for our common shares or to or through a market maker. Cantor may also sell our shares under the sales agreement by any other method permitted by law, including in privately negotiated transactions. Cantor has agreed in the sales agreement to use its commercially reasonable efforts to sell shares in accordance with our instructions (including any price, time or size limit or other customary parameters or conditions we may impose). The offering pursuant to the sales agreement will terminate upon the sale of all shares subject to the sales agreement or the earlier termination of the sales agreement as permitted by its terms. Cantor has also acted as a sales agent for certain of our subsidiaries that have sold BioTime common shares to raise capital for their operations. The offer and sale of those shares has also been registered under the Securities Act. We contributed the BioTime common shares to the subsidiaries in exchange for subsidiary capital stock. The proceeds of the sale of BioTime shares by our subsidiaries belong to those subsidiaries. There is no assurance that we or our subsidiaries will be able to sell additional common shares through Cantor at prices acceptable to us, but we believe that our existing cash and cash equivalents, should be sufficient to fund our operations for at least twelve months. See "Cash generated by financing activities" for additional information about sales of our equity securities through the Controlled Equity Offering and other transactions during the year ended December 31, 2013.</w:t>
      </w:r>
    </w:p>
    <w:p>
      <w:pPr>
        <w:spacing w:after="0" w:line="174" w:lineRule="exact"/>
        <w:rPr>
          <w:sz w:val="20"/>
          <w:szCs w:val="20"/>
          <w:color w:val="auto"/>
        </w:rPr>
      </w:pPr>
    </w:p>
    <w:p>
      <w:pPr>
        <w:ind w:right="100" w:firstLine="567"/>
        <w:spacing w:after="0" w:line="267" w:lineRule="auto"/>
        <w:rPr>
          <w:sz w:val="20"/>
          <w:szCs w:val="20"/>
          <w:color w:val="auto"/>
        </w:rPr>
      </w:pPr>
      <w:r>
        <w:rPr>
          <w:rFonts w:ascii="Arial" w:cs="Arial" w:eastAsia="Arial" w:hAnsi="Arial"/>
          <w:sz w:val="16"/>
          <w:szCs w:val="16"/>
          <w:color w:val="auto"/>
        </w:rPr>
        <w:t>Asterias is seeking funding for its operations from third parties in the form of research and development grants or cooperative arrangements for the development of certain of Asterias’ product candidates.</w:t>
      </w:r>
    </w:p>
    <w:p>
      <w:pPr>
        <w:spacing w:after="0" w:line="181" w:lineRule="exact"/>
        <w:rPr>
          <w:sz w:val="20"/>
          <w:szCs w:val="20"/>
          <w:color w:val="auto"/>
        </w:rPr>
      </w:pPr>
    </w:p>
    <w:p>
      <w:pPr>
        <w:ind w:right="40" w:firstLine="567"/>
        <w:spacing w:after="0" w:line="293" w:lineRule="auto"/>
        <w:rPr>
          <w:sz w:val="20"/>
          <w:szCs w:val="20"/>
          <w:color w:val="auto"/>
        </w:rPr>
      </w:pPr>
      <w:r>
        <w:rPr>
          <w:rFonts w:ascii="Arial" w:cs="Arial" w:eastAsia="Arial" w:hAnsi="Arial"/>
          <w:sz w:val="14"/>
          <w:szCs w:val="14"/>
          <w:color w:val="auto"/>
        </w:rPr>
        <w:t>Asterias has applied for a Strategic Partnership 3 Track “A” Award from the California Institute for Regenerative Medicine (CIRM) which is intended to support a Phase 1/2a clinical trial of our OPC1 product candidate in subjects with neurologically complete cervical spinal cord injury. The grant would also help support Asterias’ efforts to develop a commercial process to manufacture OPC1. The purpose of the Strategic Partnership Award Initiative is to create incentives for industry to advance the development of stem cell-based therapeutics. As part of a Strategic Partnership 3 Track “A” Award, CIRM will provide up to $10,000,000 ($15,000,000 in extraordinary cases) to support an approved project. We expect that CIRM will notify applicants of the decision on their applications during the first half of 2014. Geron was granted a non-recourse loan for its thoracic spinal cord injury study of OPC1 in 2011 from CIRM, but returned the loan funds after announcing the termination of its human embryonic stem cell programs.</w:t>
      </w:r>
    </w:p>
    <w:p>
      <w:pPr>
        <w:spacing w:after="0" w:line="168" w:lineRule="exact"/>
        <w:rPr>
          <w:sz w:val="20"/>
          <w:szCs w:val="20"/>
          <w:color w:val="auto"/>
        </w:rPr>
      </w:pPr>
    </w:p>
    <w:p>
      <w:pPr>
        <w:ind w:right="80" w:firstLine="567"/>
        <w:spacing w:after="0" w:line="251" w:lineRule="auto"/>
        <w:rPr>
          <w:sz w:val="20"/>
          <w:szCs w:val="20"/>
          <w:color w:val="auto"/>
        </w:rPr>
      </w:pPr>
      <w:r>
        <w:rPr>
          <w:rFonts w:ascii="Arial" w:cs="Arial" w:eastAsia="Arial" w:hAnsi="Arial"/>
          <w:sz w:val="16"/>
          <w:szCs w:val="16"/>
          <w:color w:val="auto"/>
        </w:rPr>
        <w:t>Asterias is in the process of applying for a grant from a large United Kingdom based charitable organization to fund Phase 1/2a clinical development of our VAC2 product candidate. The proposed grant would fund both the Phase 1/2a clinical trial of VAC2 in cancer patients and the cGMP manufacturing costs of VAC2. The terms under which funding may be provided by the charitable organization are currently under discussion. Asterias anticipates that it will receive notification of whether the grant has been approved during the first half of 2014. This same charitable organization had awarded a similar grant for VAC2 to Geron but that grant was withdrawn after Geron terminated the program in November 2011.</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3" w:name="page94"/>
    <w:bookmarkEnd w:id="9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7" w:lineRule="exact"/>
        <w:rPr>
          <w:sz w:val="20"/>
          <w:szCs w:val="20"/>
          <w:color w:val="auto"/>
        </w:rPr>
      </w:pPr>
    </w:p>
    <w:p>
      <w:pPr>
        <w:ind w:right="180" w:firstLine="567"/>
        <w:spacing w:after="0" w:line="311" w:lineRule="auto"/>
        <w:rPr>
          <w:sz w:val="20"/>
          <w:szCs w:val="20"/>
          <w:color w:val="auto"/>
        </w:rPr>
      </w:pPr>
      <w:r>
        <w:rPr>
          <w:rFonts w:ascii="Arial" w:cs="Arial" w:eastAsia="Arial" w:hAnsi="Arial"/>
          <w:sz w:val="14"/>
          <w:szCs w:val="14"/>
          <w:color w:val="auto"/>
        </w:rPr>
        <w:t>Asterias is in early-stage discussions with a United Kingdom based technology innovation center seeking their support for the development of advanced manufacturing processes for CHND1. Methods developed at the technology innovation center would be incorporated in future commercial manufacturing processes for the product. An alliance with the technology innovation center would be on a specific project basis and would require multiple approvals from different committees and boards at the center.</w:t>
      </w:r>
    </w:p>
    <w:p>
      <w:pPr>
        <w:spacing w:after="0" w:line="154" w:lineRule="exact"/>
        <w:rPr>
          <w:sz w:val="20"/>
          <w:szCs w:val="20"/>
          <w:color w:val="auto"/>
        </w:rPr>
      </w:pPr>
    </w:p>
    <w:p>
      <w:pPr>
        <w:ind w:right="20" w:firstLine="567"/>
        <w:spacing w:after="0" w:line="270" w:lineRule="auto"/>
        <w:rPr>
          <w:sz w:val="20"/>
          <w:szCs w:val="20"/>
          <w:color w:val="auto"/>
        </w:rPr>
      </w:pPr>
      <w:r>
        <w:rPr>
          <w:rFonts w:ascii="Arial" w:cs="Arial" w:eastAsia="Arial" w:hAnsi="Arial"/>
          <w:sz w:val="15"/>
          <w:szCs w:val="15"/>
          <w:color w:val="auto"/>
        </w:rPr>
        <w:t>Asterias is also in early stage discussions with an academic institution to form a collaboration to develop hES cell derived cardiomyocytes for the treatment of heart failure and acute myocardial infarction. The academic institution has received funding to develop the project through the IND filing stage. Asterias would either fund the Phase I study itself, to the extent that it has sufficient capital resources for that purpose or would seek funding for the study from a third party. In a collaboration, Asterias might contribute assistance in preparing and filing the IND, materials for use in the project such as cGMP hES cell banks, and a license of relevant patents and know-how relating to the development of hES cell-derived cardiomyocytes and hES cell-derived therapeutics generally, in exchange for which it would acquire an ownership interest in the resulting therapeutic products or in a joint venture company to be formed and co-owned with the academic institution for the purpose of developing the product.</w:t>
      </w:r>
    </w:p>
    <w:p>
      <w:pPr>
        <w:spacing w:after="0" w:line="183"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There can be no assurance that Asterias will receive any of grants that it is seeking or that Asterias will reach an agreement for support in the manufacture of CHNDI or the development of hES cell derived cardiomyocytes.</w:t>
      </w:r>
    </w:p>
    <w:p>
      <w:pPr>
        <w:spacing w:after="0" w:line="181" w:lineRule="exact"/>
        <w:rPr>
          <w:sz w:val="20"/>
          <w:szCs w:val="20"/>
          <w:color w:val="auto"/>
        </w:rPr>
      </w:pPr>
    </w:p>
    <w:p>
      <w:pPr>
        <w:ind w:right="20" w:firstLine="567"/>
        <w:spacing w:after="0" w:line="267" w:lineRule="auto"/>
        <w:rPr>
          <w:sz w:val="20"/>
          <w:szCs w:val="20"/>
          <w:color w:val="auto"/>
        </w:rPr>
      </w:pPr>
      <w:r>
        <w:rPr>
          <w:rFonts w:ascii="Arial" w:cs="Arial" w:eastAsia="Arial" w:hAnsi="Arial"/>
          <w:sz w:val="16"/>
          <w:szCs w:val="16"/>
          <w:color w:val="auto"/>
        </w:rPr>
        <w:t>Because our revenues are not presently sufficient to cover our operating expenses, we will continue to need to obtain additional equity capital or debt in order to finance our operations. The future availability and terms of equity or debt financing are uncertain</w:t>
      </w:r>
    </w:p>
    <w:p>
      <w:pPr>
        <w:spacing w:after="0" w:line="181" w:lineRule="exact"/>
        <w:rPr>
          <w:sz w:val="20"/>
          <w:szCs w:val="20"/>
          <w:color w:val="auto"/>
        </w:rPr>
      </w:pPr>
    </w:p>
    <w:p>
      <w:pPr>
        <w:ind w:right="20" w:firstLine="567"/>
        <w:spacing w:after="0" w:line="267" w:lineRule="auto"/>
        <w:rPr>
          <w:sz w:val="20"/>
          <w:szCs w:val="20"/>
          <w:color w:val="auto"/>
        </w:rPr>
      </w:pPr>
      <w:r>
        <w:rPr>
          <w:rFonts w:ascii="Arial" w:cs="Arial" w:eastAsia="Arial" w:hAnsi="Arial"/>
          <w:sz w:val="16"/>
          <w:szCs w:val="16"/>
          <w:color w:val="auto"/>
        </w:rPr>
        <w:t>The unavailability or inadequacy of financing or revenues to meet future capital needs could force us to modify, curtail, delay, or suspend some or all aspects of our planned operations. Sales of additional equity securities could result in the dilution of the interests of present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generated by operations</w:t>
      </w:r>
    </w:p>
    <w:p>
      <w:pPr>
        <w:spacing w:after="0" w:line="218" w:lineRule="exact"/>
        <w:rPr>
          <w:sz w:val="20"/>
          <w:szCs w:val="20"/>
          <w:color w:val="auto"/>
        </w:rPr>
      </w:pPr>
    </w:p>
    <w:p>
      <w:pPr>
        <w:ind w:right="280" w:firstLine="567"/>
        <w:spacing w:after="0" w:line="282" w:lineRule="auto"/>
        <w:rPr>
          <w:sz w:val="20"/>
          <w:szCs w:val="20"/>
          <w:color w:val="auto"/>
        </w:rPr>
      </w:pPr>
      <w:r>
        <w:rPr>
          <w:rFonts w:ascii="Arial" w:cs="Arial" w:eastAsia="Arial" w:hAnsi="Arial"/>
          <w:sz w:val="15"/>
          <w:szCs w:val="15"/>
          <w:color w:val="auto"/>
        </w:rPr>
        <w:t>During 2013, we received $3,857,181 of cash in our operations. Our sources of that cash primarily consisted of $289,655 of royalty revenues from Hospira, $76,838 of royalty revenues from CJ, our final quarterly research grant payment of $392,664 from CIRM, $183,046 research grant payments under two separate grants from the NIH, $1,521,722 in foreign research grants, and $1,393,256 from the sale of research products and subscription and advertisement revenues.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used in operations</w:t>
      </w:r>
    </w:p>
    <w:p>
      <w:pPr>
        <w:spacing w:after="0" w:line="218" w:lineRule="exact"/>
        <w:rPr>
          <w:sz w:val="20"/>
          <w:szCs w:val="20"/>
          <w:color w:val="auto"/>
        </w:rPr>
      </w:pPr>
    </w:p>
    <w:p>
      <w:pPr>
        <w:ind w:firstLine="567"/>
        <w:spacing w:after="0" w:line="268" w:lineRule="auto"/>
        <w:rPr>
          <w:sz w:val="20"/>
          <w:szCs w:val="20"/>
          <w:color w:val="auto"/>
        </w:rPr>
      </w:pPr>
      <w:r>
        <w:rPr>
          <w:rFonts w:ascii="Arial" w:cs="Arial" w:eastAsia="Arial" w:hAnsi="Arial"/>
          <w:sz w:val="15"/>
          <w:szCs w:val="15"/>
          <w:color w:val="auto"/>
        </w:rPr>
        <w:t>During 2013, our total research and development expenditures were $26,609,423 and our general and administrative expenditures were $15,558,674. Net loss attributable to BioTime for the year ended December 31, 2013 amounted to $43,882,835, which included $17,458,766 of IPR&amp;D resulting from the accounting treatment of Asterias’ acquisition of assets from Geron through the Asset Contribution Agreement. Net cash used in operating activities during this period amounted to $29,508,613. The difference between the net loss and net cash used in operating activities during 2013 was primarily attributable to the $17,458,766 of IPR&amp;D, amortization of $3,295,716 in intangible assets, $3,217,875 in stock-based compensation paid to employees and consultants, $2,133,442 in accounts payable and accrued liabilities, $656,759 in depreciation expense, $560,286 in grants receivable, $428,453 in prepaid expenses and other current assets, $109,500 amortization of deferred license fees, and $84,586 amortization of stock-based prepaid rent. This overall difference was offset to some extent by $3,280,695 in deferred income tax benefit, $180,933 in accounts receivables, $915,028 in amortization of deferred license, royalty, and subscription revenues, and net loss of $9,026,291 allocable to the noncontrolling interest in our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 from investing activities</w:t>
      </w:r>
    </w:p>
    <w:p>
      <w:pPr>
        <w:spacing w:after="0" w:line="218" w:lineRule="exact"/>
        <w:rPr>
          <w:sz w:val="20"/>
          <w:szCs w:val="20"/>
          <w:color w:val="auto"/>
        </w:rPr>
      </w:pPr>
    </w:p>
    <w:p>
      <w:pPr>
        <w:ind w:right="100" w:firstLine="567"/>
        <w:spacing w:after="0" w:line="257" w:lineRule="auto"/>
        <w:rPr>
          <w:sz w:val="20"/>
          <w:szCs w:val="20"/>
          <w:color w:val="auto"/>
        </w:rPr>
      </w:pPr>
      <w:r>
        <w:rPr>
          <w:rFonts w:ascii="Arial" w:cs="Arial" w:eastAsia="Arial" w:hAnsi="Arial"/>
          <w:sz w:val="16"/>
          <w:szCs w:val="16"/>
          <w:color w:val="auto"/>
        </w:rPr>
        <w:t>During the year ended December 31, 2013, $3,665,587 was used for investing activities. The primary components of this cash were approximately $2,277,168 used in the purchase of equipment, $1,354,354 in connection with the Asset Contribution Agreement, and a lease security deposit of $64,965, which were offset to some extent by $30,900 proceeds from the sale of equipment.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94" w:name="page95"/>
    <w:bookmarkEnd w:id="94"/>
    <w:p>
      <w:pPr>
        <w:ind w:left="5"/>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Cash generated by financing activities</w:t>
      </w:r>
    </w:p>
    <w:p>
      <w:pPr>
        <w:spacing w:after="0" w:line="218" w:lineRule="exact"/>
        <w:rPr>
          <w:sz w:val="20"/>
          <w:szCs w:val="20"/>
          <w:color w:val="auto"/>
        </w:rPr>
      </w:pPr>
    </w:p>
    <w:p>
      <w:pPr>
        <w:ind w:left="5" w:right="300" w:firstLine="567"/>
        <w:spacing w:after="0" w:line="311" w:lineRule="auto"/>
        <w:rPr>
          <w:sz w:val="20"/>
          <w:szCs w:val="20"/>
          <w:color w:val="auto"/>
        </w:rPr>
      </w:pPr>
      <w:r>
        <w:rPr>
          <w:rFonts w:ascii="Arial" w:cs="Arial" w:eastAsia="Arial" w:hAnsi="Arial"/>
          <w:sz w:val="14"/>
          <w:szCs w:val="14"/>
          <w:color w:val="auto"/>
        </w:rPr>
        <w:t>During the year ended December 31, 2013, we raised gross proceeds of $15,722,340 from the sale of 3,665,646 BioTime common shares at a weighted average price of $4.29 per share in the open market through our Controlled Equity Offering facility with Cantor and through the sale of BioTime common shares held by our majority owned subsidiaries, LifeMap Sciences and Cell Cure Neurosciences. The proceeds of the sale of BioTime shares by our subsidiaries belong to those subsidiaries.</w:t>
      </w:r>
    </w:p>
    <w:p>
      <w:pPr>
        <w:spacing w:after="0" w:line="154" w:lineRule="exact"/>
        <w:rPr>
          <w:sz w:val="20"/>
          <w:szCs w:val="20"/>
          <w:color w:val="auto"/>
        </w:rPr>
      </w:pPr>
    </w:p>
    <w:p>
      <w:pPr>
        <w:ind w:left="5" w:right="80" w:firstLine="567"/>
        <w:spacing w:after="0" w:line="251" w:lineRule="auto"/>
        <w:rPr>
          <w:sz w:val="20"/>
          <w:szCs w:val="20"/>
          <w:color w:val="auto"/>
        </w:rPr>
      </w:pPr>
      <w:r>
        <w:rPr>
          <w:rFonts w:ascii="Arial" w:cs="Arial" w:eastAsia="Arial" w:hAnsi="Arial"/>
          <w:sz w:val="16"/>
          <w:szCs w:val="16"/>
          <w:color w:val="auto"/>
        </w:rPr>
        <w:t>On January 4, 2013, we and a private investor entered into a Stock and Warrant Purchase Agreement under which the investor agreed to invest $5,000,000 in BioTime by purchasing, in two tranches, an aggregate of 1,350,000 BioTime common shares and warrants to purchase approximately 650,000 additional BioTime common shares. The first tranche of $2,000,000 was funded on January 14, 2013, and we issued to the investor 540,000 common shares and 259,999 warrants. We received the second tranche of $3,000,000 on April 10, 2013 at which time we issued to the investor 810,000 common shares, and warrants to purchase an additional 389,999 common shares at an exercise price of $5 per share.</w:t>
      </w:r>
    </w:p>
    <w:p>
      <w:pPr>
        <w:spacing w:after="0" w:line="196" w:lineRule="exact"/>
        <w:rPr>
          <w:sz w:val="20"/>
          <w:szCs w:val="20"/>
          <w:color w:val="auto"/>
        </w:rPr>
      </w:pPr>
    </w:p>
    <w:p>
      <w:pPr>
        <w:ind w:left="5" w:right="40" w:firstLine="567"/>
        <w:spacing w:after="0" w:line="253" w:lineRule="auto"/>
        <w:rPr>
          <w:sz w:val="20"/>
          <w:szCs w:val="20"/>
          <w:color w:val="auto"/>
        </w:rPr>
      </w:pPr>
      <w:r>
        <w:rPr>
          <w:rFonts w:ascii="Arial" w:cs="Arial" w:eastAsia="Arial" w:hAnsi="Arial"/>
          <w:sz w:val="16"/>
          <w:szCs w:val="16"/>
          <w:color w:val="auto"/>
        </w:rPr>
        <w:t>On March 14, 2013, ReCyte Therapeutics and one of its shareholders entered into a Stock Purchase Agreement under which the shareholder agreed to purchase 81,169 additional ReCyte Therapeutics common shares for approximately $250,000, reflecting a purchase price of $3.08 per share. In March 2013, ReCyte Therapeutics received $125,000 for which 40,584 ReCyte Therapeutics common shares were issued. ReCyte Therapeutics received the remaining $125,000 in May 2013 at which time it issued the remaining 40,585 common shares.</w:t>
      </w:r>
    </w:p>
    <w:p>
      <w:pPr>
        <w:spacing w:after="0" w:line="193" w:lineRule="exact"/>
        <w:rPr>
          <w:sz w:val="20"/>
          <w:szCs w:val="20"/>
          <w:color w:val="auto"/>
        </w:rPr>
      </w:pPr>
    </w:p>
    <w:p>
      <w:pPr>
        <w:ind w:left="5" w:right="40" w:firstLine="567"/>
        <w:spacing w:after="0" w:line="251" w:lineRule="auto"/>
        <w:rPr>
          <w:sz w:val="20"/>
          <w:szCs w:val="20"/>
          <w:color w:val="auto"/>
        </w:rPr>
      </w:pPr>
      <w:r>
        <w:rPr>
          <w:rFonts w:ascii="Arial" w:cs="Arial" w:eastAsia="Arial" w:hAnsi="Arial"/>
          <w:sz w:val="16"/>
          <w:szCs w:val="16"/>
          <w:color w:val="auto"/>
        </w:rPr>
        <w:t>On June 6, 2013, we sold an aggregate of 2,180,016 common shares and 545,004 warrants to purchase common shares, in "units" with each unit consisting of one common share and one-quarter of a warrant, at an offering price of $4.155 per unit, to certain investors through an offering registered under the Securities Act. We received gross proceeds of $9,057,967 from the sale of the common shares and warrants. The warrants have an initial exercise price of $5.00 per share and are exercisable during the five year period beginning on the date of issuance, June 6, 2013. We paid certain participating broker-dealers fees of $121,209 representing 5% of the aggregate purchase price of the units purchased by investors introduced to us by them.</w:t>
      </w:r>
    </w:p>
    <w:p>
      <w:pPr>
        <w:spacing w:after="0" w:line="196"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218" w:lineRule="exact"/>
        <w:rPr>
          <w:sz w:val="20"/>
          <w:szCs w:val="20"/>
          <w:color w:val="auto"/>
        </w:rPr>
      </w:pPr>
    </w:p>
    <w:p>
      <w:pPr>
        <w:ind w:left="565"/>
        <w:spacing w:after="0"/>
        <w:rPr>
          <w:sz w:val="20"/>
          <w:szCs w:val="20"/>
          <w:color w:val="auto"/>
        </w:rPr>
      </w:pPr>
      <w:r>
        <w:rPr>
          <w:rFonts w:ascii="Arial" w:cs="Arial" w:eastAsia="Arial" w:hAnsi="Arial"/>
          <w:sz w:val="16"/>
          <w:szCs w:val="16"/>
          <w:color w:val="auto"/>
        </w:rPr>
        <w:t>As of December 31, 2013, our contractual obligations for the next five years and thereafter were as follows:</w:t>
      </w:r>
    </w:p>
    <w:p>
      <w:pPr>
        <w:spacing w:after="0" w:line="214" w:lineRule="exact"/>
        <w:rPr>
          <w:sz w:val="20"/>
          <w:szCs w:val="20"/>
          <w:color w:val="auto"/>
        </w:rPr>
      </w:pPr>
    </w:p>
    <w:tbl>
      <w:tblPr>
        <w:tblLayout w:type="fixed"/>
        <w:tblInd w:w="5" w:type="dxa"/>
        <w:tblCellMar>
          <w:top w:w="0" w:type="dxa"/>
          <w:left w:w="0" w:type="dxa"/>
          <w:bottom w:w="0" w:type="dxa"/>
          <w:right w:w="0" w:type="dxa"/>
        </w:tblCellMar>
      </w:tblP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8"/>
          </w:tcPr>
          <w:p>
            <w:pPr>
              <w:ind w:left="620"/>
              <w:spacing w:after="0"/>
              <w:rPr>
                <w:sz w:val="20"/>
                <w:szCs w:val="20"/>
                <w:color w:val="auto"/>
              </w:rPr>
            </w:pPr>
            <w:r>
              <w:rPr>
                <w:rFonts w:ascii="Arial" w:cs="Arial" w:eastAsia="Arial" w:hAnsi="Arial"/>
                <w:sz w:val="16"/>
                <w:szCs w:val="16"/>
                <w:b w:val="1"/>
                <w:bCs w:val="1"/>
                <w:color w:val="auto"/>
              </w:rPr>
              <w:t>Principal Payments Due by Period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700" w:type="dxa"/>
            <w:vAlign w:val="bottom"/>
            <w:gridSpan w:val="2"/>
            <w:vMerge w:val="restart"/>
          </w:tcPr>
          <w:p>
            <w:pPr>
              <w:ind w:left="1380"/>
              <w:spacing w:after="0"/>
              <w:rPr>
                <w:sz w:val="20"/>
                <w:szCs w:val="20"/>
                <w:color w:val="auto"/>
              </w:rPr>
            </w:pPr>
            <w:r>
              <w:rPr>
                <w:rFonts w:ascii="Arial" w:cs="Arial" w:eastAsia="Arial" w:hAnsi="Arial"/>
                <w:sz w:val="16"/>
                <w:szCs w:val="16"/>
                <w:b w:val="1"/>
                <w:bCs w:val="1"/>
                <w:color w:val="auto"/>
              </w:rPr>
              <w:t xml:space="preserve">Contractual Obligations </w:t>
            </w:r>
            <w:r>
              <w:rPr>
                <w:rFonts w:ascii="Arial" w:cs="Arial" w:eastAsia="Arial" w:hAnsi="Arial"/>
                <w:sz w:val="26"/>
                <w:szCs w:val="26"/>
                <w:b w:val="1"/>
                <w:bCs w:val="1"/>
                <w:color w:val="auto"/>
                <w:vertAlign w:val="superscript"/>
              </w:rPr>
              <w:t>(1)</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81"/>
              <w:spacing w:after="0" w:line="173" w:lineRule="exact"/>
              <w:rPr>
                <w:sz w:val="20"/>
                <w:szCs w:val="20"/>
                <w:color w:val="auto"/>
              </w:rPr>
            </w:pPr>
            <w:r>
              <w:rPr>
                <w:rFonts w:ascii="Arial" w:cs="Arial" w:eastAsia="Arial" w:hAnsi="Arial"/>
                <w:sz w:val="16"/>
                <w:szCs w:val="16"/>
                <w:b w:val="1"/>
                <w:bCs w:val="1"/>
                <w:color w:val="auto"/>
                <w:w w:val="88"/>
              </w:rPr>
              <w:t>Less Than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121"/>
              <w:spacing w:after="0" w:line="173" w:lineRule="exact"/>
              <w:rPr>
                <w:sz w:val="20"/>
                <w:szCs w:val="20"/>
                <w:color w:val="auto"/>
              </w:rPr>
            </w:pPr>
            <w:r>
              <w:rPr>
                <w:rFonts w:ascii="Arial" w:cs="Arial" w:eastAsia="Arial" w:hAnsi="Arial"/>
                <w:sz w:val="16"/>
                <w:szCs w:val="16"/>
                <w:b w:val="1"/>
                <w:bCs w:val="1"/>
                <w:color w:val="auto"/>
                <w:w w:val="96"/>
              </w:rPr>
              <w:t>After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020" w:type="dxa"/>
            <w:vAlign w:val="bottom"/>
          </w:tcPr>
          <w:p>
            <w:pPr>
              <w:jc w:val="center"/>
              <w:ind w:right="81"/>
              <w:spacing w:after="0"/>
              <w:rPr>
                <w:sz w:val="20"/>
                <w:szCs w:val="20"/>
                <w:color w:val="auto"/>
              </w:rPr>
            </w:pPr>
            <w:r>
              <w:rPr>
                <w:rFonts w:ascii="Arial" w:cs="Arial" w:eastAsia="Arial" w:hAnsi="Arial"/>
                <w:sz w:val="16"/>
                <w:szCs w:val="16"/>
                <w:b w:val="1"/>
                <w:bCs w:val="1"/>
                <w:color w:val="auto"/>
                <w:w w:val="87"/>
              </w:rPr>
              <w:t>1 Year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81"/>
              <w:spacing w:after="0"/>
              <w:rPr>
                <w:sz w:val="20"/>
                <w:szCs w:val="20"/>
                <w:color w:val="auto"/>
              </w:rPr>
            </w:pPr>
            <w:r>
              <w:rPr>
                <w:rFonts w:ascii="Arial" w:cs="Arial" w:eastAsia="Arial" w:hAnsi="Arial"/>
                <w:sz w:val="16"/>
                <w:szCs w:val="16"/>
                <w:b w:val="1"/>
                <w:bCs w:val="1"/>
                <w:color w:val="auto"/>
                <w:w w:val="98"/>
              </w:rPr>
              <w:t>1-3 Years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4-5 Years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5 Years</w:t>
            </w:r>
          </w:p>
        </w:tc>
        <w:tc>
          <w:tcPr>
            <w:tcW w:w="0" w:type="dxa"/>
            <w:vAlign w:val="bottom"/>
          </w:tcPr>
          <w:p>
            <w:pPr>
              <w:spacing w:after="0"/>
              <w:rPr>
                <w:sz w:val="1"/>
                <w:szCs w:val="1"/>
                <w:color w:val="auto"/>
              </w:rPr>
            </w:pPr>
          </w:p>
        </w:tc>
      </w:tr>
      <w:tr>
        <w:trPr>
          <w:trHeight w:val="189"/>
        </w:trPr>
        <w:tc>
          <w:tcPr>
            <w:tcW w:w="45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3"/>
                <w:szCs w:val="13"/>
                <w:color w:val="auto"/>
              </w:rPr>
              <w:t xml:space="preserve">Operating leases </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12,271,106</w:t>
            </w: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1,188,316</w:t>
            </w: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3,240,670</w:t>
            </w: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2,579,280</w:t>
            </w: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5,262,840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85" w:hanging="285"/>
        <w:spacing w:after="0"/>
        <w:tabs>
          <w:tab w:leader="none" w:pos="285"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This table does not include payments to key employees that could arise if they were involuntary terminated or if their employment terminated following a change in control.</w:t>
      </w:r>
    </w:p>
    <w:p>
      <w:pPr>
        <w:spacing w:after="0" w:line="39" w:lineRule="exact"/>
        <w:rPr>
          <w:rFonts w:ascii="Arial" w:cs="Arial" w:eastAsia="Arial" w:hAnsi="Arial"/>
          <w:sz w:val="14"/>
          <w:szCs w:val="14"/>
          <w:color w:val="auto"/>
        </w:rPr>
      </w:pPr>
    </w:p>
    <w:p>
      <w:pPr>
        <w:ind w:left="285" w:right="20" w:hanging="285"/>
        <w:spacing w:after="0" w:line="253" w:lineRule="auto"/>
        <w:tabs>
          <w:tab w:leader="none" w:pos="2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the lease of our principal office and laboratory facilities in Alameda, California, and leases of the offices and laboratory facilities of our subsidiaries Asterias, ESI, LifeMap Sciences, and Cell Cure Neurosciences.</w:t>
      </w:r>
    </w:p>
    <w:p>
      <w:pPr>
        <w:spacing w:after="0" w:line="192"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Future capital needs</w:t>
      </w:r>
    </w:p>
    <w:p>
      <w:pPr>
        <w:spacing w:after="0" w:line="218" w:lineRule="exact"/>
        <w:rPr>
          <w:sz w:val="20"/>
          <w:szCs w:val="20"/>
          <w:color w:val="auto"/>
        </w:rPr>
      </w:pPr>
    </w:p>
    <w:p>
      <w:pPr>
        <w:ind w:left="5" w:right="240" w:firstLine="567"/>
        <w:spacing w:after="0" w:line="276" w:lineRule="auto"/>
        <w:rPr>
          <w:sz w:val="20"/>
          <w:szCs w:val="20"/>
          <w:color w:val="auto"/>
        </w:rPr>
      </w:pPr>
      <w:r>
        <w:rPr>
          <w:rFonts w:ascii="Arial" w:cs="Arial" w:eastAsia="Arial" w:hAnsi="Arial"/>
          <w:sz w:val="15"/>
          <w:szCs w:val="15"/>
          <w:color w:val="auto"/>
        </w:rPr>
        <w:t>The completion of the acquisition of Geron’s stem cell related assets by our subsidiary Asterias will result in an increase in our operating expenses and losses on a consolidated basis, and will increase our need for additional capital. Asterias will use the acquired stem cell assets for the research and development of products for regenerative medicine. Asterias’ research and development efforts will involve substantial expense, including but not limited to hiring additional research and management personnel, and the lease of additional research or manufacturing space that will add to our losses on a consolidated basis for the near future.</w:t>
      </w:r>
    </w:p>
    <w:p>
      <w:pPr>
        <w:spacing w:after="0" w:line="125"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95" w:name="page96"/>
    <w:bookmarkEnd w:id="9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jc w:val="both"/>
        <w:ind w:right="80" w:firstLine="567"/>
        <w:spacing w:after="0" w:line="257" w:lineRule="auto"/>
        <w:rPr>
          <w:sz w:val="20"/>
          <w:szCs w:val="20"/>
          <w:color w:val="auto"/>
        </w:rPr>
      </w:pPr>
      <w:r>
        <w:rPr>
          <w:rFonts w:ascii="Arial" w:cs="Arial" w:eastAsia="Arial" w:hAnsi="Arial"/>
          <w:sz w:val="16"/>
          <w:szCs w:val="16"/>
          <w:color w:val="auto"/>
        </w:rPr>
        <w:t>Also, Asterias is now a public company. As a public company, Asterias will incur costs associated with audits of its financial statements, filing annual, quarterly, and other periodic reports with the SEC, holding annual shareholder meetings, listing its common stock for trading, and public relations and investor relations. These costs will be in addition to those incurred by us for similar purposes.</w:t>
      </w:r>
    </w:p>
    <w:p>
      <w:pPr>
        <w:spacing w:after="0" w:line="189" w:lineRule="exact"/>
        <w:rPr>
          <w:sz w:val="20"/>
          <w:szCs w:val="20"/>
          <w:color w:val="auto"/>
        </w:rPr>
      </w:pPr>
    </w:p>
    <w:p>
      <w:pPr>
        <w:ind w:right="60" w:firstLine="567"/>
        <w:spacing w:after="0" w:line="257" w:lineRule="auto"/>
        <w:rPr>
          <w:sz w:val="20"/>
          <w:szCs w:val="20"/>
          <w:color w:val="auto"/>
        </w:rPr>
      </w:pPr>
      <w:r>
        <w:rPr>
          <w:rFonts w:ascii="Arial" w:cs="Arial" w:eastAsia="Arial" w:hAnsi="Arial"/>
          <w:sz w:val="16"/>
          <w:szCs w:val="16"/>
          <w:color w:val="auto"/>
        </w:rPr>
        <w:t>We will need to continue to sell common shares from time to time through our Controlled Equity Offering sales agreement with Cantor, and our other subsidiaries may also seek to raise capital through the sale of their capital stock. We and our subsidiaries will also seek funding for our research and development programs from other sources such as research grants and other arrangements with third parties.</w:t>
      </w:r>
    </w:p>
    <w:p>
      <w:pPr>
        <w:spacing w:after="0" w:line="189" w:lineRule="exact"/>
        <w:rPr>
          <w:sz w:val="20"/>
          <w:szCs w:val="20"/>
          <w:color w:val="auto"/>
        </w:rPr>
      </w:pPr>
    </w:p>
    <w:p>
      <w:pPr>
        <w:ind w:right="260" w:firstLine="567"/>
        <w:spacing w:after="0" w:line="311" w:lineRule="auto"/>
        <w:rPr>
          <w:sz w:val="20"/>
          <w:szCs w:val="20"/>
          <w:color w:val="auto"/>
        </w:rPr>
      </w:pPr>
      <w:r>
        <w:rPr>
          <w:rFonts w:ascii="Arial" w:cs="Arial" w:eastAsia="Arial" w:hAnsi="Arial"/>
          <w:sz w:val="14"/>
          <w:szCs w:val="14"/>
          <w:color w:val="auto"/>
        </w:rPr>
        <w:t>We are consolidating the sales and marketing of our research products in a new ESI BIO division. As part of this plan, we expect to shift our sales and marketing efforts from a website based effort to one that utilizes more sales personnel who may be employees or independent sales representatives. We also plan to expand our product offerings. This effort will require additional expenditures for the development of new research products and the addition of assets and personnel for sales and marketing purposes.</w:t>
      </w:r>
    </w:p>
    <w:p>
      <w:pPr>
        <w:spacing w:after="0" w:line="154" w:lineRule="exact"/>
        <w:rPr>
          <w:sz w:val="20"/>
          <w:szCs w:val="20"/>
          <w:color w:val="auto"/>
        </w:rPr>
      </w:pPr>
    </w:p>
    <w:p>
      <w:pPr>
        <w:ind w:right="20" w:firstLine="567"/>
        <w:spacing w:after="0" w:line="253" w:lineRule="auto"/>
        <w:rPr>
          <w:sz w:val="20"/>
          <w:szCs w:val="20"/>
          <w:color w:val="auto"/>
        </w:rPr>
      </w:pPr>
      <w:r>
        <w:rPr>
          <w:rFonts w:ascii="Arial" w:cs="Arial" w:eastAsia="Arial" w:hAnsi="Arial"/>
          <w:sz w:val="16"/>
          <w:szCs w:val="16"/>
          <w:color w:val="auto"/>
        </w:rPr>
        <w:t>The amount and pace of research and development work that we and our subsidiaries can do or sponsor, and our ability to commence and complete the clinical trials that are required in order for us to obtain FDA and foreign regulatory approval of products, depend upon the amount of money we and our subsidiaries have. Future research and clinical study costs are not presently determinable due to many factors, including the inherent uncertainty of these costs and the uncertainty as to timing, source, and amount of capital that will become available for our projects.</w:t>
      </w:r>
    </w:p>
    <w:p>
      <w:pPr>
        <w:spacing w:after="0" w:line="193" w:lineRule="exact"/>
        <w:rPr>
          <w:sz w:val="20"/>
          <w:szCs w:val="20"/>
          <w:color w:val="auto"/>
        </w:rPr>
      </w:pPr>
    </w:p>
    <w:p>
      <w:pPr>
        <w:ind w:firstLine="567"/>
        <w:spacing w:after="0" w:line="253" w:lineRule="auto"/>
        <w:rPr>
          <w:sz w:val="20"/>
          <w:szCs w:val="20"/>
          <w:color w:val="auto"/>
        </w:rPr>
      </w:pPr>
      <w:r>
        <w:rPr>
          <w:rFonts w:ascii="Arial" w:cs="Arial" w:eastAsia="Arial" w:hAnsi="Arial"/>
          <w:sz w:val="16"/>
          <w:szCs w:val="16"/>
          <w:color w:val="auto"/>
        </w:rPr>
        <w:t>The market value and the volatility of our stock price, as well as general market conditions, could impact our ability to raise capital on favorable terms, or at all. Any equity financing that we or our subsidiaries obtain may further dilute or otherwise impair the ownership interests of our current shareholders. If we and our subsidiaries fail to generate positive cash flows or fail to obtain additional capital when required, we and our subsidiaries could modify, delay or abandon some or all of our respective research and development programs.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2013, we did not have any off-balance sheet arrangements, as defined in Item 303(a)(4)(ii) of SEC Regulation 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218" w:lineRule="exact"/>
        <w:rPr>
          <w:sz w:val="20"/>
          <w:szCs w:val="20"/>
          <w:color w:val="auto"/>
        </w:rPr>
      </w:pPr>
    </w:p>
    <w:p>
      <w:pPr>
        <w:ind w:right="60" w:firstLine="567"/>
        <w:spacing w:after="0" w:line="293" w:lineRule="auto"/>
        <w:rPr>
          <w:sz w:val="20"/>
          <w:szCs w:val="20"/>
          <w:color w:val="auto"/>
        </w:rPr>
      </w:pPr>
      <w:r>
        <w:rPr>
          <w:rFonts w:ascii="Arial" w:cs="Arial" w:eastAsia="Arial" w:hAnsi="Arial"/>
          <w:sz w:val="14"/>
          <w:szCs w:val="14"/>
          <w:color w:val="auto"/>
        </w:rPr>
        <w:t>We are exposed to some foreign exchange currency risks because we have subsidiaries that are located in foreign countries. We do not engage in foreign currency hedging activities. Because we translate foreign currencies into United States dollars for reporting purposes, currency fluctuations have an impact on our financial results. We believe that our exposure to currency exchange fluctuation risk is mitigated by the fact that our foreign subsidiaries pay their financial obligations almost exclusively in their local currency. As of December 31, 2013, currency exchange rates did not have a material impact on our intercompany transactions with our foreign subsidiaries. However, a weakening of the dollar against the foreign exchange used in the home countries of our foreign subsidiaries could increase our cost of providing additional financing to our foreign subsidiaries in the future. Conversely, a strengthening of the dollar would decrease our cost of making additional investments in those subsidiaries.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96" w:name="page97"/>
    <w:bookmarkEnd w:id="9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Risk</w:t>
      </w:r>
    </w:p>
    <w:p>
      <w:pPr>
        <w:spacing w:after="0" w:line="218" w:lineRule="exact"/>
        <w:rPr>
          <w:sz w:val="20"/>
          <w:szCs w:val="20"/>
          <w:color w:val="auto"/>
        </w:rPr>
      </w:pPr>
    </w:p>
    <w:p>
      <w:pPr>
        <w:ind w:right="180" w:firstLine="567"/>
        <w:spacing w:after="0" w:line="253" w:lineRule="auto"/>
        <w:rPr>
          <w:sz w:val="20"/>
          <w:szCs w:val="20"/>
          <w:color w:val="auto"/>
        </w:rPr>
      </w:pPr>
      <w:r>
        <w:rPr>
          <w:rFonts w:ascii="Arial" w:cs="Arial" w:eastAsia="Arial" w:hAnsi="Arial"/>
          <w:sz w:val="16"/>
          <w:szCs w:val="16"/>
          <w:color w:val="auto"/>
        </w:rPr>
        <w:t>We place some of our cash in U.S. banks and invest most of our cash in money market funds. Deposits with banks may temporarily exceed the amount of insurance provided on such deposits. We will monitor the cash balances in the accounts and adjust the cash balances as appropriate, but if the amount of a deposit at any time exceeds the federally insured amount at a bank, the uninsured portion of the deposit could be lost, in whole or in part, if the bank were to fail. Our investments in money market funds are not insured or guaranteed by the United States government or any of its agencies.</w:t>
      </w:r>
    </w:p>
    <w:p>
      <w:pPr>
        <w:spacing w:after="0" w:line="193" w:lineRule="exact"/>
        <w:rPr>
          <w:sz w:val="20"/>
          <w:szCs w:val="20"/>
          <w:color w:val="auto"/>
        </w:rPr>
      </w:pPr>
    </w:p>
    <w:p>
      <w:pPr>
        <w:ind w:right="300" w:firstLine="567"/>
        <w:spacing w:after="0" w:line="267" w:lineRule="auto"/>
        <w:rPr>
          <w:sz w:val="20"/>
          <w:szCs w:val="20"/>
          <w:color w:val="auto"/>
        </w:rPr>
      </w:pPr>
      <w:r>
        <w:rPr>
          <w:rFonts w:ascii="Arial" w:cs="Arial" w:eastAsia="Arial" w:hAnsi="Arial"/>
          <w:sz w:val="16"/>
          <w:szCs w:val="16"/>
          <w:color w:val="auto"/>
        </w:rPr>
        <w:t>Our foreign subsidiaries deposit their cash in local banks, but if the amount of a deposit at any time exceeds the amount at a bank under the national banking insurance laws, the uninsured portion of the deposit could be lost, in whole or in part, if the bank were to fail.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218" w:lineRule="exact"/>
        <w:rPr>
          <w:sz w:val="20"/>
          <w:szCs w:val="20"/>
          <w:color w:val="auto"/>
        </w:rPr>
      </w:pPr>
    </w:p>
    <w:p>
      <w:pPr>
        <w:ind w:firstLine="567"/>
        <w:spacing w:after="0" w:line="257" w:lineRule="auto"/>
        <w:rPr>
          <w:sz w:val="20"/>
          <w:szCs w:val="20"/>
          <w:color w:val="auto"/>
        </w:rPr>
      </w:pPr>
      <w:r>
        <w:rPr>
          <w:rFonts w:ascii="Arial" w:cs="Arial" w:eastAsia="Arial" w:hAnsi="Arial"/>
          <w:sz w:val="16"/>
          <w:szCs w:val="16"/>
          <w:color w:val="auto"/>
        </w:rPr>
        <w:t>We invest most of our cash in money market funds. The primary objective of our investments will be to preserve principal and liquidity while earning a return on our invested capital, without incurring significant risks. Our future investment income is not guaranteed and may fall short of expectations due to changes in prevailing interest rates, or we may suffer losses in principal if the net asset value of a money market fund falls below $1 per share.</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60"/>
          </w:cols>
          <w:pgMar w:left="240" w:top="124" w:right="299" w:bottom="1440" w:gutter="0" w:footer="0" w:header="0"/>
        </w:sectPr>
      </w:pPr>
    </w:p>
    <w:bookmarkStart w:id="97" w:name="page98"/>
    <w:bookmarkEnd w:id="9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BioTime, Inc.</w:t>
      </w:r>
    </w:p>
    <w:p>
      <w:pPr>
        <w:spacing w:after="0" w:line="372"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 xml:space="preserve">We have audited the accompanying consolidated balance sheets of BioTime, Inc. and subsidiaries (collectively, the “Company”) as of December 31, 2013 and 2012, and the related consolidated statements of operations, changes in equity, and cash flows for each of the years in the three-year period ended December 31, 2013. We also have audited the Company’s internal control over financial reporting as of December 31, 2013,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360"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consolidated financial statements, assessing the accounting principles used and significant estimates made by management, and evaluating the overall consolidated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3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BioTime, Inc. and subsidiaries as of December 31, 2013 and 2012, and the results of their operations and their cash flows for each of the years in the three-year period ended December 31, 2013, in conformity with accounting principles generally accepted in the United States of America. Also in our opinion, the Company maintained, in all material respects, effective internal control over financial reporting as of December 31, 2013,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/s/ Rothstein Kass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March 17, 2014</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7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33"/>
        </w:trPr>
        <w:tc>
          <w:tcPr>
            <w:tcW w:w="8740" w:type="dxa"/>
            <w:vAlign w:val="bottom"/>
            <w:gridSpan w:val="2"/>
          </w:tcPr>
          <w:p>
            <w:pPr>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2"/>
        </w:trPr>
        <w:tc>
          <w:tcPr>
            <w:tcW w:w="880" w:type="dxa"/>
            <w:vAlign w:val="bottom"/>
          </w:tcPr>
          <w:p>
            <w:pPr>
              <w:spacing w:after="0"/>
              <w:rPr>
                <w:sz w:val="24"/>
                <w:szCs w:val="24"/>
                <w:color w:val="auto"/>
              </w:rPr>
            </w:pPr>
          </w:p>
        </w:tc>
        <w:tc>
          <w:tcPr>
            <w:tcW w:w="7860" w:type="dxa"/>
            <w:vAlign w:val="bottom"/>
          </w:tcPr>
          <w:p>
            <w:pPr>
              <w:jc w:val="center"/>
              <w:ind w:left="1741"/>
              <w:spacing w:after="0"/>
              <w:rPr>
                <w:sz w:val="20"/>
                <w:szCs w:val="20"/>
                <w:color w:val="auto"/>
              </w:rPr>
            </w:pPr>
            <w:r>
              <w:rPr>
                <w:rFonts w:ascii="Arial" w:cs="Arial" w:eastAsia="Arial" w:hAnsi="Arial"/>
                <w:sz w:val="16"/>
                <w:szCs w:val="16"/>
                <w:b w:val="1"/>
                <w:bCs w:val="1"/>
                <w:color w:val="auto"/>
                <w:w w:val="99"/>
              </w:rPr>
              <w:t>BIOTIME, INC.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2"/>
        </w:trPr>
        <w:tc>
          <w:tcPr>
            <w:tcW w:w="880" w:type="dxa"/>
            <w:vAlign w:val="bottom"/>
          </w:tcPr>
          <w:p>
            <w:pPr>
              <w:spacing w:after="0"/>
              <w:rPr>
                <w:sz w:val="24"/>
                <w:szCs w:val="24"/>
                <w:color w:val="auto"/>
              </w:rPr>
            </w:pPr>
          </w:p>
        </w:tc>
        <w:tc>
          <w:tcPr>
            <w:tcW w:w="7860" w:type="dxa"/>
            <w:vAlign w:val="bottom"/>
          </w:tcPr>
          <w:p>
            <w:pPr>
              <w:jc w:val="center"/>
              <w:ind w:left="1741"/>
              <w:spacing w:after="0"/>
              <w:rPr>
                <w:sz w:val="20"/>
                <w:szCs w:val="20"/>
                <w:color w:val="auto"/>
              </w:rPr>
            </w:pPr>
            <w:r>
              <w:rPr>
                <w:rFonts w:ascii="Arial" w:cs="Arial" w:eastAsia="Arial" w:hAnsi="Arial"/>
                <w:sz w:val="16"/>
                <w:szCs w:val="16"/>
                <w:b w:val="1"/>
                <w:bCs w:val="1"/>
                <w:color w:val="auto"/>
                <w:w w:val="97"/>
              </w:rPr>
              <w:t>CONSOLIDATED BALANCE SHEETS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8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December 31,</w:t>
            </w:r>
          </w:p>
        </w:tc>
      </w:tr>
      <w:tr>
        <w:trPr>
          <w:trHeight w:val="205"/>
        </w:trPr>
        <w:tc>
          <w:tcPr>
            <w:tcW w:w="88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2013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17"/>
                <w:szCs w:val="17"/>
                <w:color w:val="auto"/>
              </w:rPr>
            </w:pPr>
          </w:p>
        </w:tc>
      </w:tr>
      <w:tr>
        <w:trPr>
          <w:trHeight w:val="366"/>
        </w:trPr>
        <w:tc>
          <w:tcPr>
            <w:tcW w:w="874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1"/>
        </w:trPr>
        <w:tc>
          <w:tcPr>
            <w:tcW w:w="87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0"/>
        </w:trPr>
        <w:tc>
          <w:tcPr>
            <w:tcW w:w="8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5,495,478</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4,349,967</w:t>
            </w:r>
          </w:p>
        </w:tc>
      </w:tr>
      <w:tr>
        <w:trPr>
          <w:trHeight w:val="189"/>
        </w:trPr>
        <w:tc>
          <w:tcPr>
            <w:tcW w:w="8740" w:type="dxa"/>
            <w:vAlign w:val="bottom"/>
            <w:gridSpan w:val="2"/>
          </w:tcPr>
          <w:p>
            <w:pPr>
              <w:ind w:left="100"/>
              <w:spacing w:after="0"/>
              <w:rPr>
                <w:sz w:val="20"/>
                <w:szCs w:val="20"/>
                <w:color w:val="auto"/>
              </w:rPr>
            </w:pPr>
            <w:r>
              <w:rPr>
                <w:rFonts w:ascii="Arial" w:cs="Arial" w:eastAsia="Arial" w:hAnsi="Arial"/>
                <w:sz w:val="16"/>
                <w:szCs w:val="16"/>
                <w:color w:val="auto"/>
              </w:rPr>
              <w:t>Inventory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178,694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55,316</w:t>
            </w:r>
          </w:p>
        </w:tc>
      </w:tr>
      <w:tr>
        <w:trPr>
          <w:trHeight w:val="189"/>
        </w:trPr>
        <w:tc>
          <w:tcPr>
            <w:tcW w:w="8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2,275,798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2,774,196</w:t>
            </w:r>
          </w:p>
        </w:tc>
      </w:tr>
      <w:tr>
        <w:trPr>
          <w:trHeight w:val="24"/>
        </w:trPr>
        <w:tc>
          <w:tcPr>
            <w:tcW w:w="880" w:type="dxa"/>
            <w:vAlign w:val="bottom"/>
            <w:shd w:val="clear" w:color="auto" w:fill="CCEEFF"/>
          </w:tcPr>
          <w:p>
            <w:pPr>
              <w:spacing w:after="0"/>
              <w:rPr>
                <w:sz w:val="2"/>
                <w:szCs w:val="2"/>
                <w:color w:val="auto"/>
              </w:rPr>
            </w:pPr>
          </w:p>
        </w:tc>
        <w:tc>
          <w:tcPr>
            <w:tcW w:w="7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9"/>
        </w:trPr>
        <w:tc>
          <w:tcPr>
            <w:tcW w:w="8740" w:type="dxa"/>
            <w:vAlign w:val="bottom"/>
            <w:gridSpan w:val="2"/>
          </w:tcPr>
          <w:p>
            <w:pPr>
              <w:ind w:left="280"/>
              <w:spacing w:after="0"/>
              <w:rPr>
                <w:sz w:val="20"/>
                <w:szCs w:val="20"/>
                <w:color w:val="auto"/>
              </w:rPr>
            </w:pPr>
            <w:r>
              <w:rPr>
                <w:rFonts w:ascii="Arial" w:cs="Arial" w:eastAsia="Arial" w:hAnsi="Arial"/>
                <w:sz w:val="16"/>
                <w:szCs w:val="16"/>
                <w:color w:val="auto"/>
              </w:rPr>
              <w:t>Total current assets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7,949,970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7,179,479</w:t>
            </w:r>
          </w:p>
        </w:tc>
      </w:tr>
      <w:tr>
        <w:trPr>
          <w:trHeight w:val="189"/>
        </w:trPr>
        <w:tc>
          <w:tcPr>
            <w:tcW w:w="880" w:type="dxa"/>
            <w:vAlign w:val="bottom"/>
            <w:shd w:val="clear" w:color="auto" w:fill="CCEEFF"/>
          </w:tcPr>
          <w:p>
            <w:pPr>
              <w:spacing w:after="0"/>
              <w:rPr>
                <w:sz w:val="16"/>
                <w:szCs w:val="16"/>
                <w:color w:val="auto"/>
              </w:rPr>
            </w:pPr>
          </w:p>
        </w:tc>
        <w:tc>
          <w:tcPr>
            <w:tcW w:w="7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spacing w:after="0"/>
              <w:rPr>
                <w:sz w:val="16"/>
                <w:szCs w:val="16"/>
                <w:color w:val="auto"/>
              </w:rPr>
            </w:pPr>
          </w:p>
        </w:tc>
      </w:tr>
      <w:tr>
        <w:trPr>
          <w:trHeight w:val="189"/>
        </w:trPr>
        <w:tc>
          <w:tcPr>
            <w:tcW w:w="8740" w:type="dxa"/>
            <w:vAlign w:val="bottom"/>
            <w:gridSpan w:val="2"/>
          </w:tcPr>
          <w:p>
            <w:pPr>
              <w:ind w:left="100"/>
              <w:spacing w:after="0"/>
              <w:rPr>
                <w:sz w:val="20"/>
                <w:szCs w:val="20"/>
                <w:color w:val="auto"/>
              </w:rPr>
            </w:pPr>
            <w:r>
              <w:rPr>
                <w:rFonts w:ascii="Arial" w:cs="Arial" w:eastAsia="Arial" w:hAnsi="Arial"/>
                <w:sz w:val="16"/>
                <w:szCs w:val="16"/>
                <w:color w:val="auto"/>
              </w:rPr>
              <w:t>Equipment, 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2,997,733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1,348,554</w:t>
            </w:r>
          </w:p>
        </w:tc>
      </w:tr>
      <w:tr>
        <w:trPr>
          <w:trHeight w:val="189"/>
        </w:trPr>
        <w:tc>
          <w:tcPr>
            <w:tcW w:w="8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Deferred license and consulting fees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444,833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669,326</w:t>
            </w:r>
          </w:p>
        </w:tc>
      </w:tr>
      <w:tr>
        <w:trPr>
          <w:trHeight w:val="189"/>
        </w:trPr>
        <w:tc>
          <w:tcPr>
            <w:tcW w:w="8740" w:type="dxa"/>
            <w:vAlign w:val="bottom"/>
            <w:gridSpan w:val="2"/>
          </w:tcPr>
          <w:p>
            <w:pPr>
              <w:ind w:left="100"/>
              <w:spacing w:after="0"/>
              <w:rPr>
                <w:sz w:val="20"/>
                <w:szCs w:val="20"/>
                <w:color w:val="auto"/>
              </w:rPr>
            </w:pPr>
            <w:r>
              <w:rPr>
                <w:rFonts w:ascii="Arial" w:cs="Arial" w:eastAsia="Arial" w:hAnsi="Arial"/>
                <w:sz w:val="16"/>
                <w:szCs w:val="16"/>
                <w:color w:val="auto"/>
              </w:rPr>
              <w:t>Deposits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129,129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64,442</w:t>
            </w:r>
          </w:p>
        </w:tc>
      </w:tr>
      <w:tr>
        <w:trPr>
          <w:trHeight w:val="189"/>
        </w:trPr>
        <w:tc>
          <w:tcPr>
            <w:tcW w:w="8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Intangible assets, net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46,208,085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20,486,792</w:t>
            </w:r>
          </w:p>
        </w:tc>
      </w:tr>
      <w:tr>
        <w:trPr>
          <w:trHeight w:val="24"/>
        </w:trPr>
        <w:tc>
          <w:tcPr>
            <w:tcW w:w="880" w:type="dxa"/>
            <w:vAlign w:val="bottom"/>
            <w:shd w:val="clear" w:color="auto" w:fill="CCEEFF"/>
          </w:tcPr>
          <w:p>
            <w:pPr>
              <w:spacing w:after="0"/>
              <w:rPr>
                <w:sz w:val="2"/>
                <w:szCs w:val="2"/>
                <w:color w:val="auto"/>
              </w:rPr>
            </w:pPr>
          </w:p>
        </w:tc>
        <w:tc>
          <w:tcPr>
            <w:tcW w:w="7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9"/>
        </w:trPr>
        <w:tc>
          <w:tcPr>
            <w:tcW w:w="8740" w:type="dxa"/>
            <w:vAlign w:val="bottom"/>
            <w:gridSpan w:val="2"/>
          </w:tcPr>
          <w:p>
            <w:pPr>
              <w:ind w:left="280"/>
              <w:spacing w:after="0"/>
              <w:rPr>
                <w:sz w:val="20"/>
                <w:szCs w:val="20"/>
                <w:color w:val="auto"/>
              </w:rPr>
            </w:pPr>
            <w:r>
              <w:rPr>
                <w:rFonts w:ascii="Arial" w:cs="Arial" w:eastAsia="Arial" w:hAnsi="Arial"/>
                <w:sz w:val="16"/>
                <w:szCs w:val="16"/>
                <w:color w:val="auto"/>
              </w:rPr>
              <w:t>TOTAL ASSETS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57,729,750</w:t>
            </w:r>
          </w:p>
        </w:tc>
        <w:tc>
          <w:tcPr>
            <w:tcW w:w="14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29,748,593</w:t>
            </w:r>
          </w:p>
        </w:tc>
      </w:tr>
      <w:tr>
        <w:trPr>
          <w:trHeight w:val="20"/>
        </w:trPr>
        <w:tc>
          <w:tcPr>
            <w:tcW w:w="8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880" w:type="dxa"/>
            <w:vAlign w:val="bottom"/>
            <w:shd w:val="clear" w:color="auto" w:fill="CCEEFF"/>
          </w:tcPr>
          <w:p>
            <w:pPr>
              <w:spacing w:after="0"/>
              <w:rPr>
                <w:sz w:val="15"/>
                <w:szCs w:val="15"/>
                <w:color w:val="auto"/>
              </w:rPr>
            </w:pPr>
          </w:p>
        </w:tc>
        <w:tc>
          <w:tcPr>
            <w:tcW w:w="7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8740" w:type="dxa"/>
            <w:vAlign w:val="bottom"/>
            <w:gridSpan w:val="2"/>
          </w:tcPr>
          <w:p>
            <w:pPr>
              <w:spacing w:after="0"/>
              <w:rPr>
                <w:sz w:val="20"/>
                <w:szCs w:val="20"/>
                <w:color w:val="auto"/>
              </w:rPr>
            </w:pPr>
            <w:r>
              <w:rPr>
                <w:rFonts w:ascii="Arial" w:cs="Arial" w:eastAsia="Arial" w:hAnsi="Arial"/>
                <w:sz w:val="16"/>
                <w:szCs w:val="16"/>
                <w:b w:val="1"/>
                <w:bCs w:val="1"/>
                <w:color w:val="auto"/>
              </w:rPr>
              <w:t>LIABILITIES AND EQUITY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8740" w:type="dxa"/>
            <w:vAlign w:val="bottom"/>
            <w:gridSpan w:val="2"/>
          </w:tcPr>
          <w:p>
            <w:pPr>
              <w:ind w:left="10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6,722,624</w:t>
            </w:r>
          </w:p>
        </w:tc>
        <w:tc>
          <w:tcPr>
            <w:tcW w:w="14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3,989,962</w:t>
            </w:r>
          </w:p>
        </w:tc>
      </w:tr>
      <w:tr>
        <w:trPr>
          <w:trHeight w:val="189"/>
        </w:trPr>
        <w:tc>
          <w:tcPr>
            <w:tcW w:w="8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Deferred license and subscription revenue, current portion</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235,276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400,870</w:t>
            </w:r>
          </w:p>
        </w:tc>
      </w:tr>
      <w:tr>
        <w:trPr>
          <w:trHeight w:val="24"/>
        </w:trPr>
        <w:tc>
          <w:tcPr>
            <w:tcW w:w="880" w:type="dxa"/>
            <w:vAlign w:val="bottom"/>
            <w:shd w:val="clear" w:color="auto" w:fill="CCEEFF"/>
          </w:tcPr>
          <w:p>
            <w:pPr>
              <w:spacing w:after="0"/>
              <w:rPr>
                <w:sz w:val="2"/>
                <w:szCs w:val="2"/>
                <w:color w:val="auto"/>
              </w:rPr>
            </w:pPr>
          </w:p>
        </w:tc>
        <w:tc>
          <w:tcPr>
            <w:tcW w:w="7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3"/>
        </w:trPr>
        <w:tc>
          <w:tcPr>
            <w:tcW w:w="8740" w:type="dxa"/>
            <w:vAlign w:val="bottom"/>
            <w:gridSpan w:val="2"/>
          </w:tcPr>
          <w:p>
            <w:pPr>
              <w:ind w:left="280"/>
              <w:spacing w:after="0"/>
              <w:rPr>
                <w:sz w:val="20"/>
                <w:szCs w:val="20"/>
                <w:color w:val="auto"/>
              </w:rPr>
            </w:pPr>
            <w:r>
              <w:rPr>
                <w:rFonts w:ascii="Arial" w:cs="Arial" w:eastAsia="Arial" w:hAnsi="Arial"/>
                <w:sz w:val="16"/>
                <w:szCs w:val="16"/>
                <w:color w:val="auto"/>
              </w:rPr>
              <w:t>Total current liabilities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6,957,900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4,390,832</w:t>
            </w:r>
          </w:p>
        </w:tc>
      </w:tr>
      <w:tr>
        <w:trPr>
          <w:trHeight w:val="189"/>
        </w:trPr>
        <w:tc>
          <w:tcPr>
            <w:tcW w:w="880" w:type="dxa"/>
            <w:vAlign w:val="bottom"/>
            <w:shd w:val="clear" w:color="auto" w:fill="CCEEFF"/>
          </w:tcPr>
          <w:p>
            <w:pPr>
              <w:spacing w:after="0"/>
              <w:rPr>
                <w:sz w:val="16"/>
                <w:szCs w:val="16"/>
                <w:color w:val="auto"/>
              </w:rPr>
            </w:pPr>
          </w:p>
        </w:tc>
        <w:tc>
          <w:tcPr>
            <w:tcW w:w="7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8740" w:type="dxa"/>
            <w:vAlign w:val="bottom"/>
            <w:gridSpan w:val="2"/>
          </w:tcPr>
          <w:p>
            <w:pPr>
              <w:spacing w:after="0"/>
              <w:rPr>
                <w:sz w:val="20"/>
                <w:szCs w:val="20"/>
                <w:color w:val="auto"/>
              </w:rPr>
            </w:pPr>
            <w:r>
              <w:rPr>
                <w:rFonts w:ascii="Arial" w:cs="Arial" w:eastAsia="Arial" w:hAnsi="Arial"/>
                <w:sz w:val="16"/>
                <w:szCs w:val="16"/>
                <w:color w:val="auto"/>
              </w:rPr>
              <w:t>LONG-TERM LIABILITIES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Deferred license revenue, net of current portion</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768,678</w:t>
            </w:r>
          </w:p>
        </w:tc>
      </w:tr>
      <w:tr>
        <w:trPr>
          <w:trHeight w:val="189"/>
        </w:trPr>
        <w:tc>
          <w:tcPr>
            <w:tcW w:w="8740" w:type="dxa"/>
            <w:vAlign w:val="bottom"/>
            <w:gridSpan w:val="2"/>
          </w:tcPr>
          <w:p>
            <w:pPr>
              <w:ind w:left="100"/>
              <w:spacing w:after="0"/>
              <w:rPr>
                <w:sz w:val="20"/>
                <w:szCs w:val="20"/>
                <w:color w:val="auto"/>
              </w:rPr>
            </w:pPr>
            <w:r>
              <w:rPr>
                <w:rFonts w:ascii="Arial" w:cs="Arial" w:eastAsia="Arial" w:hAnsi="Arial"/>
                <w:sz w:val="16"/>
                <w:szCs w:val="16"/>
                <w:color w:val="auto"/>
              </w:rPr>
              <w:t>Deferred rent, net of current portion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35,997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57,214</w:t>
            </w:r>
          </w:p>
        </w:tc>
      </w:tr>
      <w:tr>
        <w:trPr>
          <w:trHeight w:val="189"/>
        </w:trPr>
        <w:tc>
          <w:tcPr>
            <w:tcW w:w="8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Deferred tax liability, net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8,277,548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3"/>
        </w:trPr>
        <w:tc>
          <w:tcPr>
            <w:tcW w:w="8740" w:type="dxa"/>
            <w:vAlign w:val="bottom"/>
            <w:gridSpan w:val="2"/>
          </w:tcPr>
          <w:p>
            <w:pPr>
              <w:ind w:left="100"/>
              <w:spacing w:after="0"/>
              <w:rPr>
                <w:sz w:val="20"/>
                <w:szCs w:val="20"/>
                <w:color w:val="auto"/>
              </w:rPr>
            </w:pPr>
            <w:r>
              <w:rPr>
                <w:rFonts w:ascii="Arial" w:cs="Arial" w:eastAsia="Arial" w:hAnsi="Arial"/>
                <w:sz w:val="16"/>
                <w:szCs w:val="16"/>
                <w:color w:val="auto"/>
              </w:rPr>
              <w:t>Other long term liabilities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195,984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237,496</w:t>
            </w:r>
          </w:p>
        </w:tc>
      </w:tr>
      <w:tr>
        <w:trPr>
          <w:trHeight w:val="193"/>
        </w:trPr>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long-term liabilities</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8,509,529</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1,063,388</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8740" w:type="dxa"/>
            <w:vAlign w:val="bottom"/>
            <w:gridSpan w:val="2"/>
          </w:tcPr>
          <w:p>
            <w:pPr>
              <w:ind w:left="100"/>
              <w:spacing w:after="0"/>
              <w:rPr>
                <w:sz w:val="20"/>
                <w:szCs w:val="20"/>
                <w:color w:val="auto"/>
              </w:rPr>
            </w:pPr>
            <w:r>
              <w:rPr>
                <w:rFonts w:ascii="Arial" w:cs="Arial" w:eastAsia="Arial" w:hAnsi="Arial"/>
                <w:sz w:val="16"/>
                <w:szCs w:val="16"/>
                <w:color w:val="auto"/>
                <w:w w:val="87"/>
              </w:rPr>
              <w:t>Preferred Shares, no par value, authorized 2,000,000 and 1,000,000 shares respectively, as of December 31, 2013 and 2012; none issued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77"/>
        </w:trPr>
        <w:tc>
          <w:tcPr>
            <w:tcW w:w="8740" w:type="dxa"/>
            <w:vAlign w:val="bottom"/>
            <w:gridSpan w:val="2"/>
            <w:shd w:val="clear" w:color="auto" w:fill="CCEEFF"/>
          </w:tcPr>
          <w:p>
            <w:pPr>
              <w:ind w:left="100"/>
              <w:spacing w:after="0" w:line="177" w:lineRule="exact"/>
              <w:rPr>
                <w:sz w:val="20"/>
                <w:szCs w:val="20"/>
                <w:color w:val="auto"/>
              </w:rPr>
            </w:pPr>
            <w:r>
              <w:rPr>
                <w:rFonts w:ascii="Arial" w:cs="Arial" w:eastAsia="Arial" w:hAnsi="Arial"/>
                <w:sz w:val="16"/>
                <w:szCs w:val="16"/>
                <w:color w:val="auto"/>
                <w:w w:val="94"/>
              </w:rPr>
              <w:t>Common shares, no par value, authorized 125,000,000 and 75,000,000 shares respectively as of December 31, 2013 and 2012;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8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3"/>
              </w:rPr>
              <w:t>67,412,139 issued and 56,714,424 outstanding as of December 31, 2013 and 51,183,318 issued and 49,383,209 outstanding at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2"/>
        </w:trPr>
        <w:tc>
          <w:tcPr>
            <w:tcW w:w="8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December 31, 2012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203,456,401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119,821,243</w:t>
            </w:r>
          </w:p>
        </w:tc>
      </w:tr>
      <w:tr>
        <w:trPr>
          <w:trHeight w:val="189"/>
        </w:trPr>
        <w:tc>
          <w:tcPr>
            <w:tcW w:w="8740" w:type="dxa"/>
            <w:vAlign w:val="bottom"/>
            <w:gridSpan w:val="2"/>
          </w:tcPr>
          <w:p>
            <w:pPr>
              <w:ind w:left="100"/>
              <w:spacing w:after="0"/>
              <w:rPr>
                <w:sz w:val="20"/>
                <w:szCs w:val="20"/>
                <w:color w:val="auto"/>
              </w:rPr>
            </w:pPr>
            <w:r>
              <w:rPr>
                <w:rFonts w:ascii="Arial" w:cs="Arial" w:eastAsia="Arial" w:hAnsi="Arial"/>
                <w:sz w:val="16"/>
                <w:szCs w:val="16"/>
                <w:color w:val="auto"/>
              </w:rPr>
              <w:t>Contributed capital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93,972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93,972</w:t>
            </w:r>
          </w:p>
        </w:tc>
      </w:tr>
      <w:tr>
        <w:trPr>
          <w:trHeight w:val="189"/>
        </w:trPr>
        <w:tc>
          <w:tcPr>
            <w:tcW w:w="8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income</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62,899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(59,570)</w:t>
            </w:r>
          </w:p>
        </w:tc>
      </w:tr>
      <w:tr>
        <w:trPr>
          <w:trHeight w:val="189"/>
        </w:trPr>
        <w:tc>
          <w:tcPr>
            <w:tcW w:w="8740" w:type="dxa"/>
            <w:vAlign w:val="bottom"/>
            <w:gridSpan w:val="2"/>
          </w:tcPr>
          <w:p>
            <w:pPr>
              <w:ind w:left="100"/>
              <w:spacing w:after="0"/>
              <w:rPr>
                <w:sz w:val="20"/>
                <w:szCs w:val="20"/>
                <w:color w:val="auto"/>
              </w:rPr>
            </w:pPr>
            <w:r>
              <w:rPr>
                <w:rFonts w:ascii="Arial" w:cs="Arial" w:eastAsia="Arial" w:hAnsi="Arial"/>
                <w:sz w:val="16"/>
                <w:szCs w:val="16"/>
                <w:color w:val="auto"/>
              </w:rPr>
              <w:t>Accumulated deficit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(145,778,547)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(101,895,712)</w:t>
            </w:r>
          </w:p>
        </w:tc>
      </w:tr>
      <w:tr>
        <w:trPr>
          <w:trHeight w:val="189"/>
        </w:trPr>
        <w:tc>
          <w:tcPr>
            <w:tcW w:w="8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Treasury stock at cost: 10,697,715 and 1,800,109 shares at December 31, 2013 and 2012, respectively</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(43,033,957)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(8,375,397)</w:t>
            </w:r>
          </w:p>
        </w:tc>
      </w:tr>
      <w:tr>
        <w:trPr>
          <w:trHeight w:val="24"/>
        </w:trPr>
        <w:tc>
          <w:tcPr>
            <w:tcW w:w="880" w:type="dxa"/>
            <w:vAlign w:val="bottom"/>
            <w:shd w:val="clear" w:color="auto" w:fill="CCEEFF"/>
          </w:tcPr>
          <w:p>
            <w:pPr>
              <w:spacing w:after="0"/>
              <w:rPr>
                <w:sz w:val="2"/>
                <w:szCs w:val="2"/>
                <w:color w:val="auto"/>
              </w:rPr>
            </w:pPr>
          </w:p>
        </w:tc>
        <w:tc>
          <w:tcPr>
            <w:tcW w:w="7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9"/>
        </w:trPr>
        <w:tc>
          <w:tcPr>
            <w:tcW w:w="8740" w:type="dxa"/>
            <w:vAlign w:val="bottom"/>
            <w:gridSpan w:val="2"/>
          </w:tcPr>
          <w:p>
            <w:pPr>
              <w:ind w:left="280"/>
              <w:spacing w:after="0"/>
              <w:rPr>
                <w:sz w:val="20"/>
                <w:szCs w:val="20"/>
                <w:color w:val="auto"/>
              </w:rPr>
            </w:pPr>
            <w:r>
              <w:rPr>
                <w:rFonts w:ascii="Arial" w:cs="Arial" w:eastAsia="Arial" w:hAnsi="Arial"/>
                <w:sz w:val="16"/>
                <w:szCs w:val="16"/>
                <w:color w:val="auto"/>
              </w:rPr>
              <w:t>Total shareholders' equity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14,800,768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9,584,536</w:t>
            </w:r>
          </w:p>
        </w:tc>
      </w:tr>
      <w:tr>
        <w:trPr>
          <w:trHeight w:val="189"/>
        </w:trPr>
        <w:tc>
          <w:tcPr>
            <w:tcW w:w="87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Noncontrolling interest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27,461,553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14,709,837</w:t>
            </w:r>
          </w:p>
        </w:tc>
      </w:tr>
      <w:tr>
        <w:trPr>
          <w:trHeight w:val="24"/>
        </w:trPr>
        <w:tc>
          <w:tcPr>
            <w:tcW w:w="880" w:type="dxa"/>
            <w:vAlign w:val="bottom"/>
            <w:shd w:val="clear" w:color="auto" w:fill="CCEEFF"/>
          </w:tcPr>
          <w:p>
            <w:pPr>
              <w:spacing w:after="0"/>
              <w:rPr>
                <w:sz w:val="2"/>
                <w:szCs w:val="2"/>
                <w:color w:val="auto"/>
              </w:rPr>
            </w:pPr>
          </w:p>
        </w:tc>
        <w:tc>
          <w:tcPr>
            <w:tcW w:w="7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3"/>
        </w:trPr>
        <w:tc>
          <w:tcPr>
            <w:tcW w:w="8740" w:type="dxa"/>
            <w:vAlign w:val="bottom"/>
            <w:gridSpan w:val="2"/>
          </w:tcPr>
          <w:p>
            <w:pPr>
              <w:ind w:left="280"/>
              <w:spacing w:after="0"/>
              <w:rPr>
                <w:sz w:val="20"/>
                <w:szCs w:val="20"/>
                <w:color w:val="auto"/>
              </w:rPr>
            </w:pPr>
            <w:r>
              <w:rPr>
                <w:rFonts w:ascii="Arial" w:cs="Arial" w:eastAsia="Arial" w:hAnsi="Arial"/>
                <w:sz w:val="16"/>
                <w:szCs w:val="16"/>
                <w:color w:val="auto"/>
              </w:rPr>
              <w:t>Total equity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42,262,321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24,294,373</w:t>
            </w:r>
          </w:p>
        </w:tc>
      </w:tr>
      <w:tr>
        <w:trPr>
          <w:trHeight w:val="229"/>
        </w:trPr>
        <w:tc>
          <w:tcPr>
            <w:tcW w:w="8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 AND EQUITY</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57,729,750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29,748,593</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the Consolidated Financial Statements.</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49"/>
        </w:trPr>
        <w:tc>
          <w:tcPr>
            <w:tcW w:w="3760" w:type="dxa"/>
            <w:vAlign w:val="bottom"/>
            <w:gridSpan w:val="2"/>
          </w:tcPr>
          <w:p>
            <w:pPr>
              <w:spacing w:after="0"/>
              <w:rPr>
                <w:rFonts w:ascii="Arial" w:cs="Arial" w:eastAsia="Arial" w:hAnsi="Arial"/>
                <w:sz w:val="13"/>
                <w:szCs w:val="13"/>
                <w:i w:val="1"/>
                <w:iCs w:val="1"/>
                <w:color w:val="0000EE"/>
              </w:rPr>
            </w:pPr>
            <w:hyperlink w:anchor="page3">
              <w:r>
                <w:rPr>
                  <w:rFonts w:ascii="Arial" w:cs="Arial" w:eastAsia="Arial" w:hAnsi="Arial"/>
                  <w:sz w:val="13"/>
                  <w:szCs w:val="13"/>
                  <w:i w:val="1"/>
                  <w:iCs w:val="1"/>
                  <w:color w:val="0000EE"/>
                </w:rPr>
                <w:t>Table of Contents</w:t>
              </w:r>
            </w:hyperlink>
          </w:p>
        </w:tc>
        <w:tc>
          <w:tcPr>
            <w:tcW w:w="3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33"/>
        </w:trPr>
        <w:tc>
          <w:tcPr>
            <w:tcW w:w="880" w:type="dxa"/>
            <w:vAlign w:val="bottom"/>
            <w:tcBorders>
              <w:top w:val="single" w:sz="8" w:color="0000EE"/>
            </w:tcBorders>
          </w:tcPr>
          <w:p>
            <w:pPr>
              <w:spacing w:after="0"/>
              <w:rPr>
                <w:sz w:val="24"/>
                <w:szCs w:val="24"/>
                <w:color w:val="auto"/>
              </w:rPr>
            </w:pPr>
          </w:p>
        </w:tc>
        <w:tc>
          <w:tcPr>
            <w:tcW w:w="2880" w:type="dxa"/>
            <w:vAlign w:val="bottom"/>
          </w:tcPr>
          <w:p>
            <w:pPr>
              <w:spacing w:after="0"/>
              <w:rPr>
                <w:sz w:val="24"/>
                <w:szCs w:val="24"/>
                <w:color w:val="auto"/>
              </w:rPr>
            </w:pPr>
          </w:p>
        </w:tc>
        <w:tc>
          <w:tcPr>
            <w:tcW w:w="39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BIOTIME, INC. AND SUBSIDIARIES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2"/>
        </w:trPr>
        <w:tc>
          <w:tcPr>
            <w:tcW w:w="8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CONSOLIDATED STATEMENTS OF OPERATIONS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7"/>
        </w:trPr>
        <w:tc>
          <w:tcPr>
            <w:tcW w:w="8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107"/>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3"/>
        </w:trPr>
        <w:tc>
          <w:tcPr>
            <w:tcW w:w="8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2011</w:t>
            </w:r>
          </w:p>
        </w:tc>
        <w:tc>
          <w:tcPr>
            <w:tcW w:w="80" w:type="dxa"/>
            <w:vAlign w:val="bottom"/>
          </w:tcPr>
          <w:p>
            <w:pPr>
              <w:spacing w:after="0"/>
              <w:rPr>
                <w:sz w:val="16"/>
                <w:szCs w:val="16"/>
                <w:color w:val="auto"/>
              </w:rPr>
            </w:pPr>
          </w:p>
        </w:tc>
      </w:tr>
      <w:tr>
        <w:trPr>
          <w:trHeight w:val="378"/>
        </w:trPr>
        <w:tc>
          <w:tcPr>
            <w:tcW w:w="376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License fees</w:t>
            </w:r>
          </w:p>
        </w:tc>
        <w:tc>
          <w:tcPr>
            <w:tcW w:w="3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2,218,174</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899,998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263,757</w:t>
            </w:r>
          </w:p>
        </w:tc>
      </w:tr>
      <w:tr>
        <w:trPr>
          <w:trHeight w:val="189"/>
        </w:trPr>
        <w:tc>
          <w:tcPr>
            <w:tcW w:w="3760" w:type="dxa"/>
            <w:vAlign w:val="bottom"/>
            <w:gridSpan w:val="2"/>
          </w:tcPr>
          <w:p>
            <w:pPr>
              <w:spacing w:after="0"/>
              <w:rPr>
                <w:sz w:val="20"/>
                <w:szCs w:val="20"/>
                <w:color w:val="auto"/>
              </w:rPr>
            </w:pPr>
            <w:r>
              <w:rPr>
                <w:rFonts w:ascii="Arial" w:cs="Arial" w:eastAsia="Arial" w:hAnsi="Arial"/>
                <w:sz w:val="16"/>
                <w:szCs w:val="16"/>
                <w:color w:val="auto"/>
              </w:rPr>
              <w:t>Royalties from product sales</w:t>
            </w: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366,775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541,681</w:t>
            </w:r>
          </w:p>
        </w:tc>
        <w:tc>
          <w:tcPr>
            <w:tcW w:w="22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756,950</w:t>
            </w:r>
          </w:p>
        </w:tc>
      </w:tr>
      <w:tr>
        <w:trPr>
          <w:trHeight w:val="189"/>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 income</w:t>
            </w:r>
          </w:p>
        </w:tc>
        <w:tc>
          <w:tcPr>
            <w:tcW w:w="3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1,573,329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2,222,458</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2,767,181</w:t>
            </w:r>
          </w:p>
        </w:tc>
      </w:tr>
      <w:tr>
        <w:trPr>
          <w:trHeight w:val="193"/>
        </w:trPr>
        <w:tc>
          <w:tcPr>
            <w:tcW w:w="3760" w:type="dxa"/>
            <w:vAlign w:val="bottom"/>
            <w:gridSpan w:val="2"/>
          </w:tcPr>
          <w:p>
            <w:pPr>
              <w:spacing w:after="0"/>
              <w:rPr>
                <w:sz w:val="20"/>
                <w:szCs w:val="20"/>
                <w:color w:val="auto"/>
              </w:rPr>
            </w:pPr>
            <w:r>
              <w:rPr>
                <w:rFonts w:ascii="Arial" w:cs="Arial" w:eastAsia="Arial" w:hAnsi="Arial"/>
                <w:sz w:val="16"/>
                <w:szCs w:val="16"/>
                <w:color w:val="auto"/>
              </w:rPr>
              <w:t>Sale of research products</w:t>
            </w: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276,058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251,190</w:t>
            </w:r>
          </w:p>
        </w:tc>
        <w:tc>
          <w:tcPr>
            <w:tcW w:w="22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646,271</w:t>
            </w:r>
          </w:p>
        </w:tc>
      </w:tr>
      <w:tr>
        <w:trPr>
          <w:trHeight w:val="193"/>
        </w:trPr>
        <w:tc>
          <w:tcPr>
            <w:tcW w:w="3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36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4,434,336</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3,915,327</w:t>
            </w: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4,434,159</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r>
      <w:tr>
        <w:trPr>
          <w:trHeight w:val="189"/>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 of sales</w:t>
            </w:r>
          </w:p>
        </w:tc>
        <w:tc>
          <w:tcPr>
            <w:tcW w:w="3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(792,659)</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(434,271)</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(79,397)</w:t>
            </w:r>
          </w:p>
        </w:tc>
      </w:tr>
      <w:tr>
        <w:trPr>
          <w:trHeight w:val="193"/>
        </w:trPr>
        <w:tc>
          <w:tcPr>
            <w:tcW w:w="8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spacing w:after="0"/>
              <w:rPr>
                <w:sz w:val="16"/>
                <w:szCs w:val="16"/>
                <w:color w:val="auto"/>
              </w:rPr>
            </w:pPr>
          </w:p>
        </w:tc>
      </w:tr>
      <w:tr>
        <w:trPr>
          <w:trHeight w:val="189"/>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 net</w:t>
            </w:r>
          </w:p>
        </w:tc>
        <w:tc>
          <w:tcPr>
            <w:tcW w:w="36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3,641,677</w:t>
            </w: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3,481,056</w:t>
            </w:r>
          </w:p>
        </w:tc>
        <w:tc>
          <w:tcPr>
            <w:tcW w:w="2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4,354,762</w:t>
            </w:r>
          </w:p>
        </w:tc>
        <w:tc>
          <w:tcPr>
            <w:tcW w:w="80" w:type="dxa"/>
            <w:vAlign w:val="bottom"/>
            <w:shd w:val="clear" w:color="auto" w:fill="CCEEFF"/>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3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3760" w:type="dxa"/>
            <w:vAlign w:val="bottom"/>
            <w:gridSpan w:val="2"/>
          </w:tcPr>
          <w:p>
            <w:pPr>
              <w:spacing w:after="0"/>
              <w:rPr>
                <w:sz w:val="20"/>
                <w:szCs w:val="20"/>
                <w:color w:val="auto"/>
              </w:rPr>
            </w:pPr>
            <w:r>
              <w:rPr>
                <w:rFonts w:ascii="Arial" w:cs="Arial" w:eastAsia="Arial" w:hAnsi="Arial"/>
                <w:sz w:val="16"/>
                <w:szCs w:val="16"/>
                <w:color w:val="auto"/>
              </w:rPr>
              <w:t>Research and development</w:t>
            </w: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(26,609,423)</w:t>
            </w:r>
          </w:p>
        </w:tc>
        <w:tc>
          <w:tcPr>
            <w:tcW w:w="2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(18,116,688)</w:t>
            </w:r>
          </w:p>
        </w:tc>
        <w:tc>
          <w:tcPr>
            <w:tcW w:w="22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(13,699,691)</w:t>
            </w:r>
          </w:p>
        </w:tc>
      </w:tr>
      <w:tr>
        <w:trPr>
          <w:trHeight w:val="189"/>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Acquired in-process research and development</w:t>
            </w:r>
          </w:p>
        </w:tc>
        <w:tc>
          <w:tcPr>
            <w:tcW w:w="3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(17,458,766)</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93"/>
        </w:trPr>
        <w:tc>
          <w:tcPr>
            <w:tcW w:w="3760" w:type="dxa"/>
            <w:vAlign w:val="bottom"/>
            <w:gridSpan w:val="2"/>
          </w:tcPr>
          <w:p>
            <w:pPr>
              <w:spacing w:after="0"/>
              <w:rPr>
                <w:sz w:val="20"/>
                <w:szCs w:val="20"/>
                <w:color w:val="auto"/>
              </w:rPr>
            </w:pPr>
            <w:r>
              <w:rPr>
                <w:rFonts w:ascii="Arial" w:cs="Arial" w:eastAsia="Arial" w:hAnsi="Arial"/>
                <w:sz w:val="16"/>
                <w:szCs w:val="16"/>
                <w:color w:val="auto"/>
              </w:rPr>
              <w:t>General and administrative</w:t>
            </w: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(15,558,674)</w:t>
            </w:r>
          </w:p>
        </w:tc>
        <w:tc>
          <w:tcPr>
            <w:tcW w:w="2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(10,365,045)</w:t>
            </w:r>
          </w:p>
        </w:tc>
        <w:tc>
          <w:tcPr>
            <w:tcW w:w="22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(9,341,502)</w:t>
            </w:r>
          </w:p>
        </w:tc>
      </w:tr>
      <w:tr>
        <w:trPr>
          <w:trHeight w:val="193"/>
        </w:trPr>
        <w:tc>
          <w:tcPr>
            <w:tcW w:w="3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expenses</w:t>
            </w:r>
          </w:p>
        </w:tc>
        <w:tc>
          <w:tcPr>
            <w:tcW w:w="36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(59,626,863)</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(28,481,733)</w:t>
            </w: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(23,041,193)</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3"/>
        </w:trPr>
        <w:tc>
          <w:tcPr>
            <w:tcW w:w="376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(55,985,186)</w:t>
            </w:r>
          </w:p>
        </w:tc>
        <w:tc>
          <w:tcPr>
            <w:tcW w:w="2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(25,000,677)</w:t>
            </w:r>
          </w:p>
        </w:tc>
        <w:tc>
          <w:tcPr>
            <w:tcW w:w="22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(18,686,431)</w:t>
            </w:r>
          </w:p>
        </w:tc>
      </w:tr>
      <w:tr>
        <w:trPr>
          <w:trHeight w:val="189"/>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(EXPENSES):</w:t>
            </w:r>
          </w:p>
        </w:tc>
        <w:tc>
          <w:tcPr>
            <w:tcW w:w="36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3760" w:type="dxa"/>
            <w:vAlign w:val="bottom"/>
            <w:gridSpan w:val="2"/>
          </w:tcPr>
          <w:p>
            <w:pPr>
              <w:spacing w:after="0"/>
              <w:rPr>
                <w:sz w:val="20"/>
                <w:szCs w:val="20"/>
                <w:color w:val="auto"/>
              </w:rPr>
            </w:pPr>
            <w:r>
              <w:rPr>
                <w:rFonts w:ascii="Arial" w:cs="Arial" w:eastAsia="Arial" w:hAnsi="Arial"/>
                <w:sz w:val="16"/>
                <w:szCs w:val="16"/>
                <w:color w:val="auto"/>
              </w:rPr>
              <w:t>Interest income/(expense), net</w:t>
            </w: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(578)</w:t>
            </w:r>
          </w:p>
        </w:tc>
        <w:tc>
          <w:tcPr>
            <w:tcW w:w="22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19,383</w:t>
            </w:r>
          </w:p>
        </w:tc>
        <w:tc>
          <w:tcPr>
            <w:tcW w:w="22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29,727</w:t>
            </w:r>
          </w:p>
        </w:tc>
      </w:tr>
      <w:tr>
        <w:trPr>
          <w:trHeight w:val="189"/>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Gain/(loss) on sale of fixed assets</w:t>
            </w:r>
          </w:p>
        </w:tc>
        <w:tc>
          <w:tcPr>
            <w:tcW w:w="3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(6,856)</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(6,246)</w:t>
            </w:r>
          </w:p>
        </w:tc>
      </w:tr>
      <w:tr>
        <w:trPr>
          <w:trHeight w:val="193"/>
        </w:trPr>
        <w:tc>
          <w:tcPr>
            <w:tcW w:w="3760" w:type="dxa"/>
            <w:vAlign w:val="bottom"/>
            <w:gridSpan w:val="2"/>
          </w:tcPr>
          <w:p>
            <w:pPr>
              <w:spacing w:after="0"/>
              <w:rPr>
                <w:sz w:val="20"/>
                <w:szCs w:val="20"/>
                <w:color w:val="auto"/>
              </w:rPr>
            </w:pPr>
            <w:r>
              <w:rPr>
                <w:rFonts w:ascii="Arial" w:cs="Arial" w:eastAsia="Arial" w:hAnsi="Arial"/>
                <w:sz w:val="16"/>
                <w:szCs w:val="16"/>
                <w:color w:val="auto"/>
              </w:rPr>
              <w:t>Other income/(expense), net</w:t>
            </w: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(209,177)</w:t>
            </w:r>
          </w:p>
        </w:tc>
        <w:tc>
          <w:tcPr>
            <w:tcW w:w="2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(317,710)</w:t>
            </w:r>
          </w:p>
        </w:tc>
        <w:tc>
          <w:tcPr>
            <w:tcW w:w="22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219,067</w:t>
            </w:r>
          </w:p>
        </w:tc>
      </w:tr>
      <w:tr>
        <w:trPr>
          <w:trHeight w:val="193"/>
        </w:trPr>
        <w:tc>
          <w:tcPr>
            <w:tcW w:w="3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other income/(expenses), net</w:t>
            </w:r>
          </w:p>
        </w:tc>
        <w:tc>
          <w:tcPr>
            <w:tcW w:w="36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(204,635)</w:t>
            </w: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(305,183)</w:t>
            </w: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242,548</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89"/>
        </w:trPr>
        <w:tc>
          <w:tcPr>
            <w:tcW w:w="3760" w:type="dxa"/>
            <w:vAlign w:val="bottom"/>
            <w:gridSpan w:val="2"/>
          </w:tcPr>
          <w:p>
            <w:pPr>
              <w:spacing w:after="0"/>
              <w:rPr>
                <w:sz w:val="20"/>
                <w:szCs w:val="20"/>
                <w:color w:val="auto"/>
              </w:rPr>
            </w:pPr>
            <w:r>
              <w:rPr>
                <w:rFonts w:ascii="Arial" w:cs="Arial" w:eastAsia="Arial" w:hAnsi="Arial"/>
                <w:sz w:val="16"/>
                <w:szCs w:val="16"/>
                <w:color w:val="auto"/>
              </w:rPr>
              <w:t>LOSS BEFORE INCOME TAX BENEFITS</w:t>
            </w: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(56,189,821)</w:t>
            </w:r>
          </w:p>
        </w:tc>
        <w:tc>
          <w:tcPr>
            <w:tcW w:w="2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(25,305,860)</w:t>
            </w:r>
          </w:p>
        </w:tc>
        <w:tc>
          <w:tcPr>
            <w:tcW w:w="22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(18,443,883)</w:t>
            </w:r>
          </w:p>
        </w:tc>
      </w:tr>
      <w:tr>
        <w:trPr>
          <w:trHeight w:val="189"/>
        </w:trPr>
        <w:tc>
          <w:tcPr>
            <w:tcW w:w="88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spacing w:after="0"/>
              <w:rPr>
                <w:sz w:val="16"/>
                <w:szCs w:val="16"/>
                <w:color w:val="auto"/>
              </w:rPr>
            </w:pPr>
          </w:p>
        </w:tc>
      </w:tr>
      <w:tr>
        <w:trPr>
          <w:trHeight w:val="193"/>
        </w:trPr>
        <w:tc>
          <w:tcPr>
            <w:tcW w:w="3760" w:type="dxa"/>
            <w:vAlign w:val="bottom"/>
            <w:gridSpan w:val="2"/>
          </w:tcPr>
          <w:p>
            <w:pPr>
              <w:spacing w:after="0"/>
              <w:rPr>
                <w:sz w:val="20"/>
                <w:szCs w:val="20"/>
                <w:color w:val="auto"/>
              </w:rPr>
            </w:pPr>
            <w:r>
              <w:rPr>
                <w:rFonts w:ascii="Arial" w:cs="Arial" w:eastAsia="Arial" w:hAnsi="Arial"/>
                <w:sz w:val="16"/>
                <w:szCs w:val="16"/>
                <w:color w:val="auto"/>
              </w:rPr>
              <w:t>Deferred income tax benefit</w:t>
            </w: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3,280,695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88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3"/>
        </w:trPr>
        <w:tc>
          <w:tcPr>
            <w:tcW w:w="37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(52,909,126)</w:t>
            </w:r>
          </w:p>
        </w:tc>
        <w:tc>
          <w:tcPr>
            <w:tcW w:w="2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(25,305,860)</w:t>
            </w:r>
          </w:p>
        </w:tc>
        <w:tc>
          <w:tcPr>
            <w:tcW w:w="22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(18,443,883)</w:t>
            </w:r>
          </w:p>
        </w:tc>
      </w:tr>
      <w:tr>
        <w:trPr>
          <w:trHeight w:val="189"/>
        </w:trPr>
        <w:tc>
          <w:tcPr>
            <w:tcW w:w="88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3"/>
        </w:trPr>
        <w:tc>
          <w:tcPr>
            <w:tcW w:w="3760" w:type="dxa"/>
            <w:vAlign w:val="bottom"/>
            <w:gridSpan w:val="2"/>
          </w:tcPr>
          <w:p>
            <w:pPr>
              <w:spacing w:after="0"/>
              <w:rPr>
                <w:sz w:val="20"/>
                <w:szCs w:val="20"/>
                <w:color w:val="auto"/>
              </w:rPr>
            </w:pPr>
            <w:r>
              <w:rPr>
                <w:rFonts w:ascii="Arial" w:cs="Arial" w:eastAsia="Arial" w:hAnsi="Arial"/>
                <w:sz w:val="16"/>
                <w:szCs w:val="16"/>
                <w:color w:val="auto"/>
              </w:rPr>
              <w:t>Net loss attributable to the noncontrolling interest</w:t>
            </w: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9,026,291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3,880,157</w:t>
            </w:r>
          </w:p>
        </w:tc>
        <w:tc>
          <w:tcPr>
            <w:tcW w:w="22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1,928,383</w:t>
            </w:r>
          </w:p>
        </w:tc>
      </w:tr>
      <w:tr>
        <w:trPr>
          <w:trHeight w:val="189"/>
        </w:trPr>
        <w:tc>
          <w:tcPr>
            <w:tcW w:w="88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3"/>
        </w:trPr>
        <w:tc>
          <w:tcPr>
            <w:tcW w:w="3760" w:type="dxa"/>
            <w:vAlign w:val="bottom"/>
            <w:gridSpan w:val="2"/>
          </w:tcPr>
          <w:p>
            <w:pPr>
              <w:spacing w:after="0"/>
              <w:rPr>
                <w:sz w:val="20"/>
                <w:szCs w:val="20"/>
                <w:color w:val="auto"/>
              </w:rPr>
            </w:pPr>
            <w:r>
              <w:rPr>
                <w:rFonts w:ascii="Arial" w:cs="Arial" w:eastAsia="Arial" w:hAnsi="Arial"/>
                <w:sz w:val="16"/>
                <w:szCs w:val="16"/>
                <w:b w:val="1"/>
                <w:bCs w:val="1"/>
                <w:color w:val="auto"/>
              </w:rPr>
              <w:t>NET LOSS ATTRIBUTABLE TO BIOTIME, INC.</w:t>
            </w: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(43,882,835)</w:t>
            </w:r>
          </w:p>
        </w:tc>
        <w:tc>
          <w:tcPr>
            <w:tcW w:w="2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(21,425,703)</w:t>
            </w:r>
          </w:p>
        </w:tc>
        <w:tc>
          <w:tcPr>
            <w:tcW w:w="22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(16,515,500)</w:t>
            </w:r>
          </w:p>
        </w:tc>
      </w:tr>
      <w:tr>
        <w:trPr>
          <w:trHeight w:val="189"/>
        </w:trPr>
        <w:tc>
          <w:tcPr>
            <w:tcW w:w="88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3760" w:type="dxa"/>
            <w:vAlign w:val="bottom"/>
            <w:gridSpan w:val="2"/>
          </w:tcPr>
          <w:p>
            <w:pPr>
              <w:spacing w:after="0"/>
              <w:rPr>
                <w:sz w:val="20"/>
                <w:szCs w:val="20"/>
                <w:color w:val="auto"/>
              </w:rPr>
            </w:pPr>
            <w:r>
              <w:rPr>
                <w:rFonts w:ascii="Arial" w:cs="Arial" w:eastAsia="Arial" w:hAnsi="Arial"/>
                <w:sz w:val="16"/>
                <w:szCs w:val="16"/>
                <w:color w:val="auto"/>
              </w:rPr>
              <w:t>Foreign currency translation gain/(loss)</w:t>
            </w:r>
          </w:p>
        </w:tc>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119,469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63,179</w:t>
            </w:r>
          </w:p>
        </w:tc>
        <w:tc>
          <w:tcPr>
            <w:tcW w:w="22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(1,020,087)</w:t>
            </w:r>
          </w:p>
        </w:tc>
      </w:tr>
      <w:tr>
        <w:trPr>
          <w:trHeight w:val="193"/>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Unrealized gain on available-for-sale securities, net</w:t>
            </w:r>
          </w:p>
        </w:tc>
        <w:tc>
          <w:tcPr>
            <w:tcW w:w="3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880" w:type="dxa"/>
            <w:vAlign w:val="bottom"/>
            <w:tcBorders>
              <w:top w:val="single" w:sz="8" w:color="CCEEFF"/>
            </w:tcBorders>
          </w:tcPr>
          <w:p>
            <w:pPr>
              <w:spacing w:after="0"/>
              <w:rPr>
                <w:sz w:val="16"/>
                <w:szCs w:val="16"/>
                <w:color w:val="auto"/>
              </w:rPr>
            </w:pPr>
          </w:p>
        </w:tc>
        <w:tc>
          <w:tcPr>
            <w:tcW w:w="2880" w:type="dxa"/>
            <w:vAlign w:val="bottom"/>
            <w:tcBorders>
              <w:top w:val="single" w:sz="8" w:color="CCEEFF"/>
            </w:tcBorders>
          </w:tcPr>
          <w:p>
            <w:pPr>
              <w:spacing w:after="0"/>
              <w:rPr>
                <w:sz w:val="16"/>
                <w:szCs w:val="16"/>
                <w:color w:val="auto"/>
              </w:rPr>
            </w:pPr>
          </w:p>
        </w:tc>
        <w:tc>
          <w:tcPr>
            <w:tcW w:w="36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29"/>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3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(43,760,366)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(21,362,524)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(17,535,587)</w:t>
            </w:r>
          </w:p>
        </w:tc>
      </w:tr>
      <w:tr>
        <w:trPr>
          <w:trHeight w:val="176"/>
        </w:trPr>
        <w:tc>
          <w:tcPr>
            <w:tcW w:w="880" w:type="dxa"/>
            <w:vAlign w:val="bottom"/>
            <w:tcBorders>
              <w:top w:val="single" w:sz="8" w:color="CCEEFF"/>
            </w:tcBorders>
          </w:tcPr>
          <w:p>
            <w:pPr>
              <w:spacing w:after="0"/>
              <w:rPr>
                <w:sz w:val="15"/>
                <w:szCs w:val="15"/>
                <w:color w:val="auto"/>
              </w:rPr>
            </w:pPr>
          </w:p>
        </w:tc>
        <w:tc>
          <w:tcPr>
            <w:tcW w:w="2880" w:type="dxa"/>
            <w:vAlign w:val="bottom"/>
            <w:tcBorders>
              <w:top w:val="single" w:sz="8" w:color="CCEEFF"/>
            </w:tcBorders>
          </w:tcPr>
          <w:p>
            <w:pPr>
              <w:spacing w:after="0"/>
              <w:rPr>
                <w:sz w:val="15"/>
                <w:szCs w:val="15"/>
                <w:color w:val="auto"/>
              </w:rPr>
            </w:pPr>
          </w:p>
        </w:tc>
        <w:tc>
          <w:tcPr>
            <w:tcW w:w="36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209"/>
        </w:trPr>
        <w:tc>
          <w:tcPr>
            <w:tcW w:w="37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BASIC AND DILUTED LOSS PER COMMON SHARE</w:t>
            </w:r>
          </w:p>
        </w:tc>
        <w:tc>
          <w:tcPr>
            <w:tcW w:w="3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(0.81)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(0.44)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(0.35)</w:t>
            </w: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440" w:type="dxa"/>
            <w:vAlign w:val="bottom"/>
            <w:gridSpan w:val="3"/>
          </w:tcPr>
          <w:p>
            <w:pPr>
              <w:spacing w:after="0" w:line="177" w:lineRule="exact"/>
              <w:rPr>
                <w:sz w:val="20"/>
                <w:szCs w:val="20"/>
                <w:color w:val="auto"/>
              </w:rPr>
            </w:pPr>
            <w:r>
              <w:rPr>
                <w:rFonts w:ascii="Arial" w:cs="Arial" w:eastAsia="Arial" w:hAnsi="Arial"/>
                <w:sz w:val="16"/>
                <w:szCs w:val="16"/>
                <w:color w:val="auto"/>
              </w:rPr>
              <w:t>WEIGHTED AVERAGE NUMBER OF COMMON SHARES OUTSTANDING: BASIC AND DILUTED</w:t>
            </w:r>
          </w:p>
        </w:tc>
        <w:tc>
          <w:tcPr>
            <w:tcW w:w="260" w:type="dxa"/>
            <w:vAlign w:val="bottom"/>
          </w:tcPr>
          <w:p>
            <w:pPr>
              <w:spacing w:after="0"/>
              <w:rPr>
                <w:sz w:val="15"/>
                <w:szCs w:val="15"/>
                <w:color w:val="auto"/>
              </w:rPr>
            </w:pPr>
          </w:p>
        </w:tc>
        <w:tc>
          <w:tcPr>
            <w:tcW w:w="920" w:type="dxa"/>
            <w:vAlign w:val="bottom"/>
          </w:tcPr>
          <w:p>
            <w:pPr>
              <w:jc w:val="right"/>
              <w:spacing w:after="0" w:line="177" w:lineRule="exact"/>
              <w:rPr>
                <w:sz w:val="20"/>
                <w:szCs w:val="20"/>
                <w:color w:val="auto"/>
              </w:rPr>
            </w:pPr>
            <w:r>
              <w:rPr>
                <w:rFonts w:ascii="Arial" w:cs="Arial" w:eastAsia="Arial" w:hAnsi="Arial"/>
                <w:sz w:val="16"/>
                <w:szCs w:val="16"/>
                <w:color w:val="auto"/>
              </w:rPr>
              <w:t>54,226,219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260"/>
              <w:spacing w:after="0" w:line="177" w:lineRule="exact"/>
              <w:rPr>
                <w:sz w:val="20"/>
                <w:szCs w:val="20"/>
                <w:color w:val="auto"/>
              </w:rPr>
            </w:pPr>
            <w:r>
              <w:rPr>
                <w:rFonts w:ascii="Arial" w:cs="Arial" w:eastAsia="Arial" w:hAnsi="Arial"/>
                <w:sz w:val="16"/>
                <w:szCs w:val="16"/>
                <w:color w:val="auto"/>
              </w:rPr>
              <w:t>49,213,687</w:t>
            </w:r>
          </w:p>
        </w:tc>
        <w:tc>
          <w:tcPr>
            <w:tcW w:w="220" w:type="dxa"/>
            <w:vAlign w:val="bottom"/>
          </w:tcPr>
          <w:p>
            <w:pPr>
              <w:spacing w:after="0"/>
              <w:rPr>
                <w:sz w:val="15"/>
                <w:szCs w:val="15"/>
                <w:color w:val="auto"/>
              </w:rPr>
            </w:pPr>
          </w:p>
        </w:tc>
        <w:tc>
          <w:tcPr>
            <w:tcW w:w="1000" w:type="dxa"/>
            <w:vAlign w:val="bottom"/>
            <w:gridSpan w:val="2"/>
          </w:tcPr>
          <w:p>
            <w:pPr>
              <w:jc w:val="right"/>
              <w:ind w:right="80"/>
              <w:spacing w:after="0" w:line="177" w:lineRule="exact"/>
              <w:rPr>
                <w:sz w:val="20"/>
                <w:szCs w:val="20"/>
                <w:color w:val="auto"/>
              </w:rPr>
            </w:pPr>
            <w:r>
              <w:rPr>
                <w:rFonts w:ascii="Arial" w:cs="Arial" w:eastAsia="Arial" w:hAnsi="Arial"/>
                <w:sz w:val="16"/>
                <w:szCs w:val="16"/>
                <w:color w:val="auto"/>
              </w:rPr>
              <w:t>47,053,518</w:t>
            </w:r>
          </w:p>
        </w:tc>
      </w:tr>
      <w:tr>
        <w:trPr>
          <w:trHeight w:val="20"/>
        </w:trPr>
        <w:tc>
          <w:tcPr>
            <w:tcW w:w="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the Consolidated Financial Statements.</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00" w:name="page101"/>
    <w:bookmarkEnd w:id="10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BIOTIME,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80" w:type="dxa"/>
            <w:vAlign w:val="bottom"/>
          </w:tcPr>
          <w:p>
            <w:pPr>
              <w:spacing w:after="0"/>
              <w:rPr>
                <w:sz w:val="13"/>
                <w:szCs w:val="13"/>
                <w:color w:val="auto"/>
              </w:rPr>
            </w:pPr>
          </w:p>
        </w:tc>
        <w:tc>
          <w:tcPr>
            <w:tcW w:w="2120" w:type="dxa"/>
            <w:vAlign w:val="bottom"/>
            <w:gridSpan w:val="5"/>
          </w:tcPr>
          <w:p>
            <w:pPr>
              <w:jc w:val="right"/>
              <w:ind w:right="760"/>
              <w:spacing w:after="0"/>
              <w:rPr>
                <w:sz w:val="20"/>
                <w:szCs w:val="20"/>
                <w:color w:val="auto"/>
              </w:rPr>
            </w:pPr>
            <w:r>
              <w:rPr>
                <w:rFonts w:ascii="Arial" w:cs="Arial" w:eastAsia="Arial" w:hAnsi="Arial"/>
                <w:sz w:val="13"/>
                <w:szCs w:val="13"/>
                <w:color w:val="auto"/>
              </w:rPr>
              <w:t>Common Shares</w:t>
            </w:r>
          </w:p>
        </w:tc>
        <w:tc>
          <w:tcPr>
            <w:tcW w:w="2100" w:type="dxa"/>
            <w:vAlign w:val="bottom"/>
            <w:gridSpan w:val="6"/>
          </w:tcPr>
          <w:p>
            <w:pPr>
              <w:jc w:val="right"/>
              <w:ind w:right="738"/>
              <w:spacing w:after="0"/>
              <w:rPr>
                <w:sz w:val="20"/>
                <w:szCs w:val="20"/>
                <w:color w:val="auto"/>
              </w:rPr>
            </w:pPr>
            <w:r>
              <w:rPr>
                <w:rFonts w:ascii="Arial" w:cs="Arial" w:eastAsia="Arial" w:hAnsi="Arial"/>
                <w:sz w:val="13"/>
                <w:szCs w:val="13"/>
                <w:color w:val="auto"/>
              </w:rPr>
              <w:t>Treasury Shares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vMerge w:val="restart"/>
          </w:tcPr>
          <w:p>
            <w:pPr>
              <w:jc w:val="center"/>
              <w:ind w:right="220"/>
              <w:spacing w:after="0"/>
              <w:rPr>
                <w:sz w:val="20"/>
                <w:szCs w:val="20"/>
                <w:color w:val="auto"/>
              </w:rPr>
            </w:pPr>
            <w:r>
              <w:rPr>
                <w:rFonts w:ascii="Arial" w:cs="Arial" w:eastAsia="Arial" w:hAnsi="Arial"/>
                <w:sz w:val="13"/>
                <w:szCs w:val="13"/>
                <w:color w:val="auto"/>
                <w:w w:val="87"/>
              </w:rPr>
              <w:t>Accumulated</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2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40"/>
              <w:spacing w:after="0" w:line="130" w:lineRule="exact"/>
              <w:rPr>
                <w:sz w:val="20"/>
                <w:szCs w:val="20"/>
                <w:color w:val="auto"/>
              </w:rPr>
            </w:pPr>
            <w:r>
              <w:rPr>
                <w:rFonts w:ascii="Arial" w:cs="Arial" w:eastAsia="Arial" w:hAnsi="Arial"/>
                <w:sz w:val="13"/>
                <w:szCs w:val="13"/>
                <w:color w:val="auto"/>
                <w:w w:val="92"/>
              </w:rPr>
              <w:t>Other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80" w:type="dxa"/>
            <w:vAlign w:val="bottom"/>
          </w:tcPr>
          <w:p>
            <w:pPr>
              <w:spacing w:after="0"/>
              <w:rPr>
                <w:sz w:val="11"/>
                <w:szCs w:val="11"/>
                <w:color w:val="auto"/>
              </w:rPr>
            </w:pPr>
          </w:p>
        </w:tc>
        <w:tc>
          <w:tcPr>
            <w:tcW w:w="1060" w:type="dxa"/>
            <w:vAlign w:val="bottom"/>
            <w:gridSpan w:val="2"/>
          </w:tcPr>
          <w:p>
            <w:pPr>
              <w:jc w:val="right"/>
              <w:ind w:right="380"/>
              <w:spacing w:after="0" w:line="130" w:lineRule="exact"/>
              <w:rPr>
                <w:sz w:val="20"/>
                <w:szCs w:val="20"/>
                <w:color w:val="auto"/>
              </w:rPr>
            </w:pPr>
            <w:r>
              <w:rPr>
                <w:rFonts w:ascii="Arial" w:cs="Arial" w:eastAsia="Arial" w:hAnsi="Arial"/>
                <w:sz w:val="13"/>
                <w:szCs w:val="13"/>
                <w:color w:val="auto"/>
              </w:rPr>
              <w:t>Number of</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260"/>
              <w:spacing w:after="0" w:line="130" w:lineRule="exact"/>
              <w:rPr>
                <w:sz w:val="20"/>
                <w:szCs w:val="20"/>
                <w:color w:val="auto"/>
              </w:rPr>
            </w:pPr>
            <w:r>
              <w:rPr>
                <w:rFonts w:ascii="Arial" w:cs="Arial" w:eastAsia="Arial" w:hAnsi="Arial"/>
                <w:sz w:val="13"/>
                <w:szCs w:val="13"/>
                <w:color w:val="auto"/>
              </w:rPr>
              <w:t>Number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3"/>
                <w:szCs w:val="13"/>
                <w:color w:val="auto"/>
              </w:rPr>
              <w:t>Contributed</w:t>
            </w:r>
          </w:p>
        </w:tc>
        <w:tc>
          <w:tcPr>
            <w:tcW w:w="100" w:type="dxa"/>
            <w:vAlign w:val="bottom"/>
          </w:tcPr>
          <w:p>
            <w:pPr>
              <w:spacing w:after="0"/>
              <w:rPr>
                <w:sz w:val="11"/>
                <w:szCs w:val="11"/>
                <w:color w:val="auto"/>
              </w:rPr>
            </w:pPr>
          </w:p>
        </w:tc>
        <w:tc>
          <w:tcPr>
            <w:tcW w:w="940" w:type="dxa"/>
            <w:vAlign w:val="bottom"/>
            <w:gridSpan w:val="3"/>
          </w:tcPr>
          <w:p>
            <w:pPr>
              <w:jc w:val="right"/>
              <w:ind w:right="158"/>
              <w:spacing w:after="0" w:line="130" w:lineRule="exact"/>
              <w:rPr>
                <w:sz w:val="20"/>
                <w:szCs w:val="20"/>
                <w:color w:val="auto"/>
              </w:rPr>
            </w:pPr>
            <w:r>
              <w:rPr>
                <w:rFonts w:ascii="Arial" w:cs="Arial" w:eastAsia="Arial" w:hAnsi="Arial"/>
                <w:sz w:val="13"/>
                <w:szCs w:val="13"/>
                <w:color w:val="auto"/>
                <w:w w:val="95"/>
              </w:rPr>
              <w:t>Accumulated</w:t>
            </w:r>
          </w:p>
        </w:tc>
        <w:tc>
          <w:tcPr>
            <w:tcW w:w="1100" w:type="dxa"/>
            <w:vAlign w:val="bottom"/>
            <w:gridSpan w:val="3"/>
          </w:tcPr>
          <w:p>
            <w:pPr>
              <w:jc w:val="right"/>
              <w:ind w:right="280"/>
              <w:spacing w:after="0" w:line="130" w:lineRule="exact"/>
              <w:rPr>
                <w:sz w:val="20"/>
                <w:szCs w:val="20"/>
                <w:color w:val="auto"/>
              </w:rPr>
            </w:pPr>
            <w:r>
              <w:rPr>
                <w:rFonts w:ascii="Arial" w:cs="Arial" w:eastAsia="Arial" w:hAnsi="Arial"/>
                <w:sz w:val="13"/>
                <w:szCs w:val="13"/>
                <w:color w:val="auto"/>
                <w:w w:val="96"/>
              </w:rPr>
              <w:t>Noncontrolling</w:t>
            </w:r>
          </w:p>
        </w:tc>
        <w:tc>
          <w:tcPr>
            <w:tcW w:w="1000" w:type="dxa"/>
            <w:vAlign w:val="bottom"/>
            <w:gridSpan w:val="3"/>
          </w:tcPr>
          <w:p>
            <w:pPr>
              <w:spacing w:after="0" w:line="130" w:lineRule="exact"/>
              <w:rPr>
                <w:sz w:val="20"/>
                <w:szCs w:val="20"/>
                <w:color w:val="auto"/>
              </w:rPr>
            </w:pPr>
            <w:r>
              <w:rPr>
                <w:rFonts w:ascii="Arial" w:cs="Arial" w:eastAsia="Arial" w:hAnsi="Arial"/>
                <w:sz w:val="13"/>
                <w:szCs w:val="13"/>
                <w:color w:val="auto"/>
              </w:rPr>
              <w:t>Comprehensive</w:t>
            </w:r>
          </w:p>
        </w:tc>
        <w:tc>
          <w:tcPr>
            <w:tcW w:w="60" w:type="dxa"/>
            <w:vAlign w:val="bottom"/>
          </w:tcPr>
          <w:p>
            <w:pPr>
              <w:spacing w:after="0"/>
              <w:rPr>
                <w:sz w:val="11"/>
                <w:szCs w:val="11"/>
                <w:color w:val="auto"/>
              </w:rPr>
            </w:pPr>
          </w:p>
        </w:tc>
        <w:tc>
          <w:tcPr>
            <w:tcW w:w="820" w:type="dxa"/>
            <w:vAlign w:val="bottom"/>
            <w:gridSpan w:val="2"/>
          </w:tcPr>
          <w:p>
            <w:pPr>
              <w:jc w:val="right"/>
              <w:ind w:right="160"/>
              <w:spacing w:after="0" w:line="130" w:lineRule="exact"/>
              <w:rPr>
                <w:sz w:val="20"/>
                <w:szCs w:val="20"/>
                <w:color w:val="auto"/>
              </w:rPr>
            </w:pPr>
            <w:r>
              <w:rPr>
                <w:rFonts w:ascii="Arial" w:cs="Arial" w:eastAsia="Arial" w:hAnsi="Arial"/>
                <w:sz w:val="13"/>
                <w:szCs w:val="13"/>
                <w:color w:val="auto"/>
                <w:w w:val="88"/>
              </w:rPr>
              <w:t>Total Equity/</w:t>
            </w:r>
          </w:p>
        </w:tc>
        <w:tc>
          <w:tcPr>
            <w:tcW w:w="0" w:type="dxa"/>
            <w:vAlign w:val="bottom"/>
          </w:tcPr>
          <w:p>
            <w:pPr>
              <w:spacing w:after="0"/>
              <w:rPr>
                <w:sz w:val="1"/>
                <w:szCs w:val="1"/>
                <w:color w:val="auto"/>
              </w:rPr>
            </w:pPr>
          </w:p>
        </w:tc>
      </w:tr>
      <w:tr>
        <w:trPr>
          <w:trHeight w:val="150"/>
        </w:trPr>
        <w:tc>
          <w:tcPr>
            <w:tcW w:w="2280" w:type="dxa"/>
            <w:vAlign w:val="bottom"/>
          </w:tcPr>
          <w:p>
            <w:pPr>
              <w:spacing w:after="0"/>
              <w:rPr>
                <w:sz w:val="13"/>
                <w:szCs w:val="13"/>
                <w:color w:val="auto"/>
              </w:rPr>
            </w:pPr>
          </w:p>
        </w:tc>
        <w:tc>
          <w:tcPr>
            <w:tcW w:w="1060" w:type="dxa"/>
            <w:vAlign w:val="bottom"/>
            <w:gridSpan w:val="2"/>
          </w:tcPr>
          <w:p>
            <w:pPr>
              <w:jc w:val="right"/>
              <w:ind w:right="480"/>
              <w:spacing w:after="0" w:line="146" w:lineRule="exact"/>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3"/>
                <w:szCs w:val="13"/>
                <w:color w:val="auto"/>
              </w:rPr>
            </w:pPr>
          </w:p>
        </w:tc>
        <w:tc>
          <w:tcPr>
            <w:tcW w:w="940" w:type="dxa"/>
            <w:vAlign w:val="bottom"/>
            <w:gridSpan w:val="2"/>
          </w:tcPr>
          <w:p>
            <w:pPr>
              <w:jc w:val="right"/>
              <w:ind w:right="440"/>
              <w:spacing w:after="0" w:line="146" w:lineRule="exact"/>
              <w:rPr>
                <w:sz w:val="20"/>
                <w:szCs w:val="20"/>
                <w:color w:val="auto"/>
              </w:rPr>
            </w:pPr>
            <w:r>
              <w:rPr>
                <w:rFonts w:ascii="Arial" w:cs="Arial" w:eastAsia="Arial" w:hAnsi="Arial"/>
                <w:sz w:val="13"/>
                <w:szCs w:val="13"/>
                <w:color w:val="auto"/>
              </w:rPr>
              <w:t>Amount</w:t>
            </w:r>
          </w:p>
        </w:tc>
        <w:tc>
          <w:tcPr>
            <w:tcW w:w="94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98"/>
              <w:spacing w:after="0" w:line="146" w:lineRule="exact"/>
              <w:rPr>
                <w:sz w:val="20"/>
                <w:szCs w:val="20"/>
                <w:color w:val="auto"/>
              </w:rPr>
            </w:pPr>
            <w:r>
              <w:rPr>
                <w:rFonts w:ascii="Arial" w:cs="Arial" w:eastAsia="Arial" w:hAnsi="Arial"/>
                <w:sz w:val="13"/>
                <w:szCs w:val="13"/>
                <w:color w:val="auto"/>
              </w:rPr>
              <w:t>Amount</w:t>
            </w:r>
          </w:p>
        </w:tc>
        <w:tc>
          <w:tcPr>
            <w:tcW w:w="80" w:type="dxa"/>
            <w:vAlign w:val="bottom"/>
          </w:tcPr>
          <w:p>
            <w:pPr>
              <w:spacing w:after="0"/>
              <w:rPr>
                <w:sz w:val="13"/>
                <w:szCs w:val="13"/>
                <w:color w:val="auto"/>
              </w:rPr>
            </w:pPr>
          </w:p>
        </w:tc>
        <w:tc>
          <w:tcPr>
            <w:tcW w:w="84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18"/>
              <w:spacing w:after="0" w:line="146" w:lineRule="exact"/>
              <w:rPr>
                <w:sz w:val="20"/>
                <w:szCs w:val="20"/>
                <w:color w:val="auto"/>
              </w:rPr>
            </w:pPr>
            <w:r>
              <w:rPr>
                <w:rFonts w:ascii="Arial" w:cs="Arial" w:eastAsia="Arial" w:hAnsi="Arial"/>
                <w:sz w:val="13"/>
                <w:szCs w:val="13"/>
                <w:color w:val="auto"/>
              </w:rPr>
              <w:t>Deficit</w:t>
            </w:r>
          </w:p>
        </w:tc>
        <w:tc>
          <w:tcPr>
            <w:tcW w:w="160" w:type="dxa"/>
            <w:vAlign w:val="bottom"/>
          </w:tcPr>
          <w:p>
            <w:pPr>
              <w:spacing w:after="0"/>
              <w:rPr>
                <w:sz w:val="13"/>
                <w:szCs w:val="13"/>
                <w:color w:val="auto"/>
              </w:rPr>
            </w:pPr>
          </w:p>
        </w:tc>
        <w:tc>
          <w:tcPr>
            <w:tcW w:w="940" w:type="dxa"/>
            <w:vAlign w:val="bottom"/>
            <w:gridSpan w:val="2"/>
          </w:tcPr>
          <w:p>
            <w:pPr>
              <w:jc w:val="right"/>
              <w:ind w:right="480"/>
              <w:spacing w:after="0" w:line="146" w:lineRule="exact"/>
              <w:rPr>
                <w:sz w:val="20"/>
                <w:szCs w:val="20"/>
                <w:color w:val="auto"/>
              </w:rPr>
            </w:pPr>
            <w:r>
              <w:rPr>
                <w:rFonts w:ascii="Arial" w:cs="Arial" w:eastAsia="Arial" w:hAnsi="Arial"/>
                <w:sz w:val="13"/>
                <w:szCs w:val="13"/>
                <w:color w:val="auto"/>
              </w:rPr>
              <w:t>Interest</w:t>
            </w:r>
          </w:p>
        </w:tc>
        <w:tc>
          <w:tcPr>
            <w:tcW w:w="120" w:type="dxa"/>
            <w:vAlign w:val="bottom"/>
          </w:tcPr>
          <w:p>
            <w:pPr>
              <w:spacing w:after="0"/>
              <w:rPr>
                <w:sz w:val="13"/>
                <w:szCs w:val="13"/>
                <w:color w:val="auto"/>
              </w:rPr>
            </w:pPr>
          </w:p>
        </w:tc>
        <w:tc>
          <w:tcPr>
            <w:tcW w:w="880" w:type="dxa"/>
            <w:vAlign w:val="bottom"/>
            <w:gridSpan w:val="2"/>
          </w:tcPr>
          <w:p>
            <w:pPr>
              <w:jc w:val="center"/>
              <w:ind w:right="340"/>
              <w:spacing w:after="0" w:line="146" w:lineRule="exact"/>
              <w:rPr>
                <w:sz w:val="20"/>
                <w:szCs w:val="20"/>
                <w:color w:val="auto"/>
              </w:rPr>
            </w:pPr>
            <w:r>
              <w:rPr>
                <w:rFonts w:ascii="Arial" w:cs="Arial" w:eastAsia="Arial" w:hAnsi="Arial"/>
                <w:sz w:val="13"/>
                <w:szCs w:val="13"/>
                <w:color w:val="auto"/>
                <w:w w:val="89"/>
              </w:rPr>
              <w:t>Income</w:t>
            </w:r>
          </w:p>
        </w:tc>
        <w:tc>
          <w:tcPr>
            <w:tcW w:w="60" w:type="dxa"/>
            <w:vAlign w:val="bottom"/>
          </w:tcPr>
          <w:p>
            <w:pPr>
              <w:spacing w:after="0"/>
              <w:rPr>
                <w:sz w:val="13"/>
                <w:szCs w:val="13"/>
                <w:color w:val="auto"/>
              </w:rPr>
            </w:pPr>
          </w:p>
        </w:tc>
        <w:tc>
          <w:tcPr>
            <w:tcW w:w="82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rPr>
              <w:t>(Deficit)</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BALANCE AT JANUARY 1, 2011</w:t>
            </w:r>
          </w:p>
        </w:tc>
        <w:tc>
          <w:tcPr>
            <w:tcW w:w="8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47,777,701</w:t>
            </w:r>
          </w:p>
        </w:tc>
        <w:tc>
          <w:tcPr>
            <w:tcW w:w="2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w w:val="94"/>
              </w:rPr>
              <w:t>101,135,428</w:t>
            </w:r>
          </w:p>
        </w:tc>
        <w:tc>
          <w:tcPr>
            <w:tcW w:w="24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ind w:left="380"/>
              <w:spacing w:after="0" w:line="130" w:lineRule="exact"/>
              <w:rPr>
                <w:sz w:val="20"/>
                <w:szCs w:val="20"/>
                <w:color w:val="auto"/>
              </w:rPr>
            </w:pPr>
            <w:r>
              <w:rPr>
                <w:rFonts w:ascii="Arial" w:cs="Arial" w:eastAsia="Arial" w:hAnsi="Arial"/>
                <w:sz w:val="13"/>
                <w:szCs w:val="13"/>
                <w:color w:val="auto"/>
                <w:w w:val="80"/>
              </w:rPr>
              <w:t>93,972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w w:val="92"/>
              </w:rPr>
              <w:t>(63,954,509)</w:t>
            </w:r>
          </w:p>
        </w:tc>
        <w:tc>
          <w:tcPr>
            <w:tcW w:w="1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11,253,428</w:t>
            </w:r>
          </w:p>
        </w:tc>
        <w:tc>
          <w:tcPr>
            <w:tcW w:w="2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897,338</w:t>
            </w:r>
          </w:p>
        </w:tc>
        <w:tc>
          <w:tcPr>
            <w:tcW w:w="2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49,425,657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280" w:type="dxa"/>
            <w:vAlign w:val="bottom"/>
          </w:tcPr>
          <w:p>
            <w:pPr>
              <w:spacing w:after="0" w:line="114" w:lineRule="exact"/>
              <w:rPr>
                <w:sz w:val="20"/>
                <w:szCs w:val="20"/>
                <w:color w:val="auto"/>
              </w:rPr>
            </w:pPr>
            <w:r>
              <w:rPr>
                <w:rFonts w:ascii="Arial" w:cs="Arial" w:eastAsia="Arial" w:hAnsi="Arial"/>
                <w:sz w:val="13"/>
                <w:szCs w:val="13"/>
                <w:color w:val="auto"/>
              </w:rPr>
              <w:t>Common shares issued as part of</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100"/>
              <w:spacing w:after="0" w:line="146" w:lineRule="exact"/>
              <w:rPr>
                <w:sz w:val="20"/>
                <w:szCs w:val="20"/>
                <w:color w:val="auto"/>
              </w:rPr>
            </w:pPr>
            <w:r>
              <w:rPr>
                <w:rFonts w:ascii="Arial" w:cs="Arial" w:eastAsia="Arial" w:hAnsi="Arial"/>
                <w:sz w:val="13"/>
                <w:szCs w:val="13"/>
                <w:color w:val="auto"/>
              </w:rPr>
              <w:t>acquisition of CTI assets</w:t>
            </w:r>
          </w:p>
        </w:tc>
        <w:tc>
          <w:tcPr>
            <w:tcW w:w="10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261,959</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2,300,000</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2,300,000</w:t>
            </w:r>
          </w:p>
        </w:tc>
        <w:tc>
          <w:tcPr>
            <w:tcW w:w="0" w:type="dxa"/>
            <w:vAlign w:val="bottom"/>
          </w:tcPr>
          <w:p>
            <w:pPr>
              <w:spacing w:after="0"/>
              <w:rPr>
                <w:sz w:val="1"/>
                <w:szCs w:val="1"/>
                <w:color w:val="auto"/>
              </w:rPr>
            </w:pPr>
          </w:p>
        </w:tc>
      </w:tr>
      <w:tr>
        <w:trPr>
          <w:trHeight w:val="114"/>
        </w:trPr>
        <w:tc>
          <w:tcPr>
            <w:tcW w:w="22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4"/>
              </w:rPr>
              <w:t>Common shares issued as part of merger</w:t>
            </w: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with Glycosan</w:t>
            </w:r>
          </w:p>
        </w:tc>
        <w:tc>
          <w:tcPr>
            <w:tcW w:w="10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332,903</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2,600,000</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2,600,000</w:t>
            </w:r>
          </w:p>
        </w:tc>
        <w:tc>
          <w:tcPr>
            <w:tcW w:w="0" w:type="dxa"/>
            <w:vAlign w:val="bottom"/>
          </w:tcPr>
          <w:p>
            <w:pPr>
              <w:spacing w:after="0"/>
              <w:rPr>
                <w:sz w:val="1"/>
                <w:szCs w:val="1"/>
                <w:color w:val="auto"/>
              </w:rPr>
            </w:pPr>
          </w:p>
        </w:tc>
      </w:tr>
      <w:tr>
        <w:trPr>
          <w:trHeight w:val="114"/>
        </w:trPr>
        <w:tc>
          <w:tcPr>
            <w:tcW w:w="2280" w:type="dxa"/>
            <w:vAlign w:val="bottom"/>
          </w:tcPr>
          <w:p>
            <w:pPr>
              <w:spacing w:after="0" w:line="114" w:lineRule="exact"/>
              <w:rPr>
                <w:sz w:val="20"/>
                <w:szCs w:val="20"/>
                <w:color w:val="auto"/>
              </w:rPr>
            </w:pPr>
            <w:r>
              <w:rPr>
                <w:rFonts w:ascii="Arial" w:cs="Arial" w:eastAsia="Arial" w:hAnsi="Arial"/>
                <w:sz w:val="13"/>
                <w:szCs w:val="13"/>
                <w:color w:val="auto"/>
              </w:rPr>
              <w:t>Treasury shares issued as part of</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100"/>
              <w:spacing w:after="0" w:line="146" w:lineRule="exact"/>
              <w:rPr>
                <w:sz w:val="20"/>
                <w:szCs w:val="20"/>
                <w:color w:val="auto"/>
              </w:rPr>
            </w:pPr>
            <w:r>
              <w:rPr>
                <w:rFonts w:ascii="Arial" w:cs="Arial" w:eastAsia="Arial" w:hAnsi="Arial"/>
                <w:sz w:val="13"/>
                <w:szCs w:val="13"/>
                <w:color w:val="auto"/>
              </w:rPr>
              <w:t>investment in subsidiary</w:t>
            </w: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1,286,174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6,000,000</w:t>
            </w:r>
          </w:p>
        </w:tc>
        <w:tc>
          <w:tcPr>
            <w:tcW w:w="9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(1,286,174)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58"/>
              <w:spacing w:after="0" w:line="146" w:lineRule="exact"/>
              <w:rPr>
                <w:sz w:val="20"/>
                <w:szCs w:val="20"/>
                <w:color w:val="auto"/>
              </w:rPr>
            </w:pPr>
            <w:r>
              <w:rPr>
                <w:rFonts w:ascii="Arial" w:cs="Arial" w:eastAsia="Arial" w:hAnsi="Arial"/>
                <w:sz w:val="13"/>
                <w:szCs w:val="13"/>
                <w:color w:val="auto"/>
              </w:rPr>
              <w:t>(6,000,000)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22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Common shares retired as payment for</w:t>
            </w: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exercise of options</w:t>
            </w:r>
          </w:p>
        </w:tc>
        <w:tc>
          <w:tcPr>
            <w:tcW w:w="106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(6,435)</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6" w:lineRule="exact"/>
              <w:rPr>
                <w:sz w:val="20"/>
                <w:szCs w:val="20"/>
                <w:color w:val="auto"/>
              </w:rPr>
            </w:pPr>
            <w:r>
              <w:rPr>
                <w:rFonts w:ascii="Arial" w:cs="Arial" w:eastAsia="Arial" w:hAnsi="Arial"/>
                <w:sz w:val="13"/>
                <w:szCs w:val="13"/>
                <w:color w:val="auto"/>
              </w:rPr>
              <w:t>(28,067)</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(28,067)</w:t>
            </w:r>
          </w:p>
        </w:tc>
        <w:tc>
          <w:tcPr>
            <w:tcW w:w="0" w:type="dxa"/>
            <w:vAlign w:val="bottom"/>
          </w:tcPr>
          <w:p>
            <w:pPr>
              <w:spacing w:after="0"/>
              <w:rPr>
                <w:sz w:val="1"/>
                <w:szCs w:val="1"/>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3"/>
                <w:szCs w:val="13"/>
                <w:color w:val="auto"/>
              </w:rPr>
              <w:t>Exercise of options</w:t>
            </w:r>
          </w:p>
        </w:tc>
        <w:tc>
          <w:tcPr>
            <w:tcW w:w="1060" w:type="dxa"/>
            <w:vAlign w:val="bottom"/>
            <w:gridSpan w:val="2"/>
          </w:tcPr>
          <w:p>
            <w:pPr>
              <w:jc w:val="right"/>
              <w:ind w:right="240"/>
              <w:spacing w:after="0" w:line="130" w:lineRule="exact"/>
              <w:rPr>
                <w:sz w:val="20"/>
                <w:szCs w:val="20"/>
                <w:color w:val="auto"/>
              </w:rPr>
            </w:pPr>
            <w:r>
              <w:rPr>
                <w:rFonts w:ascii="Arial" w:cs="Arial" w:eastAsia="Arial" w:hAnsi="Arial"/>
                <w:sz w:val="13"/>
                <w:szCs w:val="13"/>
                <w:color w:val="auto"/>
              </w:rPr>
              <w:t>450,660</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3"/>
                <w:szCs w:val="13"/>
                <w:color w:val="auto"/>
              </w:rPr>
              <w:t>251,981</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251,981</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Warrants exercised</w:t>
            </w:r>
          </w:p>
        </w:tc>
        <w:tc>
          <w:tcPr>
            <w:tcW w:w="10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3"/>
                <w:szCs w:val="13"/>
                <w:color w:val="auto"/>
              </w:rPr>
              <w:t>219,000</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3"/>
                <w:szCs w:val="13"/>
                <w:color w:val="auto"/>
              </w:rPr>
              <w:t>425,000</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3"/>
                <w:szCs w:val="13"/>
                <w:color w:val="auto"/>
              </w:rPr>
              <w:t>425,000</w:t>
            </w:r>
          </w:p>
        </w:tc>
        <w:tc>
          <w:tcPr>
            <w:tcW w:w="0" w:type="dxa"/>
            <w:vAlign w:val="bottom"/>
          </w:tcPr>
          <w:p>
            <w:pPr>
              <w:spacing w:after="0"/>
              <w:rPr>
                <w:sz w:val="1"/>
                <w:szCs w:val="1"/>
                <w:color w:val="auto"/>
              </w:rPr>
            </w:pPr>
          </w:p>
        </w:tc>
      </w:tr>
      <w:tr>
        <w:trPr>
          <w:trHeight w:val="114"/>
        </w:trPr>
        <w:tc>
          <w:tcPr>
            <w:tcW w:w="2280" w:type="dxa"/>
            <w:vAlign w:val="bottom"/>
          </w:tcPr>
          <w:p>
            <w:pPr>
              <w:spacing w:after="0" w:line="114" w:lineRule="exact"/>
              <w:rPr>
                <w:sz w:val="20"/>
                <w:szCs w:val="20"/>
                <w:color w:val="auto"/>
              </w:rPr>
            </w:pPr>
            <w:r>
              <w:rPr>
                <w:rFonts w:ascii="Arial" w:cs="Arial" w:eastAsia="Arial" w:hAnsi="Arial"/>
                <w:sz w:val="13"/>
                <w:szCs w:val="13"/>
                <w:color w:val="auto"/>
              </w:rPr>
              <w:t>Warrants issued as part of merger with</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100"/>
              <w:spacing w:after="0" w:line="146" w:lineRule="exact"/>
              <w:rPr>
                <w:sz w:val="20"/>
                <w:szCs w:val="20"/>
                <w:color w:val="auto"/>
              </w:rPr>
            </w:pPr>
            <w:r>
              <w:rPr>
                <w:rFonts w:ascii="Arial" w:cs="Arial" w:eastAsia="Arial" w:hAnsi="Arial"/>
                <w:sz w:val="13"/>
                <w:szCs w:val="13"/>
                <w:color w:val="auto"/>
              </w:rPr>
              <w:t>Glycosan</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954,879</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954,879</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Outside investment in subsidiaries</w:t>
            </w: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3,213,500</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3"/>
                <w:szCs w:val="13"/>
                <w:color w:val="auto"/>
              </w:rPr>
              <w:t>3,213,500</w:t>
            </w:r>
          </w:p>
        </w:tc>
        <w:tc>
          <w:tcPr>
            <w:tcW w:w="0" w:type="dxa"/>
            <w:vAlign w:val="bottom"/>
          </w:tcPr>
          <w:p>
            <w:pPr>
              <w:spacing w:after="0"/>
              <w:rPr>
                <w:sz w:val="1"/>
                <w:szCs w:val="1"/>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3"/>
                <w:szCs w:val="13"/>
                <w:color w:val="auto"/>
                <w:w w:val="98"/>
              </w:rPr>
              <w:t>Stock options granted for compensation</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3"/>
                <w:szCs w:val="13"/>
                <w:color w:val="auto"/>
              </w:rPr>
              <w:t>1,505,566</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1,505,566</w:t>
            </w:r>
          </w:p>
        </w:tc>
        <w:tc>
          <w:tcPr>
            <w:tcW w:w="0" w:type="dxa"/>
            <w:vAlign w:val="bottom"/>
          </w:tcPr>
          <w:p>
            <w:pPr>
              <w:spacing w:after="0"/>
              <w:rPr>
                <w:sz w:val="1"/>
                <w:szCs w:val="1"/>
                <w:color w:val="auto"/>
              </w:rPr>
            </w:pPr>
          </w:p>
        </w:tc>
      </w:tr>
      <w:tr>
        <w:trPr>
          <w:trHeight w:val="114"/>
        </w:trPr>
        <w:tc>
          <w:tcPr>
            <w:tcW w:w="22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3"/>
              </w:rPr>
              <w:t>Stock options granted for compensation in</w:t>
            </w: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subsidiary</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273,635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273,635</w:t>
            </w:r>
          </w:p>
        </w:tc>
        <w:tc>
          <w:tcPr>
            <w:tcW w:w="0" w:type="dxa"/>
            <w:vAlign w:val="bottom"/>
          </w:tcPr>
          <w:p>
            <w:pPr>
              <w:spacing w:after="0"/>
              <w:rPr>
                <w:sz w:val="1"/>
                <w:szCs w:val="1"/>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3"/>
                <w:szCs w:val="13"/>
                <w:color w:val="auto"/>
              </w:rPr>
              <w:t>Foreign currency translation loss</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0" w:lineRule="exact"/>
              <w:rPr>
                <w:sz w:val="20"/>
                <w:szCs w:val="20"/>
                <w:color w:val="auto"/>
              </w:rPr>
            </w:pPr>
            <w:r>
              <w:rPr>
                <w:rFonts w:ascii="Arial" w:cs="Arial" w:eastAsia="Arial" w:hAnsi="Arial"/>
                <w:sz w:val="13"/>
                <w:szCs w:val="13"/>
                <w:color w:val="auto"/>
              </w:rPr>
              <w:t>(1,020,087)</w:t>
            </w:r>
          </w:p>
        </w:tc>
        <w:tc>
          <w:tcPr>
            <w:tcW w:w="60" w:type="dxa"/>
            <w:vAlign w:val="bottom"/>
          </w:tcPr>
          <w:p>
            <w:pPr>
              <w:spacing w:after="0"/>
              <w:rPr>
                <w:sz w:val="11"/>
                <w:szCs w:val="11"/>
                <w:color w:val="auto"/>
              </w:rPr>
            </w:pPr>
          </w:p>
        </w:tc>
        <w:tc>
          <w:tcPr>
            <w:tcW w:w="820" w:type="dxa"/>
            <w:vAlign w:val="bottom"/>
            <w:gridSpan w:val="2"/>
          </w:tcPr>
          <w:p>
            <w:pPr>
              <w:jc w:val="right"/>
              <w:ind w:right="40"/>
              <w:spacing w:after="0" w:line="130" w:lineRule="exact"/>
              <w:rPr>
                <w:sz w:val="20"/>
                <w:szCs w:val="20"/>
                <w:color w:val="auto"/>
              </w:rPr>
            </w:pPr>
            <w:r>
              <w:rPr>
                <w:rFonts w:ascii="Arial" w:cs="Arial" w:eastAsia="Arial" w:hAnsi="Arial"/>
                <w:sz w:val="13"/>
                <w:szCs w:val="13"/>
                <w:color w:val="auto"/>
              </w:rPr>
              <w:t>(1,020,087)</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NET LOSS</w:t>
            </w: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58"/>
              <w:spacing w:after="0" w:line="130" w:lineRule="exact"/>
              <w:rPr>
                <w:sz w:val="20"/>
                <w:szCs w:val="20"/>
                <w:color w:val="auto"/>
              </w:rPr>
            </w:pPr>
            <w:r>
              <w:rPr>
                <w:rFonts w:ascii="Arial" w:cs="Arial" w:eastAsia="Arial" w:hAnsi="Arial"/>
                <w:sz w:val="13"/>
                <w:szCs w:val="13"/>
                <w:color w:val="auto"/>
                <w:w w:val="97"/>
              </w:rPr>
              <w:t>(16,515,500)</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3"/>
                <w:szCs w:val="13"/>
                <w:color w:val="auto"/>
              </w:rPr>
              <w:t>(1,928,383)</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(18,443,883)</w:t>
            </w:r>
          </w:p>
        </w:tc>
        <w:tc>
          <w:tcPr>
            <w:tcW w:w="0" w:type="dxa"/>
            <w:vAlign w:val="bottom"/>
          </w:tcPr>
          <w:p>
            <w:pPr>
              <w:spacing w:after="0"/>
              <w:rPr>
                <w:sz w:val="1"/>
                <w:szCs w:val="1"/>
                <w:color w:val="auto"/>
              </w:rPr>
            </w:pPr>
          </w:p>
        </w:tc>
      </w:tr>
      <w:tr>
        <w:trPr>
          <w:trHeight w:val="134"/>
        </w:trPr>
        <w:tc>
          <w:tcPr>
            <w:tcW w:w="2280" w:type="dxa"/>
            <w:vAlign w:val="bottom"/>
          </w:tcPr>
          <w:p>
            <w:pPr>
              <w:spacing w:after="0" w:line="130" w:lineRule="exact"/>
              <w:rPr>
                <w:sz w:val="20"/>
                <w:szCs w:val="20"/>
                <w:color w:val="auto"/>
              </w:rPr>
            </w:pPr>
            <w:r>
              <w:rPr>
                <w:rFonts w:ascii="Arial" w:cs="Arial" w:eastAsia="Arial" w:hAnsi="Arial"/>
                <w:sz w:val="13"/>
                <w:szCs w:val="13"/>
                <w:color w:val="auto"/>
              </w:rPr>
              <w:t>BALANCE AT DECEMBER 31, 2011</w:t>
            </w:r>
          </w:p>
        </w:tc>
        <w:tc>
          <w:tcPr>
            <w:tcW w:w="820" w:type="dxa"/>
            <w:vAlign w:val="bottom"/>
          </w:tcPr>
          <w:p>
            <w:pPr>
              <w:jc w:val="right"/>
              <w:spacing w:after="0" w:line="130" w:lineRule="exact"/>
              <w:rPr>
                <w:sz w:val="20"/>
                <w:szCs w:val="20"/>
                <w:color w:val="auto"/>
              </w:rPr>
            </w:pPr>
            <w:r>
              <w:rPr>
                <w:rFonts w:ascii="Arial" w:cs="Arial" w:eastAsia="Arial" w:hAnsi="Arial"/>
                <w:sz w:val="13"/>
                <w:szCs w:val="13"/>
                <w:color w:val="auto"/>
              </w:rPr>
              <w:t>50,321,962</w:t>
            </w:r>
          </w:p>
        </w:tc>
        <w:tc>
          <w:tcPr>
            <w:tcW w:w="2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3"/>
                <w:szCs w:val="13"/>
                <w:color w:val="auto"/>
                <w:w w:val="94"/>
              </w:rPr>
              <w:t>115,144,787</w:t>
            </w:r>
          </w:p>
        </w:tc>
        <w:tc>
          <w:tcPr>
            <w:tcW w:w="940" w:type="dxa"/>
            <w:vAlign w:val="bottom"/>
            <w:gridSpan w:val="2"/>
          </w:tcPr>
          <w:p>
            <w:pPr>
              <w:jc w:val="right"/>
              <w:ind w:right="100"/>
              <w:spacing w:after="0" w:line="130" w:lineRule="exact"/>
              <w:rPr>
                <w:sz w:val="20"/>
                <w:szCs w:val="20"/>
                <w:color w:val="auto"/>
              </w:rPr>
            </w:pPr>
            <w:r>
              <w:rPr>
                <w:rFonts w:ascii="Arial" w:cs="Arial" w:eastAsia="Arial" w:hAnsi="Arial"/>
                <w:sz w:val="13"/>
                <w:szCs w:val="13"/>
                <w:color w:val="auto"/>
              </w:rPr>
              <w:t>(1,286,174)</w:t>
            </w:r>
          </w:p>
        </w:tc>
        <w:tc>
          <w:tcPr>
            <w:tcW w:w="240" w:type="dxa"/>
            <w:vAlign w:val="bottom"/>
            <w:gridSpan w:val="2"/>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58"/>
              <w:spacing w:after="0" w:line="130" w:lineRule="exact"/>
              <w:rPr>
                <w:sz w:val="20"/>
                <w:szCs w:val="20"/>
                <w:color w:val="auto"/>
              </w:rPr>
            </w:pPr>
            <w:r>
              <w:rPr>
                <w:rFonts w:ascii="Arial" w:cs="Arial" w:eastAsia="Arial" w:hAnsi="Arial"/>
                <w:sz w:val="13"/>
                <w:szCs w:val="13"/>
                <w:color w:val="auto"/>
              </w:rPr>
              <w:t>(6,000,000)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ind w:left="380"/>
              <w:spacing w:after="0" w:line="130" w:lineRule="exact"/>
              <w:rPr>
                <w:sz w:val="20"/>
                <w:szCs w:val="20"/>
                <w:color w:val="auto"/>
              </w:rPr>
            </w:pPr>
            <w:r>
              <w:rPr>
                <w:rFonts w:ascii="Arial" w:cs="Arial" w:eastAsia="Arial" w:hAnsi="Arial"/>
                <w:sz w:val="13"/>
                <w:szCs w:val="13"/>
                <w:color w:val="auto"/>
              </w:rPr>
              <w:t>93,972</w:t>
            </w:r>
          </w:p>
        </w:tc>
        <w:tc>
          <w:tcPr>
            <w:tcW w:w="200" w:type="dxa"/>
            <w:vAlign w:val="bottom"/>
            <w:gridSpan w:val="2"/>
          </w:tcPr>
          <w:p>
            <w:pPr>
              <w:jc w:val="right"/>
              <w:spacing w:after="0" w:line="130"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58"/>
              <w:spacing w:after="0" w:line="130" w:lineRule="exact"/>
              <w:rPr>
                <w:sz w:val="20"/>
                <w:szCs w:val="20"/>
                <w:color w:val="auto"/>
              </w:rPr>
            </w:pPr>
            <w:r>
              <w:rPr>
                <w:rFonts w:ascii="Arial" w:cs="Arial" w:eastAsia="Arial" w:hAnsi="Arial"/>
                <w:sz w:val="13"/>
                <w:szCs w:val="13"/>
                <w:color w:val="auto"/>
                <w:w w:val="97"/>
              </w:rPr>
              <w:t>(80,470,009)</w:t>
            </w: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30" w:lineRule="exact"/>
              <w:rPr>
                <w:sz w:val="20"/>
                <w:szCs w:val="20"/>
                <w:color w:val="auto"/>
              </w:rPr>
            </w:pPr>
            <w:r>
              <w:rPr>
                <w:rFonts w:ascii="Arial" w:cs="Arial" w:eastAsia="Arial" w:hAnsi="Arial"/>
                <w:sz w:val="13"/>
                <w:szCs w:val="13"/>
                <w:color w:val="auto"/>
              </w:rPr>
              <w:t>12,812,180</w:t>
            </w:r>
          </w:p>
        </w:tc>
        <w:tc>
          <w:tcPr>
            <w:tcW w:w="220" w:type="dxa"/>
            <w:vAlign w:val="bottom"/>
          </w:tcPr>
          <w:p>
            <w:pPr>
              <w:spacing w:after="0"/>
              <w:rPr>
                <w:sz w:val="11"/>
                <w:szCs w:val="11"/>
                <w:color w:val="auto"/>
              </w:rPr>
            </w:pPr>
          </w:p>
        </w:tc>
        <w:tc>
          <w:tcPr>
            <w:tcW w:w="120" w:type="dxa"/>
            <w:vAlign w:val="bottom"/>
          </w:tcPr>
          <w:p>
            <w:pPr>
              <w:spacing w:after="0" w:line="130"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0" w:lineRule="exact"/>
              <w:rPr>
                <w:sz w:val="20"/>
                <w:szCs w:val="20"/>
                <w:color w:val="auto"/>
              </w:rPr>
            </w:pPr>
            <w:r>
              <w:rPr>
                <w:rFonts w:ascii="Arial" w:cs="Arial" w:eastAsia="Arial" w:hAnsi="Arial"/>
                <w:sz w:val="13"/>
                <w:szCs w:val="13"/>
                <w:color w:val="auto"/>
              </w:rPr>
              <w:t>(122,749)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41,458,181</w:t>
            </w:r>
          </w:p>
        </w:tc>
        <w:tc>
          <w:tcPr>
            <w:tcW w:w="0" w:type="dxa"/>
            <w:vAlign w:val="bottom"/>
          </w:tcPr>
          <w:p>
            <w:pPr>
              <w:spacing w:after="0"/>
              <w:rPr>
                <w:sz w:val="1"/>
                <w:szCs w:val="1"/>
                <w:color w:val="auto"/>
              </w:rPr>
            </w:pPr>
          </w:p>
        </w:tc>
      </w:tr>
      <w:tr>
        <w:trPr>
          <w:trHeight w:val="114"/>
        </w:trPr>
        <w:tc>
          <w:tcPr>
            <w:tcW w:w="22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w w:val="94"/>
              </w:rPr>
              <w:t>Common shares issued as part of merger</w:t>
            </w:r>
          </w:p>
        </w:tc>
        <w:tc>
          <w:tcPr>
            <w:tcW w:w="820" w:type="dxa"/>
            <w:vAlign w:val="bottom"/>
            <w:tcBorders>
              <w:top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with XenneX</w:t>
            </w:r>
          </w:p>
        </w:tc>
        <w:tc>
          <w:tcPr>
            <w:tcW w:w="10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448,429</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1,802,684</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1,802,684</w:t>
            </w:r>
          </w:p>
        </w:tc>
        <w:tc>
          <w:tcPr>
            <w:tcW w:w="0" w:type="dxa"/>
            <w:vAlign w:val="bottom"/>
          </w:tcPr>
          <w:p>
            <w:pPr>
              <w:spacing w:after="0"/>
              <w:rPr>
                <w:sz w:val="1"/>
                <w:szCs w:val="1"/>
                <w:color w:val="auto"/>
              </w:rPr>
            </w:pPr>
          </w:p>
        </w:tc>
      </w:tr>
      <w:tr>
        <w:trPr>
          <w:trHeight w:val="114"/>
        </w:trPr>
        <w:tc>
          <w:tcPr>
            <w:tcW w:w="2280" w:type="dxa"/>
            <w:vAlign w:val="bottom"/>
          </w:tcPr>
          <w:p>
            <w:pPr>
              <w:spacing w:after="0" w:line="114" w:lineRule="exact"/>
              <w:rPr>
                <w:sz w:val="20"/>
                <w:szCs w:val="20"/>
                <w:color w:val="auto"/>
              </w:rPr>
            </w:pPr>
            <w:r>
              <w:rPr>
                <w:rFonts w:ascii="Arial" w:cs="Arial" w:eastAsia="Arial" w:hAnsi="Arial"/>
                <w:sz w:val="13"/>
                <w:szCs w:val="13"/>
                <w:color w:val="auto"/>
                <w:w w:val="94"/>
              </w:rPr>
              <w:t>Sales of common shares, net of fees paid</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100"/>
              <w:spacing w:after="0" w:line="146" w:lineRule="exact"/>
              <w:rPr>
                <w:sz w:val="20"/>
                <w:szCs w:val="20"/>
                <w:color w:val="auto"/>
              </w:rPr>
            </w:pPr>
            <w:r>
              <w:rPr>
                <w:rFonts w:ascii="Arial" w:cs="Arial" w:eastAsia="Arial" w:hAnsi="Arial"/>
                <w:sz w:val="13"/>
                <w:szCs w:val="13"/>
                <w:color w:val="auto"/>
              </w:rPr>
              <w:t>and amortized</w:t>
            </w:r>
          </w:p>
        </w:tc>
        <w:tc>
          <w:tcPr>
            <w:tcW w:w="10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314,386</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1,002,220</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1,002,220</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Exercise of options</w:t>
            </w:r>
          </w:p>
        </w:tc>
        <w:tc>
          <w:tcPr>
            <w:tcW w:w="10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3"/>
                <w:szCs w:val="13"/>
                <w:color w:val="auto"/>
              </w:rPr>
              <w:t>98,541</w:t>
            </w: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3"/>
                <w:szCs w:val="13"/>
                <w:color w:val="auto"/>
              </w:rPr>
              <w:t>286,552</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3"/>
                <w:szCs w:val="13"/>
                <w:color w:val="auto"/>
              </w:rPr>
              <w:t>286,552</w:t>
            </w:r>
          </w:p>
        </w:tc>
        <w:tc>
          <w:tcPr>
            <w:tcW w:w="0" w:type="dxa"/>
            <w:vAlign w:val="bottom"/>
          </w:tcPr>
          <w:p>
            <w:pPr>
              <w:spacing w:after="0"/>
              <w:rPr>
                <w:sz w:val="1"/>
                <w:szCs w:val="1"/>
                <w:color w:val="auto"/>
              </w:rPr>
            </w:pPr>
          </w:p>
        </w:tc>
      </w:tr>
      <w:tr>
        <w:trPr>
          <w:trHeight w:val="114"/>
        </w:trPr>
        <w:tc>
          <w:tcPr>
            <w:tcW w:w="2280" w:type="dxa"/>
            <w:vAlign w:val="bottom"/>
          </w:tcPr>
          <w:p>
            <w:pPr>
              <w:spacing w:after="0" w:line="114" w:lineRule="exact"/>
              <w:rPr>
                <w:sz w:val="20"/>
                <w:szCs w:val="20"/>
                <w:color w:val="auto"/>
              </w:rPr>
            </w:pPr>
            <w:r>
              <w:rPr>
                <w:rFonts w:ascii="Arial" w:cs="Arial" w:eastAsia="Arial" w:hAnsi="Arial"/>
                <w:sz w:val="13"/>
                <w:szCs w:val="13"/>
                <w:color w:val="auto"/>
                <w:w w:val="91"/>
              </w:rPr>
              <w:t>Subsidiary shares issued as part of merger</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100"/>
              <w:spacing w:after="0" w:line="146" w:lineRule="exact"/>
              <w:rPr>
                <w:sz w:val="20"/>
                <w:szCs w:val="20"/>
                <w:color w:val="auto"/>
              </w:rPr>
            </w:pPr>
            <w:r>
              <w:rPr>
                <w:rFonts w:ascii="Arial" w:cs="Arial" w:eastAsia="Arial" w:hAnsi="Arial"/>
                <w:sz w:val="13"/>
                <w:szCs w:val="13"/>
                <w:color w:val="auto"/>
              </w:rPr>
              <w:t>with XenneX</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2,501,415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2,501,415</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w w:val="98"/>
              </w:rPr>
              <w:t>Stock options granted for compensation</w:t>
            </w: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3"/>
                <w:szCs w:val="13"/>
                <w:color w:val="auto"/>
              </w:rPr>
              <w:t>1,560,469</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3"/>
                <w:szCs w:val="13"/>
                <w:color w:val="auto"/>
              </w:rPr>
              <w:t>1,560,469</w:t>
            </w:r>
          </w:p>
        </w:tc>
        <w:tc>
          <w:tcPr>
            <w:tcW w:w="0" w:type="dxa"/>
            <w:vAlign w:val="bottom"/>
          </w:tcPr>
          <w:p>
            <w:pPr>
              <w:spacing w:after="0"/>
              <w:rPr>
                <w:sz w:val="1"/>
                <w:szCs w:val="1"/>
                <w:color w:val="auto"/>
              </w:rPr>
            </w:pPr>
          </w:p>
        </w:tc>
      </w:tr>
      <w:tr>
        <w:trPr>
          <w:trHeight w:val="114"/>
        </w:trPr>
        <w:tc>
          <w:tcPr>
            <w:tcW w:w="2280" w:type="dxa"/>
            <w:vAlign w:val="bottom"/>
          </w:tcPr>
          <w:p>
            <w:pPr>
              <w:spacing w:after="0" w:line="114" w:lineRule="exact"/>
              <w:rPr>
                <w:sz w:val="20"/>
                <w:szCs w:val="20"/>
                <w:color w:val="auto"/>
              </w:rPr>
            </w:pPr>
            <w:r>
              <w:rPr>
                <w:rFonts w:ascii="Arial" w:cs="Arial" w:eastAsia="Arial" w:hAnsi="Arial"/>
                <w:sz w:val="13"/>
                <w:szCs w:val="13"/>
                <w:color w:val="auto"/>
                <w:w w:val="93"/>
              </w:rPr>
              <w:t>Stock options granted for compensation in</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100"/>
              <w:spacing w:after="0" w:line="146" w:lineRule="exact"/>
              <w:rPr>
                <w:sz w:val="20"/>
                <w:szCs w:val="20"/>
                <w:color w:val="auto"/>
              </w:rPr>
            </w:pPr>
            <w:r>
              <w:rPr>
                <w:rFonts w:ascii="Arial" w:cs="Arial" w:eastAsia="Arial" w:hAnsi="Arial"/>
                <w:sz w:val="13"/>
                <w:szCs w:val="13"/>
                <w:color w:val="auto"/>
              </w:rPr>
              <w:t>subsidiary</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24,531</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274,656</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299,187</w:t>
            </w:r>
          </w:p>
        </w:tc>
        <w:tc>
          <w:tcPr>
            <w:tcW w:w="0" w:type="dxa"/>
            <w:vAlign w:val="bottom"/>
          </w:tcPr>
          <w:p>
            <w:pPr>
              <w:spacing w:after="0"/>
              <w:rPr>
                <w:sz w:val="1"/>
                <w:szCs w:val="1"/>
                <w:color w:val="auto"/>
              </w:rPr>
            </w:pPr>
          </w:p>
        </w:tc>
      </w:tr>
      <w:tr>
        <w:trPr>
          <w:trHeight w:val="114"/>
        </w:trPr>
        <w:tc>
          <w:tcPr>
            <w:tcW w:w="22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Outside investment in subsidiary with</w:t>
            </w: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BioTime common shares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(592,533)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58"/>
              <w:spacing w:after="0" w:line="146" w:lineRule="exact"/>
              <w:rPr>
                <w:sz w:val="20"/>
                <w:szCs w:val="20"/>
                <w:color w:val="auto"/>
              </w:rPr>
            </w:pPr>
            <w:r>
              <w:rPr>
                <w:rFonts w:ascii="Arial" w:cs="Arial" w:eastAsia="Arial" w:hAnsi="Arial"/>
                <w:sz w:val="13"/>
                <w:szCs w:val="13"/>
                <w:color w:val="auto"/>
              </w:rPr>
              <w:t>(2,750,003)</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2,750,003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3"/>
                <w:szCs w:val="13"/>
                <w:color w:val="auto"/>
              </w:rPr>
              <w:t>Sales of treasury shares</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78,598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198"/>
              <w:spacing w:after="0" w:line="130" w:lineRule="exact"/>
              <w:rPr>
                <w:sz w:val="20"/>
                <w:szCs w:val="20"/>
                <w:color w:val="auto"/>
              </w:rPr>
            </w:pPr>
            <w:r>
              <w:rPr>
                <w:rFonts w:ascii="Arial" w:cs="Arial" w:eastAsia="Arial" w:hAnsi="Arial"/>
                <w:sz w:val="13"/>
                <w:szCs w:val="13"/>
                <w:color w:val="auto"/>
              </w:rPr>
              <w:t>374,606</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374,606</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w w:val="93"/>
              </w:rPr>
              <w:t>Outside investment in subsidiaries in cash</w:t>
            </w: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3"/>
                <w:szCs w:val="13"/>
                <w:color w:val="auto"/>
              </w:rPr>
              <w:t>250,000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114"/>
        </w:trPr>
        <w:tc>
          <w:tcPr>
            <w:tcW w:w="2280" w:type="dxa"/>
            <w:vAlign w:val="bottom"/>
          </w:tcPr>
          <w:p>
            <w:pPr>
              <w:spacing w:after="0" w:line="114" w:lineRule="exact"/>
              <w:rPr>
                <w:sz w:val="20"/>
                <w:szCs w:val="20"/>
                <w:color w:val="auto"/>
              </w:rPr>
            </w:pPr>
            <w:r>
              <w:rPr>
                <w:rFonts w:ascii="Arial" w:cs="Arial" w:eastAsia="Arial" w:hAnsi="Arial"/>
                <w:sz w:val="13"/>
                <w:szCs w:val="13"/>
                <w:color w:val="auto"/>
              </w:rPr>
              <w:t>Outside investment in subsidiaries with</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100"/>
              <w:spacing w:after="0" w:line="146" w:lineRule="exact"/>
              <w:rPr>
                <w:sz w:val="20"/>
                <w:szCs w:val="20"/>
                <w:color w:val="auto"/>
              </w:rPr>
            </w:pPr>
            <w:r>
              <w:rPr>
                <w:rFonts w:ascii="Arial" w:cs="Arial" w:eastAsia="Arial" w:hAnsi="Arial"/>
                <w:sz w:val="13"/>
                <w:szCs w:val="13"/>
                <w:color w:val="auto"/>
              </w:rPr>
              <w:t>stock</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1,740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1,740</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Foreign currency translation gain</w:t>
            </w: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3"/>
                <w:szCs w:val="13"/>
                <w:color w:val="auto"/>
              </w:rPr>
              <w:t>63,179</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3"/>
                <w:szCs w:val="13"/>
                <w:color w:val="auto"/>
              </w:rPr>
              <w:t>63,179</w:t>
            </w:r>
          </w:p>
        </w:tc>
        <w:tc>
          <w:tcPr>
            <w:tcW w:w="0" w:type="dxa"/>
            <w:vAlign w:val="bottom"/>
          </w:tcPr>
          <w:p>
            <w:pPr>
              <w:spacing w:after="0"/>
              <w:rPr>
                <w:sz w:val="1"/>
                <w:szCs w:val="1"/>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3"/>
                <w:szCs w:val="13"/>
                <w:color w:val="auto"/>
              </w:rPr>
              <w:t>NET LOSS</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58"/>
              <w:spacing w:after="0" w:line="130" w:lineRule="exact"/>
              <w:rPr>
                <w:sz w:val="20"/>
                <w:szCs w:val="20"/>
                <w:color w:val="auto"/>
              </w:rPr>
            </w:pPr>
            <w:r>
              <w:rPr>
                <w:rFonts w:ascii="Arial" w:cs="Arial" w:eastAsia="Arial" w:hAnsi="Arial"/>
                <w:sz w:val="13"/>
                <w:szCs w:val="13"/>
                <w:color w:val="auto"/>
                <w:w w:val="97"/>
              </w:rPr>
              <w:t>(21,425,703)</w:t>
            </w:r>
          </w:p>
        </w:tc>
        <w:tc>
          <w:tcPr>
            <w:tcW w:w="160" w:type="dxa"/>
            <w:vAlign w:val="bottom"/>
          </w:tcPr>
          <w:p>
            <w:pPr>
              <w:spacing w:after="0"/>
              <w:rPr>
                <w:sz w:val="11"/>
                <w:szCs w:val="11"/>
                <w:color w:val="auto"/>
              </w:rPr>
            </w:pPr>
          </w:p>
        </w:tc>
        <w:tc>
          <w:tcPr>
            <w:tcW w:w="940" w:type="dxa"/>
            <w:vAlign w:val="bottom"/>
            <w:gridSpan w:val="2"/>
          </w:tcPr>
          <w:p>
            <w:pPr>
              <w:jc w:val="right"/>
              <w:ind w:right="180"/>
              <w:spacing w:after="0" w:line="130" w:lineRule="exact"/>
              <w:rPr>
                <w:sz w:val="20"/>
                <w:szCs w:val="20"/>
                <w:color w:val="auto"/>
              </w:rPr>
            </w:pPr>
            <w:r>
              <w:rPr>
                <w:rFonts w:ascii="Arial" w:cs="Arial" w:eastAsia="Arial" w:hAnsi="Arial"/>
                <w:sz w:val="13"/>
                <w:szCs w:val="13"/>
                <w:color w:val="auto"/>
              </w:rPr>
              <w:t>(3,880,157)</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40"/>
              <w:spacing w:after="0" w:line="130" w:lineRule="exact"/>
              <w:rPr>
                <w:sz w:val="20"/>
                <w:szCs w:val="20"/>
                <w:color w:val="auto"/>
              </w:rPr>
            </w:pPr>
            <w:r>
              <w:rPr>
                <w:rFonts w:ascii="Arial" w:cs="Arial" w:eastAsia="Arial" w:hAnsi="Arial"/>
                <w:sz w:val="13"/>
                <w:szCs w:val="13"/>
                <w:color w:val="auto"/>
              </w:rPr>
              <w:t>(25,305,860)</w:t>
            </w:r>
          </w:p>
        </w:tc>
        <w:tc>
          <w:tcPr>
            <w:tcW w:w="0" w:type="dxa"/>
            <w:vAlign w:val="bottom"/>
          </w:tcPr>
          <w:p>
            <w:pPr>
              <w:spacing w:after="0"/>
              <w:rPr>
                <w:sz w:val="1"/>
                <w:szCs w:val="1"/>
                <w:color w:val="auto"/>
              </w:rPr>
            </w:pPr>
          </w:p>
        </w:tc>
      </w:tr>
      <w:tr>
        <w:trPr>
          <w:trHeight w:val="134"/>
        </w:trPr>
        <w:tc>
          <w:tcPr>
            <w:tcW w:w="22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BALANCE AT DECEMBER 31, 2012</w:t>
            </w:r>
          </w:p>
        </w:tc>
        <w:tc>
          <w:tcPr>
            <w:tcW w:w="8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51,183,318</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3"/>
                <w:szCs w:val="13"/>
                <w:color w:val="auto"/>
                <w:w w:val="94"/>
              </w:rPr>
              <w:t>119,821,243</w:t>
            </w:r>
          </w:p>
        </w:tc>
        <w:tc>
          <w:tcPr>
            <w:tcW w:w="9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3"/>
                <w:szCs w:val="13"/>
                <w:color w:val="auto"/>
              </w:rPr>
              <w:t>(1,800,109)</w:t>
            </w:r>
          </w:p>
        </w:tc>
        <w:tc>
          <w:tcPr>
            <w:tcW w:w="24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58"/>
              <w:spacing w:after="0" w:line="130" w:lineRule="exact"/>
              <w:rPr>
                <w:sz w:val="20"/>
                <w:szCs w:val="20"/>
                <w:color w:val="auto"/>
              </w:rPr>
            </w:pPr>
            <w:r>
              <w:rPr>
                <w:rFonts w:ascii="Arial" w:cs="Arial" w:eastAsia="Arial" w:hAnsi="Arial"/>
                <w:sz w:val="13"/>
                <w:szCs w:val="13"/>
                <w:color w:val="auto"/>
              </w:rPr>
              <w:t>(8,375,397)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ind w:left="380"/>
              <w:spacing w:after="0" w:line="130" w:lineRule="exact"/>
              <w:rPr>
                <w:sz w:val="20"/>
                <w:szCs w:val="20"/>
                <w:color w:val="auto"/>
              </w:rPr>
            </w:pPr>
            <w:r>
              <w:rPr>
                <w:rFonts w:ascii="Arial" w:cs="Arial" w:eastAsia="Arial" w:hAnsi="Arial"/>
                <w:sz w:val="13"/>
                <w:szCs w:val="13"/>
                <w:color w:val="auto"/>
              </w:rPr>
              <w:t>93,972</w:t>
            </w:r>
          </w:p>
        </w:tc>
        <w:tc>
          <w:tcPr>
            <w:tcW w:w="2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58"/>
              <w:spacing w:after="0" w:line="130" w:lineRule="exact"/>
              <w:rPr>
                <w:sz w:val="20"/>
                <w:szCs w:val="20"/>
                <w:color w:val="auto"/>
              </w:rPr>
            </w:pPr>
            <w:r>
              <w:rPr>
                <w:rFonts w:ascii="Arial" w:cs="Arial" w:eastAsia="Arial" w:hAnsi="Arial"/>
                <w:sz w:val="13"/>
                <w:szCs w:val="13"/>
                <w:color w:val="auto"/>
                <w:w w:val="88"/>
              </w:rPr>
              <w:t>(101,895,712)</w:t>
            </w:r>
          </w:p>
        </w:tc>
        <w:tc>
          <w:tcPr>
            <w:tcW w:w="160" w:type="dxa"/>
            <w:vAlign w:val="bottom"/>
            <w:shd w:val="clear" w:color="auto" w:fill="CCEEFF"/>
          </w:tcPr>
          <w:p>
            <w:pPr>
              <w:jc w:val="right"/>
              <w:ind w:right="45"/>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14,709,837</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3"/>
                <w:szCs w:val="13"/>
                <w:color w:val="auto"/>
              </w:rPr>
              <w:t>(59,570)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3"/>
                <w:szCs w:val="13"/>
                <w:color w:val="auto"/>
              </w:rPr>
              <w:t>24,294,373</w:t>
            </w:r>
          </w:p>
        </w:tc>
        <w:tc>
          <w:tcPr>
            <w:tcW w:w="0" w:type="dxa"/>
            <w:vAlign w:val="bottom"/>
          </w:tcPr>
          <w:p>
            <w:pPr>
              <w:spacing w:after="0"/>
              <w:rPr>
                <w:sz w:val="1"/>
                <w:szCs w:val="1"/>
                <w:color w:val="auto"/>
              </w:rPr>
            </w:pPr>
          </w:p>
        </w:tc>
      </w:tr>
      <w:tr>
        <w:trPr>
          <w:trHeight w:val="114"/>
        </w:trPr>
        <w:tc>
          <w:tcPr>
            <w:tcW w:w="2280" w:type="dxa"/>
            <w:vAlign w:val="bottom"/>
            <w:tcBorders>
              <w:top w:val="single" w:sz="8" w:color="CCEEFF"/>
            </w:tcBorders>
          </w:tcPr>
          <w:p>
            <w:pPr>
              <w:spacing w:after="0" w:line="114" w:lineRule="exact"/>
              <w:rPr>
                <w:sz w:val="20"/>
                <w:szCs w:val="20"/>
                <w:color w:val="auto"/>
              </w:rPr>
            </w:pPr>
            <w:r>
              <w:rPr>
                <w:rFonts w:ascii="Arial" w:cs="Arial" w:eastAsia="Arial" w:hAnsi="Arial"/>
                <w:sz w:val="13"/>
                <w:szCs w:val="13"/>
                <w:color w:val="auto"/>
              </w:rPr>
              <w:t>Common shares issued as part of</w:t>
            </w:r>
          </w:p>
        </w:tc>
        <w:tc>
          <w:tcPr>
            <w:tcW w:w="82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100"/>
              <w:spacing w:after="0" w:line="146" w:lineRule="exact"/>
              <w:rPr>
                <w:sz w:val="20"/>
                <w:szCs w:val="20"/>
                <w:color w:val="auto"/>
              </w:rPr>
            </w:pPr>
            <w:r>
              <w:rPr>
                <w:rFonts w:ascii="Arial" w:cs="Arial" w:eastAsia="Arial" w:hAnsi="Arial"/>
                <w:sz w:val="13"/>
                <w:szCs w:val="13"/>
                <w:color w:val="auto"/>
              </w:rPr>
              <w:t>investment in subsidiary</w:t>
            </w: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9,808,812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38,485,162</w:t>
            </w:r>
          </w:p>
        </w:tc>
        <w:tc>
          <w:tcPr>
            <w:tcW w:w="94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(9,808,812)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58"/>
              <w:spacing w:after="0" w:line="146" w:lineRule="exact"/>
              <w:rPr>
                <w:sz w:val="20"/>
                <w:szCs w:val="20"/>
                <w:color w:val="auto"/>
              </w:rPr>
            </w:pPr>
            <w:r>
              <w:rPr>
                <w:rFonts w:ascii="Arial" w:cs="Arial" w:eastAsia="Arial" w:hAnsi="Arial"/>
                <w:sz w:val="13"/>
                <w:szCs w:val="13"/>
                <w:color w:val="auto"/>
                <w:w w:val="94"/>
              </w:rPr>
              <w:t>(38,485,162)</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2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8,000,000 Warrants issued as part of</w:t>
            </w: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investment in subsidiary</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18,276,406</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18,276,406</w:t>
            </w:r>
          </w:p>
        </w:tc>
        <w:tc>
          <w:tcPr>
            <w:tcW w:w="0" w:type="dxa"/>
            <w:vAlign w:val="bottom"/>
          </w:tcPr>
          <w:p>
            <w:pPr>
              <w:spacing w:after="0"/>
              <w:rPr>
                <w:sz w:val="1"/>
                <w:szCs w:val="1"/>
                <w:color w:val="auto"/>
              </w:rPr>
            </w:pPr>
          </w:p>
        </w:tc>
      </w:tr>
      <w:tr>
        <w:trPr>
          <w:trHeight w:val="114"/>
        </w:trPr>
        <w:tc>
          <w:tcPr>
            <w:tcW w:w="2280" w:type="dxa"/>
            <w:vAlign w:val="bottom"/>
          </w:tcPr>
          <w:p>
            <w:pPr>
              <w:spacing w:after="0" w:line="114" w:lineRule="exact"/>
              <w:rPr>
                <w:sz w:val="20"/>
                <w:szCs w:val="20"/>
                <w:color w:val="auto"/>
              </w:rPr>
            </w:pPr>
            <w:r>
              <w:rPr>
                <w:rFonts w:ascii="Arial" w:cs="Arial" w:eastAsia="Arial" w:hAnsi="Arial"/>
                <w:sz w:val="13"/>
                <w:szCs w:val="13"/>
                <w:color w:val="auto"/>
                <w:w w:val="97"/>
              </w:rPr>
              <w:t>Sale of common shares, net of fees paid</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100"/>
              <w:spacing w:after="0" w:line="146" w:lineRule="exact"/>
              <w:rPr>
                <w:sz w:val="20"/>
                <w:szCs w:val="20"/>
                <w:color w:val="auto"/>
              </w:rPr>
            </w:pPr>
            <w:r>
              <w:rPr>
                <w:rFonts w:ascii="Arial" w:cs="Arial" w:eastAsia="Arial" w:hAnsi="Arial"/>
                <w:sz w:val="13"/>
                <w:szCs w:val="13"/>
                <w:color w:val="auto"/>
              </w:rPr>
              <w:t>and amortized and syndication costs</w:t>
            </w:r>
          </w:p>
        </w:tc>
        <w:tc>
          <w:tcPr>
            <w:tcW w:w="820" w:type="dxa"/>
            <w:vAlign w:val="bottom"/>
          </w:tcPr>
          <w:p>
            <w:pPr>
              <w:jc w:val="right"/>
              <w:spacing w:after="0" w:line="146" w:lineRule="exact"/>
              <w:rPr>
                <w:sz w:val="20"/>
                <w:szCs w:val="20"/>
                <w:color w:val="auto"/>
              </w:rPr>
            </w:pPr>
            <w:r>
              <w:rPr>
                <w:rFonts w:ascii="Arial" w:cs="Arial" w:eastAsia="Arial" w:hAnsi="Arial"/>
                <w:sz w:val="13"/>
                <w:szCs w:val="13"/>
                <w:color w:val="auto"/>
              </w:rPr>
              <w:t>6,284,456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22,297,209</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22,297,209</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Warrants issued to outside investors</w:t>
            </w: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3"/>
                <w:szCs w:val="13"/>
                <w:color w:val="auto"/>
              </w:rPr>
              <w:t>1,848,730</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3"/>
                <w:szCs w:val="13"/>
                <w:color w:val="auto"/>
              </w:rPr>
              <w:t>1,848,730</w:t>
            </w:r>
          </w:p>
        </w:tc>
        <w:tc>
          <w:tcPr>
            <w:tcW w:w="0" w:type="dxa"/>
            <w:vAlign w:val="bottom"/>
          </w:tcPr>
          <w:p>
            <w:pPr>
              <w:spacing w:after="0"/>
              <w:rPr>
                <w:sz w:val="1"/>
                <w:szCs w:val="1"/>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3"/>
                <w:szCs w:val="13"/>
                <w:color w:val="auto"/>
              </w:rPr>
              <w:t>Common shares issued for rent</w:t>
            </w:r>
          </w:p>
        </w:tc>
        <w:tc>
          <w:tcPr>
            <w:tcW w:w="1060" w:type="dxa"/>
            <w:vAlign w:val="bottom"/>
            <w:gridSpan w:val="2"/>
          </w:tcPr>
          <w:p>
            <w:pPr>
              <w:jc w:val="right"/>
              <w:ind w:right="240"/>
              <w:spacing w:after="0" w:line="130" w:lineRule="exact"/>
              <w:rPr>
                <w:sz w:val="20"/>
                <w:szCs w:val="20"/>
                <w:color w:val="auto"/>
              </w:rPr>
            </w:pPr>
            <w:r>
              <w:rPr>
                <w:rFonts w:ascii="Arial" w:cs="Arial" w:eastAsia="Arial" w:hAnsi="Arial"/>
                <w:sz w:val="13"/>
                <w:szCs w:val="13"/>
                <w:color w:val="auto"/>
              </w:rPr>
              <w:t>73,553</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3"/>
                <w:szCs w:val="13"/>
                <w:color w:val="auto"/>
              </w:rPr>
              <w:t>253,758</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253,758</w:t>
            </w:r>
          </w:p>
        </w:tc>
        <w:tc>
          <w:tcPr>
            <w:tcW w:w="0" w:type="dxa"/>
            <w:vAlign w:val="bottom"/>
          </w:tcPr>
          <w:p>
            <w:pPr>
              <w:spacing w:after="0"/>
              <w:rPr>
                <w:sz w:val="1"/>
                <w:szCs w:val="1"/>
                <w:color w:val="auto"/>
              </w:rPr>
            </w:pPr>
          </w:p>
        </w:tc>
      </w:tr>
      <w:tr>
        <w:trPr>
          <w:trHeight w:val="114"/>
        </w:trPr>
        <w:tc>
          <w:tcPr>
            <w:tcW w:w="22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Common shares issued for consulting</w:t>
            </w: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services</w:t>
            </w:r>
          </w:p>
        </w:tc>
        <w:tc>
          <w:tcPr>
            <w:tcW w:w="106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42,000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6" w:lineRule="exact"/>
              <w:rPr>
                <w:sz w:val="20"/>
                <w:szCs w:val="20"/>
                <w:color w:val="auto"/>
              </w:rPr>
            </w:pPr>
            <w:r>
              <w:rPr>
                <w:rFonts w:ascii="Arial" w:cs="Arial" w:eastAsia="Arial" w:hAnsi="Arial"/>
                <w:sz w:val="13"/>
                <w:szCs w:val="13"/>
                <w:color w:val="auto"/>
              </w:rPr>
              <w:t>173,100</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173,100</w:t>
            </w:r>
          </w:p>
        </w:tc>
        <w:tc>
          <w:tcPr>
            <w:tcW w:w="0" w:type="dxa"/>
            <w:vAlign w:val="bottom"/>
          </w:tcPr>
          <w:p>
            <w:pPr>
              <w:spacing w:after="0"/>
              <w:rPr>
                <w:sz w:val="1"/>
                <w:szCs w:val="1"/>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3"/>
                <w:szCs w:val="13"/>
                <w:color w:val="auto"/>
              </w:rPr>
              <w:t>Exercise of options</w:t>
            </w:r>
          </w:p>
        </w:tc>
        <w:tc>
          <w:tcPr>
            <w:tcW w:w="1060" w:type="dxa"/>
            <w:vAlign w:val="bottom"/>
            <w:gridSpan w:val="2"/>
          </w:tcPr>
          <w:p>
            <w:pPr>
              <w:jc w:val="right"/>
              <w:ind w:right="240"/>
              <w:spacing w:after="0" w:line="130" w:lineRule="exact"/>
              <w:rPr>
                <w:sz w:val="20"/>
                <w:szCs w:val="20"/>
                <w:color w:val="auto"/>
              </w:rPr>
            </w:pPr>
            <w:r>
              <w:rPr>
                <w:rFonts w:ascii="Arial" w:cs="Arial" w:eastAsia="Arial" w:hAnsi="Arial"/>
                <w:sz w:val="13"/>
                <w:szCs w:val="13"/>
                <w:color w:val="auto"/>
              </w:rPr>
              <w:t>20,000</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line="130" w:lineRule="exact"/>
              <w:rPr>
                <w:sz w:val="20"/>
                <w:szCs w:val="20"/>
                <w:color w:val="auto"/>
              </w:rPr>
            </w:pPr>
            <w:r>
              <w:rPr>
                <w:rFonts w:ascii="Arial" w:cs="Arial" w:eastAsia="Arial" w:hAnsi="Arial"/>
                <w:sz w:val="13"/>
                <w:szCs w:val="13"/>
                <w:color w:val="auto"/>
              </w:rPr>
              <w:t>46,000</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46,000</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w w:val="98"/>
              </w:rPr>
              <w:t>Stock options granted for compensation</w:t>
            </w: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3"/>
                <w:szCs w:val="13"/>
                <w:color w:val="auto"/>
              </w:rPr>
              <w:t>2,143,596</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3"/>
                <w:szCs w:val="13"/>
                <w:color w:val="auto"/>
              </w:rPr>
              <w:t>2,143,596</w:t>
            </w:r>
          </w:p>
        </w:tc>
        <w:tc>
          <w:tcPr>
            <w:tcW w:w="0" w:type="dxa"/>
            <w:vAlign w:val="bottom"/>
          </w:tcPr>
          <w:p>
            <w:pPr>
              <w:spacing w:after="0"/>
              <w:rPr>
                <w:sz w:val="1"/>
                <w:szCs w:val="1"/>
                <w:color w:val="auto"/>
              </w:rPr>
            </w:pPr>
          </w:p>
        </w:tc>
      </w:tr>
      <w:tr>
        <w:trPr>
          <w:trHeight w:val="114"/>
        </w:trPr>
        <w:tc>
          <w:tcPr>
            <w:tcW w:w="2280" w:type="dxa"/>
            <w:vAlign w:val="bottom"/>
          </w:tcPr>
          <w:p>
            <w:pPr>
              <w:spacing w:after="0" w:line="114" w:lineRule="exact"/>
              <w:rPr>
                <w:sz w:val="20"/>
                <w:szCs w:val="20"/>
                <w:color w:val="auto"/>
              </w:rPr>
            </w:pPr>
            <w:r>
              <w:rPr>
                <w:rFonts w:ascii="Arial" w:cs="Arial" w:eastAsia="Arial" w:hAnsi="Arial"/>
                <w:sz w:val="13"/>
                <w:szCs w:val="13"/>
                <w:color w:val="auto"/>
                <w:w w:val="93"/>
              </w:rPr>
              <w:t>Stock options granted for compensation in</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tcPr>
          <w:p>
            <w:pPr>
              <w:ind w:left="100"/>
              <w:spacing w:after="0" w:line="146" w:lineRule="exact"/>
              <w:rPr>
                <w:sz w:val="20"/>
                <w:szCs w:val="20"/>
                <w:color w:val="auto"/>
              </w:rPr>
            </w:pPr>
            <w:r>
              <w:rPr>
                <w:rFonts w:ascii="Arial" w:cs="Arial" w:eastAsia="Arial" w:hAnsi="Arial"/>
                <w:sz w:val="13"/>
                <w:szCs w:val="13"/>
                <w:color w:val="auto"/>
              </w:rPr>
              <w:t>subsidiary</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111,197</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789,981</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901,178</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Sale of treasury stock</w:t>
            </w: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911,206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98"/>
              <w:spacing w:after="0" w:line="130" w:lineRule="exact"/>
              <w:rPr>
                <w:sz w:val="20"/>
                <w:szCs w:val="20"/>
                <w:color w:val="auto"/>
              </w:rPr>
            </w:pPr>
            <w:r>
              <w:rPr>
                <w:rFonts w:ascii="Arial" w:cs="Arial" w:eastAsia="Arial" w:hAnsi="Arial"/>
                <w:sz w:val="13"/>
                <w:szCs w:val="13"/>
                <w:color w:val="auto"/>
              </w:rPr>
              <w:t>3,826,602</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3"/>
                <w:szCs w:val="13"/>
                <w:color w:val="auto"/>
              </w:rPr>
              <w:t>3,826,602</w:t>
            </w:r>
          </w:p>
        </w:tc>
        <w:tc>
          <w:tcPr>
            <w:tcW w:w="0" w:type="dxa"/>
            <w:vAlign w:val="bottom"/>
          </w:tcPr>
          <w:p>
            <w:pPr>
              <w:spacing w:after="0"/>
              <w:rPr>
                <w:sz w:val="1"/>
                <w:szCs w:val="1"/>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3"/>
                <w:szCs w:val="13"/>
                <w:color w:val="auto"/>
                <w:w w:val="92"/>
              </w:rPr>
              <w:t>Outside investment in subsidiary with cash</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3"/>
                <w:szCs w:val="13"/>
                <w:color w:val="auto"/>
              </w:rPr>
              <w:t>5,255,502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5,255,502</w:t>
            </w:r>
          </w:p>
        </w:tc>
        <w:tc>
          <w:tcPr>
            <w:tcW w:w="0" w:type="dxa"/>
            <w:vAlign w:val="bottom"/>
          </w:tcPr>
          <w:p>
            <w:pPr>
              <w:spacing w:after="0"/>
              <w:rPr>
                <w:sz w:val="1"/>
                <w:szCs w:val="1"/>
                <w:color w:val="auto"/>
              </w:rPr>
            </w:pPr>
          </w:p>
        </w:tc>
      </w:tr>
      <w:tr>
        <w:trPr>
          <w:trHeight w:val="114"/>
        </w:trPr>
        <w:tc>
          <w:tcPr>
            <w:tcW w:w="22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Outside investment in subsidiary with</w:t>
            </w: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CCEEFF"/>
          </w:tcPr>
          <w:p>
            <w:pPr>
              <w:ind w:left="100"/>
              <w:spacing w:after="0" w:line="146" w:lineRule="exact"/>
              <w:rPr>
                <w:sz w:val="20"/>
                <w:szCs w:val="20"/>
                <w:color w:val="auto"/>
              </w:rPr>
            </w:pPr>
            <w:r>
              <w:rPr>
                <w:rFonts w:ascii="Arial" w:cs="Arial" w:eastAsia="Arial" w:hAnsi="Arial"/>
                <w:sz w:val="13"/>
                <w:szCs w:val="13"/>
                <w:color w:val="auto"/>
              </w:rPr>
              <w:t>assets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15,732,524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15,732,524</w:t>
            </w:r>
          </w:p>
        </w:tc>
        <w:tc>
          <w:tcPr>
            <w:tcW w:w="0" w:type="dxa"/>
            <w:vAlign w:val="bottom"/>
          </w:tcPr>
          <w:p>
            <w:pPr>
              <w:spacing w:after="0"/>
              <w:rPr>
                <w:sz w:val="1"/>
                <w:szCs w:val="1"/>
                <w:color w:val="auto"/>
              </w:rPr>
            </w:pPr>
          </w:p>
        </w:tc>
      </w:tr>
      <w:tr>
        <w:trPr>
          <w:trHeight w:val="130"/>
        </w:trPr>
        <w:tc>
          <w:tcPr>
            <w:tcW w:w="2280" w:type="dxa"/>
            <w:vAlign w:val="bottom"/>
          </w:tcPr>
          <w:p>
            <w:pPr>
              <w:spacing w:after="0" w:line="130" w:lineRule="exact"/>
              <w:rPr>
                <w:sz w:val="20"/>
                <w:szCs w:val="20"/>
                <w:color w:val="auto"/>
              </w:rPr>
            </w:pPr>
            <w:r>
              <w:rPr>
                <w:rFonts w:ascii="Arial" w:cs="Arial" w:eastAsia="Arial" w:hAnsi="Arial"/>
                <w:sz w:val="13"/>
                <w:szCs w:val="13"/>
                <w:color w:val="auto"/>
              </w:rPr>
              <w:t>Foreign currency translation gain</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0" w:lineRule="exact"/>
              <w:rPr>
                <w:sz w:val="20"/>
                <w:szCs w:val="20"/>
                <w:color w:val="auto"/>
              </w:rPr>
            </w:pPr>
            <w:r>
              <w:rPr>
                <w:rFonts w:ascii="Arial" w:cs="Arial" w:eastAsia="Arial" w:hAnsi="Arial"/>
                <w:sz w:val="13"/>
                <w:szCs w:val="13"/>
                <w:color w:val="auto"/>
              </w:rPr>
              <w:t>119,469</w:t>
            </w:r>
          </w:p>
        </w:tc>
        <w:tc>
          <w:tcPr>
            <w:tcW w:w="6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119,469</w:t>
            </w:r>
          </w:p>
        </w:tc>
        <w:tc>
          <w:tcPr>
            <w:tcW w:w="0" w:type="dxa"/>
            <w:vAlign w:val="bottom"/>
          </w:tcPr>
          <w:p>
            <w:pPr>
              <w:spacing w:after="0"/>
              <w:rPr>
                <w:sz w:val="1"/>
                <w:szCs w:val="1"/>
                <w:color w:val="auto"/>
              </w:rPr>
            </w:pPr>
          </w:p>
        </w:tc>
      </w:tr>
      <w:tr>
        <w:trPr>
          <w:trHeight w:val="114"/>
        </w:trPr>
        <w:tc>
          <w:tcPr>
            <w:tcW w:w="228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Unrealized gain on available-for-sale</w:t>
            </w:r>
          </w:p>
        </w:tc>
        <w:tc>
          <w:tcPr>
            <w:tcW w:w="8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280" w:type="dxa"/>
            <w:vAlign w:val="bottom"/>
            <w:shd w:val="clear" w:color="auto" w:fill="CCEEFF"/>
          </w:tcPr>
          <w:p>
            <w:pPr>
              <w:ind w:left="140"/>
              <w:spacing w:after="0" w:line="146" w:lineRule="exact"/>
              <w:rPr>
                <w:sz w:val="20"/>
                <w:szCs w:val="20"/>
                <w:color w:val="auto"/>
              </w:rPr>
            </w:pPr>
            <w:r>
              <w:rPr>
                <w:rFonts w:ascii="Arial" w:cs="Arial" w:eastAsia="Arial" w:hAnsi="Arial"/>
                <w:sz w:val="13"/>
                <w:szCs w:val="13"/>
                <w:color w:val="auto"/>
              </w:rPr>
              <w:t>securities</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3,000</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134"/>
        </w:trPr>
        <w:tc>
          <w:tcPr>
            <w:tcW w:w="2280" w:type="dxa"/>
            <w:vAlign w:val="bottom"/>
          </w:tcPr>
          <w:p>
            <w:pPr>
              <w:spacing w:after="0" w:line="130" w:lineRule="exact"/>
              <w:rPr>
                <w:sz w:val="20"/>
                <w:szCs w:val="20"/>
                <w:color w:val="auto"/>
              </w:rPr>
            </w:pPr>
            <w:r>
              <w:rPr>
                <w:rFonts w:ascii="Arial" w:cs="Arial" w:eastAsia="Arial" w:hAnsi="Arial"/>
                <w:sz w:val="13"/>
                <w:szCs w:val="13"/>
                <w:color w:val="auto"/>
              </w:rPr>
              <w:t>NET LOSS</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58"/>
              <w:spacing w:after="0" w:line="130" w:lineRule="exact"/>
              <w:rPr>
                <w:sz w:val="20"/>
                <w:szCs w:val="20"/>
                <w:color w:val="auto"/>
              </w:rPr>
            </w:pPr>
            <w:r>
              <w:rPr>
                <w:rFonts w:ascii="Arial" w:cs="Arial" w:eastAsia="Arial" w:hAnsi="Arial"/>
                <w:sz w:val="13"/>
                <w:szCs w:val="13"/>
                <w:color w:val="auto"/>
                <w:w w:val="97"/>
              </w:rPr>
              <w:t>(43,882,835)</w:t>
            </w:r>
          </w:p>
        </w:tc>
        <w:tc>
          <w:tcPr>
            <w:tcW w:w="160" w:type="dxa"/>
            <w:vAlign w:val="bottom"/>
          </w:tcPr>
          <w:p>
            <w:pPr>
              <w:spacing w:after="0"/>
              <w:rPr>
                <w:sz w:val="11"/>
                <w:szCs w:val="11"/>
                <w:color w:val="auto"/>
              </w:rPr>
            </w:pPr>
          </w:p>
        </w:tc>
        <w:tc>
          <w:tcPr>
            <w:tcW w:w="940" w:type="dxa"/>
            <w:vAlign w:val="bottom"/>
            <w:gridSpan w:val="2"/>
          </w:tcPr>
          <w:p>
            <w:pPr>
              <w:jc w:val="right"/>
              <w:ind w:right="180"/>
              <w:spacing w:after="0" w:line="130" w:lineRule="exact"/>
              <w:rPr>
                <w:sz w:val="20"/>
                <w:szCs w:val="20"/>
                <w:color w:val="auto"/>
              </w:rPr>
            </w:pPr>
            <w:r>
              <w:rPr>
                <w:rFonts w:ascii="Arial" w:cs="Arial" w:eastAsia="Arial" w:hAnsi="Arial"/>
                <w:sz w:val="13"/>
                <w:szCs w:val="13"/>
                <w:color w:val="auto"/>
              </w:rPr>
              <w:t>(9,026,291)</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40"/>
              <w:spacing w:after="0" w:line="130" w:lineRule="exact"/>
              <w:rPr>
                <w:sz w:val="20"/>
                <w:szCs w:val="20"/>
                <w:color w:val="auto"/>
              </w:rPr>
            </w:pPr>
            <w:r>
              <w:rPr>
                <w:rFonts w:ascii="Arial" w:cs="Arial" w:eastAsia="Arial" w:hAnsi="Arial"/>
                <w:sz w:val="13"/>
                <w:szCs w:val="13"/>
                <w:color w:val="auto"/>
              </w:rPr>
              <w:t>(52,909,126)</w:t>
            </w:r>
          </w:p>
        </w:tc>
        <w:tc>
          <w:tcPr>
            <w:tcW w:w="0" w:type="dxa"/>
            <w:vAlign w:val="bottom"/>
          </w:tcPr>
          <w:p>
            <w:pPr>
              <w:spacing w:after="0"/>
              <w:rPr>
                <w:sz w:val="1"/>
                <w:szCs w:val="1"/>
                <w:color w:val="auto"/>
              </w:rPr>
            </w:pPr>
          </w:p>
        </w:tc>
      </w:tr>
      <w:tr>
        <w:trPr>
          <w:trHeight w:val="170"/>
        </w:trPr>
        <w:tc>
          <w:tcPr>
            <w:tcW w:w="2280" w:type="dxa"/>
            <w:vAlign w:val="bottom"/>
            <w:tcBorders>
              <w:bottom w:val="single" w:sz="8" w:color="CCEEFF"/>
            </w:tcBorders>
            <w:shd w:val="clear" w:color="auto" w:fill="CCEEFF"/>
          </w:tcPr>
          <w:p>
            <w:pPr>
              <w:spacing w:after="0" w:line="130" w:lineRule="exact"/>
              <w:rPr>
                <w:sz w:val="20"/>
                <w:szCs w:val="20"/>
                <w:color w:val="auto"/>
              </w:rPr>
            </w:pPr>
            <w:r>
              <w:rPr>
                <w:rFonts w:ascii="Arial" w:cs="Arial" w:eastAsia="Arial" w:hAnsi="Arial"/>
                <w:sz w:val="13"/>
                <w:szCs w:val="13"/>
                <w:color w:val="auto"/>
              </w:rPr>
              <w:t>BALANCE AT DECEMBER 31, 2013</w:t>
            </w:r>
          </w:p>
        </w:tc>
        <w:tc>
          <w:tcPr>
            <w:tcW w:w="8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67,412,139</w:t>
            </w: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w w:val="94"/>
              </w:rPr>
              <w:t>203,456,401</w:t>
            </w: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(10,697,715)</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w w:val="95"/>
              </w:rPr>
              <w:t>(43,033,957</w:t>
            </w:r>
          </w:p>
        </w:tc>
        <w:tc>
          <w:tcPr>
            <w:tcW w:w="24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ind w:left="380"/>
              <w:spacing w:after="0" w:line="130" w:lineRule="exact"/>
              <w:rPr>
                <w:sz w:val="20"/>
                <w:szCs w:val="20"/>
                <w:color w:val="auto"/>
              </w:rPr>
            </w:pPr>
            <w:r>
              <w:rPr>
                <w:rFonts w:ascii="Arial" w:cs="Arial" w:eastAsia="Arial" w:hAnsi="Arial"/>
                <w:sz w:val="13"/>
                <w:szCs w:val="13"/>
                <w:color w:val="auto"/>
                <w:w w:val="80"/>
              </w:rPr>
              <w:t>93,972</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w w:val="88"/>
              </w:rPr>
              <w:t>(145,778,547</w:t>
            </w:r>
          </w:p>
        </w:tc>
        <w:tc>
          <w:tcPr>
            <w:tcW w:w="1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27,461,553</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line="130"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62,899</w:t>
            </w:r>
          </w:p>
        </w:tc>
        <w:tc>
          <w:tcPr>
            <w:tcW w:w="2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42,262,321</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the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49"/>
        </w:trPr>
        <w:tc>
          <w:tcPr>
            <w:tcW w:w="7240" w:type="dxa"/>
            <w:vAlign w:val="bottom"/>
            <w:gridSpan w:val="2"/>
          </w:tcPr>
          <w:p>
            <w:pPr>
              <w:spacing w:after="0"/>
              <w:rPr>
                <w:rFonts w:ascii="Arial" w:cs="Arial" w:eastAsia="Arial" w:hAnsi="Arial"/>
                <w:sz w:val="13"/>
                <w:szCs w:val="13"/>
                <w:i w:val="1"/>
                <w:iCs w:val="1"/>
                <w:color w:val="0000EE"/>
              </w:rPr>
            </w:pPr>
            <w:hyperlink w:anchor="page3">
              <w:r>
                <w:rPr>
                  <w:rFonts w:ascii="Arial" w:cs="Arial" w:eastAsia="Arial" w:hAnsi="Arial"/>
                  <w:sz w:val="13"/>
                  <w:szCs w:val="13"/>
                  <w:i w:val="1"/>
                  <w:iCs w:val="1"/>
                  <w:color w:val="0000EE"/>
                </w:rPr>
                <w:t>Table of Contents</w:t>
              </w:r>
            </w:hyperlink>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33"/>
        </w:trPr>
        <w:tc>
          <w:tcPr>
            <w:tcW w:w="880" w:type="dxa"/>
            <w:vAlign w:val="bottom"/>
            <w:tcBorders>
              <w:top w:val="single" w:sz="8" w:color="0000EE"/>
            </w:tcBorders>
          </w:tcPr>
          <w:p>
            <w:pPr>
              <w:spacing w:after="0"/>
              <w:rPr>
                <w:sz w:val="24"/>
                <w:szCs w:val="24"/>
                <w:color w:val="auto"/>
              </w:rPr>
            </w:pPr>
          </w:p>
        </w:tc>
        <w:tc>
          <w:tcPr>
            <w:tcW w:w="6360" w:type="dxa"/>
            <w:vAlign w:val="bottom"/>
          </w:tcPr>
          <w:p>
            <w:pPr>
              <w:jc w:val="center"/>
              <w:ind w:left="3241"/>
              <w:spacing w:after="0"/>
              <w:rPr>
                <w:sz w:val="20"/>
                <w:szCs w:val="20"/>
                <w:color w:val="auto"/>
              </w:rPr>
            </w:pPr>
            <w:r>
              <w:rPr>
                <w:rFonts w:ascii="Arial" w:cs="Arial" w:eastAsia="Arial" w:hAnsi="Arial"/>
                <w:sz w:val="16"/>
                <w:szCs w:val="16"/>
                <w:b w:val="1"/>
                <w:bCs w:val="1"/>
                <w:color w:val="auto"/>
                <w:w w:val="99"/>
              </w:rPr>
              <w:t>BIOTIME, INC. AND SUBSIDIARIES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2"/>
        </w:trPr>
        <w:tc>
          <w:tcPr>
            <w:tcW w:w="880" w:type="dxa"/>
            <w:vAlign w:val="bottom"/>
          </w:tcPr>
          <w:p>
            <w:pPr>
              <w:spacing w:after="0"/>
              <w:rPr>
                <w:sz w:val="24"/>
                <w:szCs w:val="24"/>
                <w:color w:val="auto"/>
              </w:rPr>
            </w:pPr>
          </w:p>
        </w:tc>
        <w:tc>
          <w:tcPr>
            <w:tcW w:w="6820" w:type="dxa"/>
            <w:vAlign w:val="bottom"/>
            <w:gridSpan w:val="3"/>
          </w:tcPr>
          <w:p>
            <w:pPr>
              <w:jc w:val="center"/>
              <w:ind w:left="2761"/>
              <w:spacing w:after="0"/>
              <w:rPr>
                <w:sz w:val="20"/>
                <w:szCs w:val="20"/>
                <w:color w:val="auto"/>
              </w:rPr>
            </w:pPr>
            <w:r>
              <w:rPr>
                <w:rFonts w:ascii="Arial" w:cs="Arial" w:eastAsia="Arial" w:hAnsi="Arial"/>
                <w:sz w:val="16"/>
                <w:szCs w:val="16"/>
                <w:b w:val="1"/>
                <w:bCs w:val="1"/>
                <w:color w:val="auto"/>
                <w:w w:val="97"/>
              </w:rPr>
              <w:t>CONSOLIDATED STATEMENTS OF CASH FLOWS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7"/>
        </w:trPr>
        <w:tc>
          <w:tcPr>
            <w:tcW w:w="8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5"/>
              </w:rPr>
              <w:t>Year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88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w w:val="86"/>
              </w:rPr>
              <w:t>December 31,</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3"/>
        </w:trPr>
        <w:tc>
          <w:tcPr>
            <w:tcW w:w="8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r>
      <w:tr>
        <w:trPr>
          <w:trHeight w:val="188"/>
        </w:trPr>
        <w:tc>
          <w:tcPr>
            <w:tcW w:w="7240" w:type="dxa"/>
            <w:vAlign w:val="bottom"/>
            <w:gridSpan w:val="2"/>
          </w:tcPr>
          <w:p>
            <w:pPr>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BioTime, Inc.</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(43,882,835)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(21,425,703)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(16,515,500)</w:t>
            </w:r>
          </w:p>
        </w:tc>
      </w:tr>
      <w:tr>
        <w:trPr>
          <w:trHeight w:val="189"/>
        </w:trPr>
        <w:tc>
          <w:tcPr>
            <w:tcW w:w="7240" w:type="dxa"/>
            <w:vAlign w:val="bottom"/>
            <w:gridSpan w:val="2"/>
          </w:tcPr>
          <w:p>
            <w:pPr>
              <w:spacing w:after="0"/>
              <w:rPr>
                <w:sz w:val="20"/>
                <w:szCs w:val="20"/>
                <w:color w:val="auto"/>
              </w:rPr>
            </w:pPr>
            <w:r>
              <w:rPr>
                <w:rFonts w:ascii="Arial" w:cs="Arial" w:eastAsia="Arial" w:hAnsi="Arial"/>
                <w:sz w:val="16"/>
                <w:szCs w:val="16"/>
                <w:color w:val="auto"/>
              </w:rPr>
              <w:t>Net loss allocable to noncontrolling interest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(9,026,291)</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(3,880,157)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(1,928,383)</w:t>
            </w:r>
          </w:p>
        </w:tc>
      </w:tr>
      <w:tr>
        <w:trPr>
          <w:trHeight w:val="189"/>
        </w:trPr>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to reconcile net loss attributable to BioTime, Inc. to net cash used in operating activities:</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240" w:type="dxa"/>
            <w:vAlign w:val="bottom"/>
            <w:gridSpan w:val="2"/>
          </w:tcPr>
          <w:p>
            <w:pPr>
              <w:ind w:left="100"/>
              <w:spacing w:after="0"/>
              <w:rPr>
                <w:sz w:val="20"/>
                <w:szCs w:val="20"/>
                <w:color w:val="auto"/>
              </w:rPr>
            </w:pPr>
            <w:r>
              <w:rPr>
                <w:rFonts w:ascii="Arial" w:cs="Arial" w:eastAsia="Arial" w:hAnsi="Arial"/>
                <w:sz w:val="16"/>
                <w:szCs w:val="16"/>
                <w:color w:val="auto"/>
              </w:rPr>
              <w:t>Acquired in-process research and development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17,458,766</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expense</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656,759</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386,457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373,349</w:t>
            </w:r>
          </w:p>
        </w:tc>
      </w:tr>
      <w:tr>
        <w:trPr>
          <w:trHeight w:val="189"/>
        </w:trPr>
        <w:tc>
          <w:tcPr>
            <w:tcW w:w="7240" w:type="dxa"/>
            <w:vAlign w:val="bottom"/>
            <w:gridSpan w:val="2"/>
          </w:tcPr>
          <w:p>
            <w:pPr>
              <w:ind w:left="10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3,295,716</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2,446,975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1,991,200</w:t>
            </w:r>
          </w:p>
        </w:tc>
      </w:tr>
      <w:tr>
        <w:trPr>
          <w:trHeight w:val="189"/>
        </w:trPr>
        <w:tc>
          <w:tcPr>
            <w:tcW w:w="7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Amortization of deferred consulting fees</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65,118</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598,465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598,465</w:t>
            </w:r>
          </w:p>
        </w:tc>
      </w:tr>
      <w:tr>
        <w:trPr>
          <w:trHeight w:val="189"/>
        </w:trPr>
        <w:tc>
          <w:tcPr>
            <w:tcW w:w="7240" w:type="dxa"/>
            <w:vAlign w:val="bottom"/>
            <w:gridSpan w:val="2"/>
          </w:tcPr>
          <w:p>
            <w:pPr>
              <w:ind w:left="100"/>
              <w:spacing w:after="0"/>
              <w:rPr>
                <w:sz w:val="20"/>
                <w:szCs w:val="20"/>
                <w:color w:val="auto"/>
              </w:rPr>
            </w:pPr>
            <w:r>
              <w:rPr>
                <w:rFonts w:ascii="Arial" w:cs="Arial" w:eastAsia="Arial" w:hAnsi="Arial"/>
                <w:sz w:val="16"/>
                <w:szCs w:val="16"/>
                <w:color w:val="auto"/>
              </w:rPr>
              <w:t>Amortization of deferred license fees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109,500</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109,500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109,500</w:t>
            </w:r>
          </w:p>
        </w:tc>
      </w:tr>
      <w:tr>
        <w:trPr>
          <w:trHeight w:val="189"/>
        </w:trPr>
        <w:tc>
          <w:tcPr>
            <w:tcW w:w="7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Amortization of deferred rent</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(12,766)</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1,890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71,118</w:t>
            </w:r>
          </w:p>
        </w:tc>
      </w:tr>
      <w:tr>
        <w:trPr>
          <w:trHeight w:val="189"/>
        </w:trPr>
        <w:tc>
          <w:tcPr>
            <w:tcW w:w="7240" w:type="dxa"/>
            <w:vAlign w:val="bottom"/>
            <w:gridSpan w:val="2"/>
          </w:tcPr>
          <w:p>
            <w:pPr>
              <w:ind w:left="100"/>
              <w:spacing w:after="0"/>
              <w:rPr>
                <w:sz w:val="20"/>
                <w:szCs w:val="20"/>
                <w:color w:val="auto"/>
              </w:rPr>
            </w:pPr>
            <w:r>
              <w:rPr>
                <w:rFonts w:ascii="Arial" w:cs="Arial" w:eastAsia="Arial" w:hAnsi="Arial"/>
                <w:sz w:val="16"/>
                <w:szCs w:val="16"/>
                <w:color w:val="auto"/>
              </w:rPr>
              <w:t>Amortization of deferred license, royalty and subscription revenues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(915,028)</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(211,065)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(234,781)</w:t>
            </w:r>
          </w:p>
        </w:tc>
      </w:tr>
      <w:tr>
        <w:trPr>
          <w:trHeight w:val="189"/>
        </w:trPr>
        <w:tc>
          <w:tcPr>
            <w:tcW w:w="7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Amortization of deferred grant revenues</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(261,777)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40" w:type="dxa"/>
            <w:vAlign w:val="bottom"/>
            <w:gridSpan w:val="2"/>
          </w:tcPr>
          <w:p>
            <w:pPr>
              <w:ind w:left="100"/>
              <w:spacing w:after="0"/>
              <w:rPr>
                <w:sz w:val="20"/>
                <w:szCs w:val="20"/>
                <w:color w:val="auto"/>
              </w:rPr>
            </w:pPr>
            <w:r>
              <w:rPr>
                <w:rFonts w:ascii="Arial" w:cs="Arial" w:eastAsia="Arial" w:hAnsi="Arial"/>
                <w:sz w:val="16"/>
                <w:szCs w:val="16"/>
                <w:color w:val="auto"/>
              </w:rPr>
              <w:t>Amortization of stock-based prepaid rent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84,586</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3,217,875</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1,843,962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1,802,413</w:t>
            </w:r>
          </w:p>
        </w:tc>
      </w:tr>
      <w:tr>
        <w:trPr>
          <w:trHeight w:val="189"/>
        </w:trPr>
        <w:tc>
          <w:tcPr>
            <w:tcW w:w="7240" w:type="dxa"/>
            <w:vAlign w:val="bottom"/>
            <w:gridSpan w:val="2"/>
          </w:tcPr>
          <w:p>
            <w:pPr>
              <w:ind w:left="100"/>
              <w:spacing w:after="0"/>
              <w:rPr>
                <w:sz w:val="20"/>
                <w:szCs w:val="20"/>
                <w:color w:val="auto"/>
              </w:rPr>
            </w:pPr>
            <w:r>
              <w:rPr>
                <w:rFonts w:ascii="Arial" w:cs="Arial" w:eastAsia="Arial" w:hAnsi="Arial"/>
                <w:sz w:val="16"/>
                <w:szCs w:val="16"/>
                <w:color w:val="auto"/>
              </w:rPr>
              <w:t>Reduction in receivables from the reversal of revenues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207,425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Write-off of security deposit</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2,443</w:t>
            </w:r>
          </w:p>
        </w:tc>
      </w:tr>
      <w:tr>
        <w:trPr>
          <w:trHeight w:val="189"/>
        </w:trPr>
        <w:tc>
          <w:tcPr>
            <w:tcW w:w="7240" w:type="dxa"/>
            <w:vAlign w:val="bottom"/>
            <w:gridSpan w:val="2"/>
          </w:tcPr>
          <w:p>
            <w:pPr>
              <w:ind w:left="100"/>
              <w:spacing w:after="0"/>
              <w:rPr>
                <w:sz w:val="20"/>
                <w:szCs w:val="20"/>
                <w:color w:val="auto"/>
              </w:rPr>
            </w:pPr>
            <w:r>
              <w:rPr>
                <w:rFonts w:ascii="Arial" w:cs="Arial" w:eastAsia="Arial" w:hAnsi="Arial"/>
                <w:sz w:val="16"/>
                <w:szCs w:val="16"/>
                <w:color w:val="auto"/>
              </w:rPr>
              <w:t>Write-off of expired inventory</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1,510</w:t>
            </w:r>
          </w:p>
        </w:tc>
      </w:tr>
      <w:tr>
        <w:trPr>
          <w:trHeight w:val="189"/>
        </w:trPr>
        <w:tc>
          <w:tcPr>
            <w:tcW w:w="7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(Gain)/loss on sale or write-off of equipment</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(5,120)</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19,681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6,416</w:t>
            </w:r>
          </w:p>
        </w:tc>
      </w:tr>
      <w:tr>
        <w:trPr>
          <w:trHeight w:val="189"/>
        </w:trPr>
        <w:tc>
          <w:tcPr>
            <w:tcW w:w="7240" w:type="dxa"/>
            <w:vAlign w:val="bottom"/>
            <w:gridSpan w:val="2"/>
          </w:tcPr>
          <w:p>
            <w:pPr>
              <w:ind w:left="100"/>
              <w:spacing w:after="0"/>
              <w:rPr>
                <w:sz w:val="20"/>
                <w:szCs w:val="20"/>
                <w:color w:val="auto"/>
              </w:rPr>
            </w:pPr>
            <w:r>
              <w:rPr>
                <w:rFonts w:ascii="Arial" w:cs="Arial" w:eastAsia="Arial" w:hAnsi="Arial"/>
                <w:sz w:val="16"/>
                <w:szCs w:val="16"/>
                <w:color w:val="auto"/>
              </w:rPr>
              <w:t>Bad debt expense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16,816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100,230</w:t>
            </w:r>
          </w:p>
        </w:tc>
      </w:tr>
      <w:tr>
        <w:trPr>
          <w:trHeight w:val="189"/>
        </w:trPr>
        <w:tc>
          <w:tcPr>
            <w:tcW w:w="7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Deferred income tax benefit</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(3,280,695)</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40" w:type="dxa"/>
            <w:vAlign w:val="bottom"/>
            <w:gridSpan w:val="2"/>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(180,933)</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36,322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(120,678)</w:t>
            </w:r>
          </w:p>
        </w:tc>
      </w:tr>
      <w:tr>
        <w:trPr>
          <w:trHeight w:val="189"/>
        </w:trPr>
        <w:tc>
          <w:tcPr>
            <w:tcW w:w="7240" w:type="dxa"/>
            <w:vAlign w:val="bottom"/>
            <w:gridSpan w:val="2"/>
          </w:tcPr>
          <w:p>
            <w:pPr>
              <w:ind w:left="240"/>
              <w:spacing w:after="0"/>
              <w:rPr>
                <w:sz w:val="20"/>
                <w:szCs w:val="20"/>
                <w:color w:val="auto"/>
              </w:rPr>
            </w:pPr>
            <w:r>
              <w:rPr>
                <w:rFonts w:ascii="Arial" w:cs="Arial" w:eastAsia="Arial" w:hAnsi="Arial"/>
                <w:sz w:val="16"/>
                <w:szCs w:val="16"/>
                <w:color w:val="auto"/>
              </w:rPr>
              <w:t>Grant receivable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560,286</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(416,787)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261,777</w:t>
            </w:r>
          </w:p>
        </w:tc>
      </w:tr>
      <w:tr>
        <w:trPr>
          <w:trHeight w:val="189"/>
        </w:trPr>
        <w:tc>
          <w:tcPr>
            <w:tcW w:w="7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Inventory</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(123,378)</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(4,141)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31,094</w:t>
            </w:r>
          </w:p>
        </w:tc>
      </w:tr>
      <w:tr>
        <w:trPr>
          <w:trHeight w:val="189"/>
        </w:trPr>
        <w:tc>
          <w:tcPr>
            <w:tcW w:w="7240" w:type="dxa"/>
            <w:vAlign w:val="bottom"/>
            <w:gridSpan w:val="2"/>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428,453</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(228,370)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(704,854)</w:t>
            </w:r>
          </w:p>
        </w:tc>
      </w:tr>
      <w:tr>
        <w:trPr>
          <w:trHeight w:val="189"/>
        </w:trPr>
        <w:tc>
          <w:tcPr>
            <w:tcW w:w="7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long term assets</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(15,000)</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40" w:type="dxa"/>
            <w:vAlign w:val="bottom"/>
            <w:gridSpan w:val="2"/>
          </w:tcPr>
          <w:p>
            <w:pPr>
              <w:ind w:left="24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2,133,442</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894,975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600,398</w:t>
            </w:r>
          </w:p>
        </w:tc>
      </w:tr>
      <w:tr>
        <w:trPr>
          <w:trHeight w:val="189"/>
        </w:trPr>
        <w:tc>
          <w:tcPr>
            <w:tcW w:w="7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long term liabilities</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(57,824)</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(26,088)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(39,633)</w:t>
            </w:r>
          </w:p>
        </w:tc>
      </w:tr>
      <w:tr>
        <w:trPr>
          <w:trHeight w:val="193"/>
        </w:trPr>
        <w:tc>
          <w:tcPr>
            <w:tcW w:w="7240" w:type="dxa"/>
            <w:vAlign w:val="bottom"/>
            <w:gridSpan w:val="2"/>
          </w:tcPr>
          <w:p>
            <w:pPr>
              <w:ind w:left="240"/>
              <w:spacing w:after="0"/>
              <w:rPr>
                <w:sz w:val="20"/>
                <w:szCs w:val="20"/>
                <w:color w:val="auto"/>
              </w:rPr>
            </w:pPr>
            <w:r>
              <w:rPr>
                <w:rFonts w:ascii="Arial" w:cs="Arial" w:eastAsia="Arial" w:hAnsi="Arial"/>
                <w:sz w:val="16"/>
                <w:szCs w:val="16"/>
                <w:color w:val="auto"/>
              </w:rPr>
              <w:t>Deferred revenues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(19,244)</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212,102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3"/>
        </w:trPr>
        <w:tc>
          <w:tcPr>
            <w:tcW w:w="7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(29,508,613)</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(19,679,518)</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(13,593,916)</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240" w:type="dxa"/>
            <w:vAlign w:val="bottom"/>
            <w:gridSpan w:val="2"/>
          </w:tcPr>
          <w:p>
            <w:pPr>
              <w:ind w:left="100"/>
              <w:spacing w:after="0"/>
              <w:rPr>
                <w:sz w:val="20"/>
                <w:szCs w:val="20"/>
                <w:color w:val="auto"/>
              </w:rPr>
            </w:pPr>
            <w:r>
              <w:rPr>
                <w:rFonts w:ascii="Arial" w:cs="Arial" w:eastAsia="Arial" w:hAnsi="Arial"/>
                <w:sz w:val="16"/>
                <w:szCs w:val="16"/>
                <w:color w:val="auto"/>
              </w:rPr>
              <w:t>Payments of license fees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(1,500)</w:t>
            </w:r>
          </w:p>
        </w:tc>
      </w:tr>
      <w:tr>
        <w:trPr>
          <w:trHeight w:val="189"/>
        </w:trPr>
        <w:tc>
          <w:tcPr>
            <w:tcW w:w="7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Purchase of equipment</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(2,277,168)</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(400,810)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(960,281)</w:t>
            </w:r>
          </w:p>
        </w:tc>
      </w:tr>
      <w:tr>
        <w:trPr>
          <w:trHeight w:val="189"/>
        </w:trPr>
        <w:tc>
          <w:tcPr>
            <w:tcW w:w="7240" w:type="dxa"/>
            <w:vAlign w:val="bottom"/>
            <w:gridSpan w:val="2"/>
          </w:tcPr>
          <w:p>
            <w:pPr>
              <w:ind w:left="100"/>
              <w:spacing w:after="0"/>
              <w:rPr>
                <w:sz w:val="20"/>
                <w:szCs w:val="20"/>
                <w:color w:val="auto"/>
              </w:rPr>
            </w:pPr>
            <w:r>
              <w:rPr>
                <w:rFonts w:ascii="Arial" w:cs="Arial" w:eastAsia="Arial" w:hAnsi="Arial"/>
                <w:sz w:val="16"/>
                <w:szCs w:val="16"/>
                <w:color w:val="auto"/>
              </w:rPr>
              <w:t>Cash acquired in connection with merger with XenneX</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292,387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Cash paid, net of cash acquired for CTI assets</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(246,850)</w:t>
            </w:r>
          </w:p>
        </w:tc>
      </w:tr>
      <w:tr>
        <w:trPr>
          <w:trHeight w:val="189"/>
        </w:trPr>
        <w:tc>
          <w:tcPr>
            <w:tcW w:w="7240" w:type="dxa"/>
            <w:vAlign w:val="bottom"/>
            <w:gridSpan w:val="2"/>
          </w:tcPr>
          <w:p>
            <w:pPr>
              <w:ind w:left="100"/>
              <w:spacing w:after="0"/>
              <w:rPr>
                <w:sz w:val="20"/>
                <w:szCs w:val="20"/>
                <w:color w:val="auto"/>
              </w:rPr>
            </w:pPr>
            <w:r>
              <w:rPr>
                <w:rFonts w:ascii="Arial" w:cs="Arial" w:eastAsia="Arial" w:hAnsi="Arial"/>
                <w:sz w:val="16"/>
                <w:szCs w:val="16"/>
                <w:color w:val="auto"/>
              </w:rPr>
              <w:t>Cash acquired in connection with merger with Glycosan</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5,908</w:t>
            </w:r>
          </w:p>
        </w:tc>
      </w:tr>
      <w:tr>
        <w:trPr>
          <w:trHeight w:val="189"/>
        </w:trPr>
        <w:tc>
          <w:tcPr>
            <w:tcW w:w="7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Payment of transaction fees to Geron</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(978,104)</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40" w:type="dxa"/>
            <w:vAlign w:val="bottom"/>
            <w:gridSpan w:val="2"/>
          </w:tcPr>
          <w:p>
            <w:pPr>
              <w:ind w:left="100"/>
              <w:spacing w:after="0"/>
              <w:rPr>
                <w:sz w:val="20"/>
                <w:szCs w:val="20"/>
                <w:color w:val="auto"/>
              </w:rPr>
            </w:pPr>
            <w:r>
              <w:rPr>
                <w:rFonts w:ascii="Arial" w:cs="Arial" w:eastAsia="Arial" w:hAnsi="Arial"/>
                <w:sz w:val="16"/>
                <w:szCs w:val="16"/>
                <w:color w:val="auto"/>
              </w:rPr>
              <w:t>Payment of syndication fees incurred</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(376,250)</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Cash proceeds from sale of equipment</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30,900</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4,500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3"/>
        </w:trPr>
        <w:tc>
          <w:tcPr>
            <w:tcW w:w="7240" w:type="dxa"/>
            <w:vAlign w:val="bottom"/>
            <w:gridSpan w:val="2"/>
          </w:tcPr>
          <w:p>
            <w:pPr>
              <w:ind w:left="100"/>
              <w:spacing w:after="0"/>
              <w:rPr>
                <w:sz w:val="20"/>
                <w:szCs w:val="20"/>
                <w:color w:val="auto"/>
              </w:rPr>
            </w:pPr>
            <w:r>
              <w:rPr>
                <w:rFonts w:ascii="Arial" w:cs="Arial" w:eastAsia="Arial" w:hAnsi="Arial"/>
                <w:sz w:val="16"/>
                <w:szCs w:val="16"/>
                <w:color w:val="auto"/>
              </w:rPr>
              <w:t>Security deposit received/(paid)</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(64,965)</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(764)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r>
      <w:tr>
        <w:trPr>
          <w:trHeight w:val="193"/>
        </w:trPr>
        <w:tc>
          <w:tcPr>
            <w:tcW w:w="7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(3,665,587)</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(104,687)</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(1,202,713)</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310"/>
        </w:trPr>
        <w:tc>
          <w:tcPr>
            <w:tcW w:w="7240" w:type="dxa"/>
            <w:vAlign w:val="bottom"/>
            <w:gridSpan w:val="2"/>
          </w:tcPr>
          <w:p>
            <w:pPr>
              <w:jc w:val="center"/>
              <w:ind w:left="4102"/>
              <w:spacing w:after="0"/>
              <w:rPr>
                <w:sz w:val="20"/>
                <w:szCs w:val="20"/>
                <w:color w:val="auto"/>
              </w:rPr>
            </w:pPr>
            <w:r>
              <w:rPr>
                <w:rFonts w:ascii="Arial" w:cs="Arial" w:eastAsia="Arial" w:hAnsi="Arial"/>
                <w:sz w:val="13"/>
                <w:szCs w:val="13"/>
                <w:color w:val="auto"/>
                <w:w w:val="82"/>
              </w:rPr>
              <w:t>102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
        </w:trPr>
        <w:tc>
          <w:tcPr>
            <w:tcW w:w="880" w:type="dxa"/>
            <w:vAlign w:val="bottom"/>
            <w:tcBorders>
              <w:bottom w:val="single" w:sz="8" w:color="auto"/>
            </w:tcBorders>
          </w:tcPr>
          <w:p>
            <w:pPr>
              <w:spacing w:after="0"/>
              <w:rPr>
                <w:sz w:val="3"/>
                <w:szCs w:val="3"/>
                <w:color w:val="auto"/>
              </w:rPr>
            </w:pPr>
          </w:p>
        </w:tc>
        <w:tc>
          <w:tcPr>
            <w:tcW w:w="6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08" w:right="21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60" w:type="dxa"/>
            <w:vAlign w:val="bottom"/>
            <w:gridSpan w:val="2"/>
          </w:tcPr>
          <w:p>
            <w:pPr>
              <w:spacing w:after="0"/>
              <w:rPr>
                <w:rFonts w:ascii="Arial" w:cs="Arial" w:eastAsia="Arial" w:hAnsi="Arial"/>
                <w:sz w:val="13"/>
                <w:szCs w:val="13"/>
                <w:i w:val="1"/>
                <w:iCs w:val="1"/>
                <w:color w:val="0000EE"/>
              </w:rPr>
            </w:pPr>
            <w:hyperlink w:anchor="page3">
              <w:r>
                <w:rPr>
                  <w:rFonts w:ascii="Arial" w:cs="Arial" w:eastAsia="Arial" w:hAnsi="Arial"/>
                  <w:sz w:val="13"/>
                  <w:szCs w:val="13"/>
                  <w:i w:val="1"/>
                  <w:iCs w:val="1"/>
                  <w:color w:val="0000EE"/>
                </w:rPr>
                <w:t>Table of Contents</w:t>
              </w:r>
            </w:hyperlink>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18"/>
        </w:trPr>
        <w:tc>
          <w:tcPr>
            <w:tcW w:w="880" w:type="dxa"/>
            <w:vAlign w:val="bottom"/>
            <w:tcBorders>
              <w:top w:val="single" w:sz="8" w:color="0000EE"/>
            </w:tcBorders>
          </w:tcPr>
          <w:p>
            <w:pPr>
              <w:spacing w:after="0"/>
              <w:rPr>
                <w:sz w:val="24"/>
                <w:szCs w:val="24"/>
                <w:color w:val="auto"/>
              </w:rPr>
            </w:pPr>
          </w:p>
        </w:tc>
        <w:tc>
          <w:tcPr>
            <w:tcW w:w="6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Year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8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3"/>
        </w:trPr>
        <w:tc>
          <w:tcPr>
            <w:tcW w:w="8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9"/>
              </w:rPr>
              <w:t>2012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r>
      <w:tr>
        <w:trPr>
          <w:trHeight w:val="188"/>
        </w:trPr>
        <w:tc>
          <w:tcPr>
            <w:tcW w:w="726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7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Proceeds from exercises of stock options</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46,000</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286,552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223,914</w:t>
            </w:r>
          </w:p>
        </w:tc>
      </w:tr>
      <w:tr>
        <w:trPr>
          <w:trHeight w:val="189"/>
        </w:trPr>
        <w:tc>
          <w:tcPr>
            <w:tcW w:w="7260" w:type="dxa"/>
            <w:vAlign w:val="bottom"/>
            <w:gridSpan w:val="2"/>
          </w:tcPr>
          <w:p>
            <w:pPr>
              <w:ind w:left="100"/>
              <w:spacing w:after="0"/>
              <w:rPr>
                <w:sz w:val="20"/>
                <w:szCs w:val="20"/>
                <w:color w:val="auto"/>
              </w:rPr>
            </w:pPr>
            <w:r>
              <w:rPr>
                <w:rFonts w:ascii="Arial" w:cs="Arial" w:eastAsia="Arial" w:hAnsi="Arial"/>
                <w:sz w:val="16"/>
                <w:szCs w:val="16"/>
                <w:color w:val="auto"/>
              </w:rPr>
              <w:t>Proceeds from exercises of warrants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425,000</w:t>
            </w:r>
          </w:p>
        </w:tc>
      </w:tr>
      <w:tr>
        <w:trPr>
          <w:trHeight w:val="189"/>
        </w:trPr>
        <w:tc>
          <w:tcPr>
            <w:tcW w:w="7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Proceeds from issuance of common shares</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25,938,558</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1,131,279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60" w:type="dxa"/>
            <w:vAlign w:val="bottom"/>
            <w:gridSpan w:val="2"/>
          </w:tcPr>
          <w:p>
            <w:pPr>
              <w:ind w:left="100"/>
              <w:spacing w:after="0"/>
              <w:rPr>
                <w:sz w:val="20"/>
                <w:szCs w:val="20"/>
                <w:color w:val="auto"/>
              </w:rPr>
            </w:pPr>
            <w:r>
              <w:rPr>
                <w:rFonts w:ascii="Arial" w:cs="Arial" w:eastAsia="Arial" w:hAnsi="Arial"/>
                <w:sz w:val="16"/>
                <w:szCs w:val="16"/>
                <w:color w:val="auto"/>
              </w:rPr>
              <w:t>Fees paid on sale of common shares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(818,201)</w:t>
            </w:r>
          </w:p>
        </w:tc>
        <w:tc>
          <w:tcPr>
            <w:tcW w:w="8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(37,279)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Proceeds from sale of treasury shares</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3,841,749</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282,826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3"/>
        </w:trPr>
        <w:tc>
          <w:tcPr>
            <w:tcW w:w="7260" w:type="dxa"/>
            <w:vAlign w:val="bottom"/>
            <w:gridSpan w:val="2"/>
          </w:tcPr>
          <w:p>
            <w:pPr>
              <w:ind w:left="100"/>
              <w:spacing w:after="0"/>
              <w:rPr>
                <w:sz w:val="20"/>
                <w:szCs w:val="20"/>
                <w:color w:val="auto"/>
              </w:rPr>
            </w:pPr>
            <w:r>
              <w:rPr>
                <w:rFonts w:ascii="Arial" w:cs="Arial" w:eastAsia="Arial" w:hAnsi="Arial"/>
                <w:sz w:val="16"/>
                <w:szCs w:val="16"/>
                <w:color w:val="auto"/>
              </w:rPr>
              <w:t>Proceeds from sale of common shares of subsidiary</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5,255,502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250,000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3,213,500</w:t>
            </w:r>
          </w:p>
        </w:tc>
      </w:tr>
      <w:tr>
        <w:trPr>
          <w:trHeight w:val="193"/>
        </w:trPr>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34,263,608</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1,913,378</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3,862,414</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r>
      <w:tr>
        <w:trPr>
          <w:trHeight w:val="189"/>
        </w:trPr>
        <w:tc>
          <w:tcPr>
            <w:tcW w:w="7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56,103</w:t>
            </w: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8,897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(178,812)</w:t>
            </w:r>
          </w:p>
        </w:tc>
      </w:tr>
      <w:tr>
        <w:trPr>
          <w:trHeight w:val="189"/>
        </w:trPr>
        <w:tc>
          <w:tcPr>
            <w:tcW w:w="8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r>
      <w:tr>
        <w:trPr>
          <w:trHeight w:val="189"/>
        </w:trPr>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1,145,511</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(17,861,930)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(11,113,027)</w:t>
            </w:r>
          </w:p>
        </w:tc>
      </w:tr>
      <w:tr>
        <w:trPr>
          <w:trHeight w:val="189"/>
        </w:trPr>
        <w:tc>
          <w:tcPr>
            <w:tcW w:w="726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At beginning of year</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4,349,967</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22,211,897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33,324,924</w:t>
            </w:r>
          </w:p>
        </w:tc>
      </w:tr>
      <w:tr>
        <w:trPr>
          <w:trHeight w:val="24"/>
        </w:trPr>
        <w:tc>
          <w:tcPr>
            <w:tcW w:w="88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9"/>
        </w:trPr>
        <w:tc>
          <w:tcPr>
            <w:tcW w:w="7260" w:type="dxa"/>
            <w:vAlign w:val="bottom"/>
            <w:gridSpan w:val="2"/>
          </w:tcPr>
          <w:p>
            <w:pPr>
              <w:ind w:left="100"/>
              <w:spacing w:after="0"/>
              <w:rPr>
                <w:sz w:val="20"/>
                <w:szCs w:val="20"/>
                <w:color w:val="auto"/>
              </w:rPr>
            </w:pPr>
            <w:r>
              <w:rPr>
                <w:rFonts w:ascii="Arial" w:cs="Arial" w:eastAsia="Arial" w:hAnsi="Arial"/>
                <w:sz w:val="16"/>
                <w:szCs w:val="16"/>
                <w:color w:val="auto"/>
              </w:rPr>
              <w:t>At end of year</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5,495,478</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4,349,967</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22,211,897</w:t>
            </w:r>
          </w:p>
        </w:tc>
      </w:tr>
      <w:tr>
        <w:trPr>
          <w:trHeight w:val="20"/>
        </w:trPr>
        <w:tc>
          <w:tcPr>
            <w:tcW w:w="8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880" w:type="dxa"/>
            <w:vAlign w:val="bottom"/>
            <w:shd w:val="clear" w:color="auto" w:fill="CCEEFF"/>
          </w:tcPr>
          <w:p>
            <w:pPr>
              <w:spacing w:after="0"/>
              <w:rPr>
                <w:sz w:val="15"/>
                <w:szCs w:val="15"/>
                <w:color w:val="auto"/>
              </w:rPr>
            </w:pPr>
          </w:p>
        </w:tc>
        <w:tc>
          <w:tcPr>
            <w:tcW w:w="6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88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260" w:type="dxa"/>
            <w:vAlign w:val="bottom"/>
            <w:gridSpan w:val="2"/>
          </w:tcPr>
          <w:p>
            <w:pPr>
              <w:spacing w:after="0"/>
              <w:rPr>
                <w:sz w:val="20"/>
                <w:szCs w:val="20"/>
                <w:color w:val="auto"/>
              </w:rPr>
            </w:pPr>
            <w:r>
              <w:rPr>
                <w:rFonts w:ascii="Arial" w:cs="Arial" w:eastAsia="Arial" w:hAnsi="Arial"/>
                <w:sz w:val="16"/>
                <w:szCs w:val="16"/>
                <w:color w:val="auto"/>
              </w:rPr>
              <w:t>Cash paid during year for interest</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3,090</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315</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326</w:t>
            </w:r>
          </w:p>
        </w:tc>
      </w:tr>
      <w:tr>
        <w:trPr>
          <w:trHeight w:val="189"/>
        </w:trPr>
        <w:tc>
          <w:tcPr>
            <w:tcW w:w="880" w:type="dxa"/>
            <w:vAlign w:val="bottom"/>
            <w:shd w:val="clear" w:color="auto" w:fill="CCEEFF"/>
          </w:tcPr>
          <w:p>
            <w:pPr>
              <w:spacing w:after="0"/>
              <w:rPr>
                <w:sz w:val="16"/>
                <w:szCs w:val="16"/>
                <w:color w:val="auto"/>
              </w:rPr>
            </w:pPr>
          </w:p>
        </w:tc>
        <w:tc>
          <w:tcPr>
            <w:tcW w:w="6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260" w:type="dxa"/>
            <w:vAlign w:val="bottom"/>
            <w:gridSpan w:val="2"/>
          </w:tcPr>
          <w:p>
            <w:pPr>
              <w:spacing w:after="0"/>
              <w:rPr>
                <w:sz w:val="20"/>
                <w:szCs w:val="20"/>
                <w:color w:val="auto"/>
              </w:rPr>
            </w:pPr>
            <w:r>
              <w:rPr>
                <w:rFonts w:ascii="Arial" w:cs="Arial" w:eastAsia="Arial" w:hAnsi="Arial"/>
                <w:sz w:val="16"/>
                <w:szCs w:val="16"/>
                <w:color w:val="auto"/>
              </w:rPr>
              <w:t>SUPPLEMENTAL SCHEDULE OF NONCASH FINANCING AND INVESTING ACTIVITIES :</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shares issued to Cell Cure in exchange for Cell Cure shares</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3,499,999</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60" w:type="dxa"/>
            <w:vAlign w:val="bottom"/>
            <w:gridSpan w:val="2"/>
          </w:tcPr>
          <w:p>
            <w:pPr>
              <w:spacing w:after="0"/>
              <w:rPr>
                <w:sz w:val="20"/>
                <w:szCs w:val="20"/>
                <w:color w:val="auto"/>
              </w:rPr>
            </w:pPr>
            <w:r>
              <w:rPr>
                <w:rFonts w:ascii="Arial" w:cs="Arial" w:eastAsia="Arial" w:hAnsi="Arial"/>
                <w:sz w:val="16"/>
                <w:szCs w:val="16"/>
                <w:color w:val="auto"/>
              </w:rPr>
              <w:t>Common shares issued for consulting services</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173,100</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shares issued for rent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253,758</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60" w:type="dxa"/>
            <w:vAlign w:val="bottom"/>
            <w:gridSpan w:val="2"/>
          </w:tcPr>
          <w:p>
            <w:pPr>
              <w:spacing w:after="0"/>
              <w:rPr>
                <w:sz w:val="20"/>
                <w:szCs w:val="20"/>
                <w:color w:val="auto"/>
              </w:rPr>
            </w:pPr>
            <w:r>
              <w:rPr>
                <w:rFonts w:ascii="Arial" w:cs="Arial" w:eastAsia="Arial" w:hAnsi="Arial"/>
                <w:sz w:val="16"/>
                <w:szCs w:val="16"/>
                <w:color w:val="auto"/>
              </w:rPr>
              <w:t>Intangible assets acquired from Geron</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29,017,009</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4"/>
              </w:rPr>
              <w:t>Common shares issued to Asterias upon consummation of Asset Contribution Agreement (Treasury shares)</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34,985,163</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77"/>
        </w:trPr>
        <w:tc>
          <w:tcPr>
            <w:tcW w:w="7260" w:type="dxa"/>
            <w:vAlign w:val="bottom"/>
            <w:gridSpan w:val="2"/>
          </w:tcPr>
          <w:p>
            <w:pPr>
              <w:spacing w:after="0" w:line="177" w:lineRule="exact"/>
              <w:rPr>
                <w:sz w:val="20"/>
                <w:szCs w:val="20"/>
                <w:color w:val="auto"/>
              </w:rPr>
            </w:pPr>
            <w:r>
              <w:rPr>
                <w:rFonts w:ascii="Arial" w:cs="Arial" w:eastAsia="Arial" w:hAnsi="Arial"/>
                <w:sz w:val="16"/>
                <w:szCs w:val="16"/>
                <w:color w:val="auto"/>
                <w:w w:val="91"/>
              </w:rPr>
              <w:t>Common shares acquired in connection with investment in LifeMap as part of Share Exchange and Contribution</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1"/>
        </w:trPr>
        <w:tc>
          <w:tcPr>
            <w:tcW w:w="7260" w:type="dxa"/>
            <w:vAlign w:val="bottom"/>
            <w:gridSpan w:val="2"/>
          </w:tcPr>
          <w:p>
            <w:pPr>
              <w:ind w:left="100"/>
              <w:spacing w:after="0"/>
              <w:rPr>
                <w:sz w:val="20"/>
                <w:szCs w:val="20"/>
                <w:color w:val="auto"/>
              </w:rPr>
            </w:pPr>
            <w:r>
              <w:rPr>
                <w:rFonts w:ascii="Arial" w:cs="Arial" w:eastAsia="Arial" w:hAnsi="Arial"/>
                <w:sz w:val="16"/>
                <w:szCs w:val="16"/>
                <w:color w:val="auto"/>
              </w:rPr>
              <w:t>Agreement</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2,750,003</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0"/>
        </w:trPr>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shares issued as part of merger with XenneX</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1,802,684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260" w:type="dxa"/>
            <w:vAlign w:val="bottom"/>
            <w:gridSpan w:val="2"/>
          </w:tcPr>
          <w:p>
            <w:pPr>
              <w:spacing w:after="0"/>
              <w:rPr>
                <w:sz w:val="20"/>
                <w:szCs w:val="20"/>
                <w:color w:val="auto"/>
              </w:rPr>
            </w:pPr>
            <w:r>
              <w:rPr>
                <w:rFonts w:ascii="Arial" w:cs="Arial" w:eastAsia="Arial" w:hAnsi="Arial"/>
                <w:sz w:val="16"/>
                <w:szCs w:val="16"/>
                <w:color w:val="auto"/>
              </w:rPr>
              <w:t>Common shares issued in connection with investment in OncoCyte (Treasury shares)</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6,000,000</w:t>
            </w:r>
          </w:p>
        </w:tc>
      </w:tr>
      <w:tr>
        <w:trPr>
          <w:trHeight w:val="189"/>
        </w:trPr>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shares issued in connection with the purchase of assets from CTI</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2,300,000</w:t>
            </w:r>
          </w:p>
        </w:tc>
      </w:tr>
      <w:tr>
        <w:trPr>
          <w:trHeight w:val="189"/>
        </w:trPr>
        <w:tc>
          <w:tcPr>
            <w:tcW w:w="7260" w:type="dxa"/>
            <w:vAlign w:val="bottom"/>
            <w:gridSpan w:val="2"/>
          </w:tcPr>
          <w:p>
            <w:pPr>
              <w:spacing w:after="0"/>
              <w:rPr>
                <w:sz w:val="20"/>
                <w:szCs w:val="20"/>
                <w:color w:val="auto"/>
              </w:rPr>
            </w:pPr>
            <w:r>
              <w:rPr>
                <w:rFonts w:ascii="Arial" w:cs="Arial" w:eastAsia="Arial" w:hAnsi="Arial"/>
                <w:sz w:val="16"/>
                <w:szCs w:val="16"/>
                <w:color w:val="auto"/>
              </w:rPr>
              <w:t>Common shares issued as part of merger with Glycosan</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2,600,000</w:t>
            </w:r>
          </w:p>
        </w:tc>
      </w:tr>
      <w:tr>
        <w:trPr>
          <w:trHeight w:val="189"/>
        </w:trPr>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Warrants issued to Asterias upon consummation of Asset Contribution Agreement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18,276,406</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0"/>
        </w:trPr>
        <w:tc>
          <w:tcPr>
            <w:tcW w:w="7260" w:type="dxa"/>
            <w:vAlign w:val="bottom"/>
            <w:gridSpan w:val="2"/>
          </w:tcPr>
          <w:p>
            <w:pPr>
              <w:spacing w:after="0"/>
              <w:rPr>
                <w:sz w:val="20"/>
                <w:szCs w:val="20"/>
                <w:color w:val="auto"/>
              </w:rPr>
            </w:pPr>
            <w:r>
              <w:rPr>
                <w:rFonts w:ascii="Arial" w:cs="Arial" w:eastAsia="Arial" w:hAnsi="Arial"/>
                <w:sz w:val="16"/>
                <w:szCs w:val="16"/>
                <w:color w:val="auto"/>
              </w:rPr>
              <w:t>Warrants issued as part of merger with Glycosan</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954,879</w:t>
            </w:r>
          </w:p>
        </w:tc>
      </w:tr>
    </w:tbl>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the Consolidated Financial Statements.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03" w:name="page104"/>
    <w:bookmarkEnd w:id="10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BIOTIME, INC.</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Basis of Presentation</w:t>
      </w:r>
    </w:p>
    <w:p>
      <w:pPr>
        <w:spacing w:after="0" w:line="222" w:lineRule="exact"/>
        <w:rPr>
          <w:sz w:val="20"/>
          <w:szCs w:val="20"/>
          <w:color w:val="auto"/>
        </w:rPr>
      </w:pPr>
    </w:p>
    <w:p>
      <w:pPr>
        <w:ind w:firstLine="567"/>
        <w:spacing w:after="0" w:line="262" w:lineRule="auto"/>
        <w:rPr>
          <w:sz w:val="20"/>
          <w:szCs w:val="20"/>
          <w:color w:val="auto"/>
        </w:rPr>
      </w:pPr>
      <w:r>
        <w:rPr>
          <w:rFonts w:ascii="Arial" w:cs="Arial" w:eastAsia="Arial" w:hAnsi="Arial"/>
          <w:sz w:val="14"/>
          <w:szCs w:val="14"/>
          <w:i w:val="1"/>
          <w:iCs w:val="1"/>
          <w:color w:val="auto"/>
        </w:rPr>
        <w:t xml:space="preserve">General – </w:t>
      </w:r>
      <w:r>
        <w:rPr>
          <w:rFonts w:ascii="Arial" w:cs="Arial" w:eastAsia="Arial" w:hAnsi="Arial"/>
          <w:sz w:val="14"/>
          <w:szCs w:val="14"/>
          <w:color w:val="auto"/>
        </w:rPr>
        <w:t>BioTime is a biotechnology company engaged in two areas of biomedical research and product development. BioTime's primary focus is in the field of</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regenerative medicine; specifically human embryonic stem (“hES”) cell and induced pluripotent stem (“iPS”) cell technology. Regenerative medicine refers to therapies based on stem cell technology that are designed to rebuild cell and tissue function lost due to degenerative disease or injury. hES and iPS cells provide a means of manufacturing every cell type in the human body and therefore show considerable promise for the development of a number of new therapeutic products. BioTime and its subsidiaries plan to develop stem cell products for research and therapeutic use. Asterias Biotherapeutics, Inc. (“Asterias,” formerly known as BioTime Acquisition Corporation) entered into an Asset Contribution Agreement with BioTime and Geron Corporation (“Geron”) to acquire certain assets from Geron Corporation that had been used in Geron’s hES cell research and development programs, and Asterias is now using the acquired assets for the development of products for human therapeutic use in one or more of the following fields: neurology, oncology, orthopedics, and heart failure and myocardial infarction. OncoCyte Corporation (“OncoCyte”) is developing products and technologies to diagnose cancer. ES Cell International Pte Ltd. (“ESI”), a Singapore private limited company, developed hES cell lines and may market those cell lines and other BioTime research products in over-seas markets as part of BioTime’s ESI BIO division. OrthoCyte Corporation (“OrthoCyte”) is developing therapies to treat orthopedic disorders, diseases and injuries. ReCyte Therapeutics, Inc., formerly known as Embryome Sciences, Inc. (“ReCyte Therapeutics”), is developing therapies to treat a variety of cardiovascular and related ischemic disorders, as well as products for research using cell reprogramming technology. Cell Cure Neurosciences Ltd. (“Cell Cure Neurosciences”), is an Israel-based biotechnology company focused on developing stem cell-based therapies for retinal and neurological disorders, including the development of retinal pigment epithelial cells for the treatment of macular degeneration, and treatments for multiple sclerosis. LifeMap Sciences, Inc. (“LifeMap Sciences”) markets, sells and distributes </w:t>
      </w:r>
      <w:r>
        <w:rPr>
          <w:rFonts w:ascii="Arial" w:cs="Arial" w:eastAsia="Arial" w:hAnsi="Arial"/>
          <w:sz w:val="14"/>
          <w:szCs w:val="14"/>
          <w:i w:val="1"/>
          <w:iCs w:val="1"/>
          <w:color w:val="auto"/>
        </w:rPr>
        <w:t>GeneCards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the leading human gene database, and is developing an integrated database suite to complement </w:t>
      </w:r>
      <w:r>
        <w:rPr>
          <w:rFonts w:ascii="Arial" w:cs="Arial" w:eastAsia="Arial" w:hAnsi="Arial"/>
          <w:sz w:val="14"/>
          <w:szCs w:val="14"/>
          <w:i w:val="1"/>
          <w:iCs w:val="1"/>
          <w:color w:val="auto"/>
        </w:rPr>
        <w:t>GeneCards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that will also include the </w:t>
      </w:r>
      <w:r>
        <w:rPr>
          <w:rFonts w:ascii="Arial" w:cs="Arial" w:eastAsia="Arial" w:hAnsi="Arial"/>
          <w:sz w:val="14"/>
          <w:szCs w:val="14"/>
          <w:i w:val="1"/>
          <w:iCs w:val="1"/>
          <w:color w:val="auto"/>
        </w:rPr>
        <w:t>LifeMap Discovery</w:t>
      </w:r>
      <w:r>
        <w:rPr>
          <w:rFonts w:ascii="Arial" w:cs="Arial" w:eastAsia="Arial" w:hAnsi="Arial"/>
          <w:sz w:val="23"/>
          <w:szCs w:val="23"/>
          <w:color w:val="auto"/>
          <w:vertAlign w:val="superscript"/>
        </w:rPr>
        <w:t>®</w:t>
      </w:r>
      <w:r>
        <w:rPr>
          <w:rFonts w:ascii="Arial" w:cs="Arial" w:eastAsia="Arial" w:hAnsi="Arial"/>
          <w:sz w:val="14"/>
          <w:szCs w:val="14"/>
          <w:color w:val="auto"/>
        </w:rPr>
        <w:t xml:space="preserve"> database of embryonic development, stem cell research and regenerative medicine, and MalaCards, the human disease database.</w:t>
      </w:r>
    </w:p>
    <w:p>
      <w:pPr>
        <w:spacing w:after="0" w:line="376" w:lineRule="exact"/>
        <w:rPr>
          <w:sz w:val="20"/>
          <w:szCs w:val="20"/>
          <w:color w:val="auto"/>
        </w:rPr>
      </w:pPr>
    </w:p>
    <w:p>
      <w:pPr>
        <w:ind w:firstLine="567"/>
        <w:spacing w:after="0" w:line="253" w:lineRule="auto"/>
        <w:rPr>
          <w:sz w:val="20"/>
          <w:szCs w:val="20"/>
          <w:color w:val="auto"/>
        </w:rPr>
      </w:pPr>
      <w:r>
        <w:rPr>
          <w:rFonts w:ascii="Arial" w:cs="Arial" w:eastAsia="Arial" w:hAnsi="Arial"/>
          <w:sz w:val="16"/>
          <w:szCs w:val="16"/>
          <w:color w:val="auto"/>
        </w:rPr>
        <w:t>BioTime is focusing a portion of its efforts in the field of regenerative medicine on the development and sale of advanced human stem cell products and technology that can be used by researchers at universities and other institutions, at companies in the bioscience and biopharmaceutical industries, and at other companies that provide research products to companies in those industries. Products for the research market generally can be sold without regulatory (FDA) approval, and are therefore relatively near-term business opportunities when compared to therapeutic products.</w:t>
      </w:r>
    </w:p>
    <w:p>
      <w:pPr>
        <w:spacing w:after="0" w:line="193" w:lineRule="exact"/>
        <w:rPr>
          <w:sz w:val="20"/>
          <w:szCs w:val="20"/>
          <w:color w:val="auto"/>
        </w:rPr>
      </w:pPr>
    </w:p>
    <w:p>
      <w:pPr>
        <w:jc w:val="both"/>
        <w:ind w:right="120" w:firstLine="567"/>
        <w:spacing w:after="0" w:line="261" w:lineRule="auto"/>
        <w:rPr>
          <w:sz w:val="20"/>
          <w:szCs w:val="20"/>
          <w:color w:val="auto"/>
        </w:rPr>
      </w:pPr>
      <w:r>
        <w:rPr>
          <w:rFonts w:ascii="Arial" w:cs="Arial" w:eastAsia="Arial" w:hAnsi="Arial"/>
          <w:sz w:val="16"/>
          <w:szCs w:val="16"/>
          <w:color w:val="auto"/>
        </w:rPr>
        <w:t xml:space="preserve">BioTime previously developed blood plasma volume expanders and related technology for use in surgery, emergency trauma treatment and other applications. BioTime’s operating revenues are now derived primarily from licensing fees and advertising from the marketing of the LifeMap Sciences database products, from royalties and licensing fees related to the sale of its plasma volume expander product, </w:t>
      </w:r>
      <w:r>
        <w:rPr>
          <w:rFonts w:ascii="Arial" w:cs="Arial" w:eastAsia="Arial" w:hAnsi="Arial"/>
          <w:sz w:val="16"/>
          <w:szCs w:val="16"/>
          <w:i w:val="1"/>
          <w:iCs w:val="1"/>
          <w:color w:val="auto"/>
        </w:rPr>
        <w:t>Hextend</w:t>
      </w:r>
      <w:r>
        <w:rPr>
          <w:rFonts w:ascii="Arial" w:cs="Arial" w:eastAsia="Arial" w:hAnsi="Arial"/>
          <w:sz w:val="26"/>
          <w:szCs w:val="26"/>
          <w:color w:val="auto"/>
          <w:vertAlign w:val="superscript"/>
        </w:rPr>
        <w:t>®</w:t>
      </w:r>
      <w:r>
        <w:rPr>
          <w:rFonts w:ascii="Arial" w:cs="Arial" w:eastAsia="Arial" w:hAnsi="Arial"/>
          <w:sz w:val="16"/>
          <w:szCs w:val="16"/>
          <w:color w:val="auto"/>
        </w:rPr>
        <w:t>, and from the sale of products for research.</w:t>
      </w:r>
    </w:p>
    <w:p>
      <w:pPr>
        <w:spacing w:after="0" w:line="55" w:lineRule="exact"/>
        <w:rPr>
          <w:sz w:val="20"/>
          <w:szCs w:val="20"/>
          <w:color w:val="auto"/>
        </w:rPr>
      </w:pPr>
    </w:p>
    <w:p>
      <w:pPr>
        <w:ind w:right="60" w:firstLine="567"/>
        <w:spacing w:after="0" w:line="282" w:lineRule="auto"/>
        <w:rPr>
          <w:sz w:val="20"/>
          <w:szCs w:val="20"/>
          <w:color w:val="auto"/>
        </w:rPr>
      </w:pPr>
      <w:r>
        <w:rPr>
          <w:rFonts w:ascii="Arial" w:cs="Arial" w:eastAsia="Arial" w:hAnsi="Arial"/>
          <w:sz w:val="15"/>
          <w:szCs w:val="15"/>
          <w:color w:val="auto"/>
        </w:rPr>
        <w:t>The consolidated balance sheets as of December 31, 2013 and 2012, the consolidated statements of operations for the years ended December 31, 2013, 2012, and 2011, the consolidated statements of changes in equity for the years ended December 31, 2013, 2012, and 2011, and the consolidated statements of cash flows for the years ended December 31, 2013, 2012, and 2011 have been prepared by BioTime’s management in accordance with instructions from Form 10-K.</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104" w:name="page105"/>
    <w:bookmarkEnd w:id="104"/>
    <w:p>
      <w:pPr>
        <w:ind w:left="5"/>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5" w:right="460" w:firstLine="567"/>
        <w:spacing w:after="0" w:line="267" w:lineRule="auto"/>
        <w:rPr>
          <w:sz w:val="20"/>
          <w:szCs w:val="20"/>
          <w:color w:val="auto"/>
        </w:rPr>
      </w:pPr>
      <w:r>
        <w:rPr>
          <w:rFonts w:ascii="Arial" w:cs="Arial" w:eastAsia="Arial" w:hAnsi="Arial"/>
          <w:sz w:val="16"/>
          <w:szCs w:val="16"/>
          <w:i w:val="1"/>
          <w:iCs w:val="1"/>
          <w:color w:val="auto"/>
        </w:rPr>
        <w:t xml:space="preserve">Principles of consolidation – </w:t>
      </w:r>
      <w:r>
        <w:rPr>
          <w:rFonts w:ascii="Arial" w:cs="Arial" w:eastAsia="Arial" w:hAnsi="Arial"/>
          <w:sz w:val="16"/>
          <w:szCs w:val="16"/>
          <w:color w:val="auto"/>
        </w:rPr>
        <w:t>BioTime’s consolidated financial statements include the accounts of its subsidiaries. The following table reflects BioTime’s ownership,</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through one or more subsidiaries, of the outstanding shares of its subsidiaries.</w:t>
      </w:r>
    </w:p>
    <w:p>
      <w:pPr>
        <w:spacing w:after="0" w:line="174" w:lineRule="exact"/>
        <w:rPr>
          <w:sz w:val="20"/>
          <w:szCs w:val="20"/>
          <w:color w:val="auto"/>
        </w:rPr>
      </w:pPr>
    </w:p>
    <w:tbl>
      <w:tblPr>
        <w:tblLayout w:type="fixed"/>
        <w:tblInd w:w="15" w:type="dxa"/>
        <w:tblCellMar>
          <w:top w:w="0" w:type="dxa"/>
          <w:left w:w="0" w:type="dxa"/>
          <w:bottom w:w="0" w:type="dxa"/>
          <w:right w:w="0" w:type="dxa"/>
        </w:tblCellMar>
      </w:tblPr>
      <w:tr>
        <w:trPr>
          <w:trHeight w:val="235"/>
        </w:trPr>
        <w:tc>
          <w:tcPr>
            <w:tcW w:w="4600" w:type="dxa"/>
            <w:vAlign w:val="bottom"/>
            <w:tcBorders>
              <w:top w:val="single" w:sz="8" w:color="auto"/>
              <w:left w:val="single" w:sz="8" w:color="auto"/>
              <w:right w:val="single" w:sz="8" w:color="auto"/>
            </w:tcBorders>
          </w:tcPr>
          <w:p>
            <w:pPr>
              <w:ind w:left="1940"/>
              <w:spacing w:after="0"/>
              <w:rPr>
                <w:sz w:val="20"/>
                <w:szCs w:val="20"/>
                <w:color w:val="auto"/>
              </w:rPr>
            </w:pPr>
            <w:r>
              <w:rPr>
                <w:rFonts w:ascii="Arial" w:cs="Arial" w:eastAsia="Arial" w:hAnsi="Arial"/>
                <w:sz w:val="16"/>
                <w:szCs w:val="16"/>
                <w:b w:val="1"/>
                <w:bCs w:val="1"/>
                <w:color w:val="auto"/>
              </w:rPr>
              <w:t>Subsidiary</w:t>
            </w:r>
          </w:p>
        </w:tc>
        <w:tc>
          <w:tcPr>
            <w:tcW w:w="3440" w:type="dxa"/>
            <w:vAlign w:val="bottom"/>
            <w:tcBorders>
              <w:top w:val="single" w:sz="8" w:color="auto"/>
              <w:right w:val="single" w:sz="8" w:color="auto"/>
            </w:tcBorders>
          </w:tcPr>
          <w:p>
            <w:pPr>
              <w:jc w:val="right"/>
              <w:ind w:right="981"/>
              <w:spacing w:after="0"/>
              <w:rPr>
                <w:sz w:val="20"/>
                <w:szCs w:val="20"/>
                <w:color w:val="auto"/>
              </w:rPr>
            </w:pPr>
            <w:r>
              <w:rPr>
                <w:rFonts w:ascii="Arial" w:cs="Arial" w:eastAsia="Arial" w:hAnsi="Arial"/>
                <w:sz w:val="16"/>
                <w:szCs w:val="16"/>
                <w:b w:val="1"/>
                <w:bCs w:val="1"/>
                <w:color w:val="auto"/>
              </w:rPr>
              <w:t>BioTime Ownership</w:t>
            </w:r>
          </w:p>
        </w:tc>
        <w:tc>
          <w:tcPr>
            <w:tcW w:w="3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Country</w:t>
            </w:r>
          </w:p>
        </w:tc>
      </w:tr>
      <w:tr>
        <w:trPr>
          <w:trHeight w:val="29"/>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40"/>
        </w:trPr>
        <w:tc>
          <w:tcPr>
            <w:tcW w:w="46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Asterias Biotherapeutics, Inc.</w:t>
            </w:r>
          </w:p>
        </w:tc>
        <w:tc>
          <w:tcPr>
            <w:tcW w:w="3440" w:type="dxa"/>
            <w:vAlign w:val="bottom"/>
            <w:tcBorders>
              <w:bottom w:val="single" w:sz="8" w:color="auto"/>
              <w:right w:val="single" w:sz="8" w:color="auto"/>
            </w:tcBorders>
            <w:shd w:val="clear" w:color="auto" w:fill="CCEEFF"/>
          </w:tcPr>
          <w:p>
            <w:pPr>
              <w:jc w:val="right"/>
              <w:ind w:right="1241"/>
              <w:spacing w:after="0" w:line="236" w:lineRule="exact"/>
              <w:rPr>
                <w:sz w:val="20"/>
                <w:szCs w:val="20"/>
                <w:color w:val="auto"/>
              </w:rPr>
            </w:pPr>
            <w:r>
              <w:rPr>
                <w:rFonts w:ascii="Arial" w:cs="Arial" w:eastAsia="Arial" w:hAnsi="Arial"/>
                <w:sz w:val="16"/>
                <w:szCs w:val="16"/>
                <w:color w:val="auto"/>
              </w:rPr>
              <w:t>71.6%</w:t>
            </w:r>
            <w:r>
              <w:rPr>
                <w:rFonts w:ascii="Arial" w:cs="Arial" w:eastAsia="Arial" w:hAnsi="Arial"/>
                <w:sz w:val="26"/>
                <w:szCs w:val="26"/>
                <w:color w:val="auto"/>
                <w:vertAlign w:val="superscript"/>
              </w:rPr>
              <w:t>(1)</w:t>
            </w:r>
          </w:p>
        </w:tc>
        <w:tc>
          <w:tcPr>
            <w:tcW w:w="3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USA</w:t>
            </w:r>
          </w:p>
        </w:tc>
      </w:tr>
      <w:tr>
        <w:trPr>
          <w:trHeight w:val="211"/>
        </w:trPr>
        <w:tc>
          <w:tcPr>
            <w:tcW w:w="4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ReCyte Therapeutics, Inc.</w:t>
            </w:r>
          </w:p>
        </w:tc>
        <w:tc>
          <w:tcPr>
            <w:tcW w:w="3440" w:type="dxa"/>
            <w:vAlign w:val="bottom"/>
            <w:tcBorders>
              <w:right w:val="single" w:sz="8" w:color="auto"/>
            </w:tcBorders>
          </w:tcPr>
          <w:p>
            <w:pPr>
              <w:jc w:val="right"/>
              <w:ind w:right="1381"/>
              <w:spacing w:after="0"/>
              <w:rPr>
                <w:sz w:val="20"/>
                <w:szCs w:val="20"/>
                <w:color w:val="auto"/>
              </w:rPr>
            </w:pPr>
            <w:r>
              <w:rPr>
                <w:rFonts w:ascii="Arial" w:cs="Arial" w:eastAsia="Arial" w:hAnsi="Arial"/>
                <w:sz w:val="16"/>
                <w:szCs w:val="16"/>
                <w:color w:val="auto"/>
              </w:rPr>
              <w:t>94.8%</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USA</w:t>
            </w:r>
          </w:p>
        </w:tc>
      </w:tr>
      <w:tr>
        <w:trPr>
          <w:trHeight w:val="29"/>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45"/>
        </w:trPr>
        <w:tc>
          <w:tcPr>
            <w:tcW w:w="46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OncoCyte Corporation</w:t>
            </w:r>
          </w:p>
        </w:tc>
        <w:tc>
          <w:tcPr>
            <w:tcW w:w="3440" w:type="dxa"/>
            <w:vAlign w:val="bottom"/>
            <w:tcBorders>
              <w:bottom w:val="single" w:sz="8" w:color="CCEEFF"/>
              <w:right w:val="single" w:sz="8" w:color="auto"/>
            </w:tcBorders>
            <w:shd w:val="clear" w:color="auto" w:fill="CCEEFF"/>
          </w:tcPr>
          <w:p>
            <w:pPr>
              <w:jc w:val="right"/>
              <w:ind w:right="1401"/>
              <w:spacing w:after="0"/>
              <w:rPr>
                <w:sz w:val="20"/>
                <w:szCs w:val="20"/>
                <w:color w:val="auto"/>
              </w:rPr>
            </w:pPr>
            <w:r>
              <w:rPr>
                <w:rFonts w:ascii="Arial" w:cs="Arial" w:eastAsia="Arial" w:hAnsi="Arial"/>
                <w:sz w:val="16"/>
                <w:szCs w:val="16"/>
                <w:color w:val="auto"/>
              </w:rPr>
              <w:t>75.3%</w:t>
            </w:r>
          </w:p>
        </w:tc>
        <w:tc>
          <w:tcPr>
            <w:tcW w:w="3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USA</w:t>
            </w:r>
          </w:p>
        </w:tc>
      </w:tr>
      <w:tr>
        <w:trPr>
          <w:trHeight w:val="211"/>
        </w:trPr>
        <w:tc>
          <w:tcPr>
            <w:tcW w:w="4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OrthoCyte Corporation</w:t>
            </w:r>
          </w:p>
        </w:tc>
        <w:tc>
          <w:tcPr>
            <w:tcW w:w="3440" w:type="dxa"/>
            <w:vAlign w:val="bottom"/>
            <w:tcBorders>
              <w:top w:val="single" w:sz="8" w:color="auto"/>
              <w:right w:val="single" w:sz="8" w:color="auto"/>
            </w:tcBorders>
          </w:tcPr>
          <w:p>
            <w:pPr>
              <w:jc w:val="right"/>
              <w:ind w:right="1401"/>
              <w:spacing w:after="0"/>
              <w:rPr>
                <w:sz w:val="20"/>
                <w:szCs w:val="20"/>
                <w:color w:val="auto"/>
              </w:rPr>
            </w:pPr>
            <w:r>
              <w:rPr>
                <w:rFonts w:ascii="Arial" w:cs="Arial" w:eastAsia="Arial" w:hAnsi="Arial"/>
                <w:sz w:val="16"/>
                <w:szCs w:val="16"/>
                <w:color w:val="auto"/>
              </w:rPr>
              <w:t>100%</w:t>
            </w:r>
          </w:p>
        </w:tc>
        <w:tc>
          <w:tcPr>
            <w:tcW w:w="3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USA</w:t>
            </w:r>
          </w:p>
        </w:tc>
      </w:tr>
      <w:tr>
        <w:trPr>
          <w:trHeight w:val="29"/>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45"/>
        </w:trPr>
        <w:tc>
          <w:tcPr>
            <w:tcW w:w="46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ES Cell International Pte Ltd.</w:t>
            </w:r>
          </w:p>
        </w:tc>
        <w:tc>
          <w:tcPr>
            <w:tcW w:w="3440" w:type="dxa"/>
            <w:vAlign w:val="bottom"/>
            <w:tcBorders>
              <w:bottom w:val="single" w:sz="8" w:color="CCEEFF"/>
              <w:right w:val="single" w:sz="8" w:color="auto"/>
            </w:tcBorders>
            <w:shd w:val="clear" w:color="auto" w:fill="CCEEFF"/>
          </w:tcPr>
          <w:p>
            <w:pPr>
              <w:jc w:val="right"/>
              <w:ind w:right="1401"/>
              <w:spacing w:after="0"/>
              <w:rPr>
                <w:sz w:val="20"/>
                <w:szCs w:val="20"/>
                <w:color w:val="auto"/>
              </w:rPr>
            </w:pPr>
            <w:r>
              <w:rPr>
                <w:rFonts w:ascii="Arial" w:cs="Arial" w:eastAsia="Arial" w:hAnsi="Arial"/>
                <w:sz w:val="16"/>
                <w:szCs w:val="16"/>
                <w:color w:val="auto"/>
              </w:rPr>
              <w:t>100%</w:t>
            </w:r>
          </w:p>
        </w:tc>
        <w:tc>
          <w:tcPr>
            <w:tcW w:w="3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Singapore</w:t>
            </w:r>
          </w:p>
        </w:tc>
      </w:tr>
      <w:tr>
        <w:trPr>
          <w:trHeight w:val="211"/>
        </w:trPr>
        <w:tc>
          <w:tcPr>
            <w:tcW w:w="4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BioTime Asia, Limited</w:t>
            </w:r>
          </w:p>
        </w:tc>
        <w:tc>
          <w:tcPr>
            <w:tcW w:w="3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81%</w:t>
            </w:r>
          </w:p>
        </w:tc>
        <w:tc>
          <w:tcPr>
            <w:tcW w:w="3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Hong Kong</w:t>
            </w:r>
          </w:p>
        </w:tc>
      </w:tr>
      <w:tr>
        <w:trPr>
          <w:trHeight w:val="29"/>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45"/>
        </w:trPr>
        <w:tc>
          <w:tcPr>
            <w:tcW w:w="46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Cell Cure Neurosciences Ltd.</w:t>
            </w:r>
          </w:p>
        </w:tc>
        <w:tc>
          <w:tcPr>
            <w:tcW w:w="34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62.5%</w:t>
            </w:r>
          </w:p>
        </w:tc>
        <w:tc>
          <w:tcPr>
            <w:tcW w:w="3400" w:type="dxa"/>
            <w:vAlign w:val="bottom"/>
            <w:tcBorders>
              <w:bottom w:val="single" w:sz="8" w:color="CCEEFF"/>
              <w:right w:val="single" w:sz="8" w:color="auto"/>
            </w:tcBorders>
            <w:shd w:val="clear" w:color="auto" w:fill="CCEEFF"/>
          </w:tcPr>
          <w:p>
            <w:pPr>
              <w:jc w:val="center"/>
              <w:ind w:right="1"/>
              <w:spacing w:after="0"/>
              <w:rPr>
                <w:sz w:val="20"/>
                <w:szCs w:val="20"/>
                <w:color w:val="auto"/>
              </w:rPr>
            </w:pPr>
            <w:r>
              <w:rPr>
                <w:rFonts w:ascii="Arial" w:cs="Arial" w:eastAsia="Arial" w:hAnsi="Arial"/>
                <w:sz w:val="16"/>
                <w:szCs w:val="16"/>
                <w:color w:val="auto"/>
                <w:w w:val="91"/>
              </w:rPr>
              <w:t>Israel</w:t>
            </w:r>
          </w:p>
        </w:tc>
      </w:tr>
      <w:tr>
        <w:trPr>
          <w:trHeight w:val="211"/>
        </w:trPr>
        <w:tc>
          <w:tcPr>
            <w:tcW w:w="46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LifeMap Sciences, Inc.</w:t>
            </w:r>
          </w:p>
        </w:tc>
        <w:tc>
          <w:tcPr>
            <w:tcW w:w="3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73.2%</w:t>
            </w:r>
          </w:p>
        </w:tc>
        <w:tc>
          <w:tcPr>
            <w:tcW w:w="3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USA</w:t>
            </w:r>
          </w:p>
        </w:tc>
      </w:tr>
      <w:tr>
        <w:trPr>
          <w:trHeight w:val="29"/>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16"/>
        </w:trPr>
        <w:tc>
          <w:tcPr>
            <w:tcW w:w="46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LifeMap Sciences, Ltd.</w:t>
            </w:r>
          </w:p>
        </w:tc>
        <w:tc>
          <w:tcPr>
            <w:tcW w:w="34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(2)</w:t>
            </w:r>
          </w:p>
        </w:tc>
        <w:tc>
          <w:tcPr>
            <w:tcW w:w="3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Israel</w:t>
            </w:r>
          </w:p>
        </w:tc>
      </w:tr>
      <w:tr>
        <w:trPr>
          <w:trHeight w:val="24"/>
        </w:trPr>
        <w:tc>
          <w:tcPr>
            <w:tcW w:w="4600" w:type="dxa"/>
            <w:vAlign w:val="bottom"/>
            <w:tcBorders>
              <w:left w:val="single" w:sz="8" w:color="auto"/>
              <w:right w:val="single" w:sz="8" w:color="auto"/>
            </w:tcBorders>
            <w:shd w:val="clear" w:color="auto" w:fill="000000"/>
          </w:tcPr>
          <w:p>
            <w:pPr>
              <w:spacing w:after="0"/>
              <w:rPr>
                <w:sz w:val="2"/>
                <w:szCs w:val="2"/>
                <w:color w:val="auto"/>
              </w:rPr>
            </w:pPr>
          </w:p>
        </w:tc>
        <w:tc>
          <w:tcPr>
            <w:tcW w:w="3440" w:type="dxa"/>
            <w:vAlign w:val="bottom"/>
            <w:tcBorders>
              <w:right w:val="single" w:sz="8" w:color="auto"/>
            </w:tcBorders>
            <w:shd w:val="clear" w:color="auto" w:fill="000000"/>
          </w:tcPr>
          <w:p>
            <w:pPr>
              <w:spacing w:after="0"/>
              <w:rPr>
                <w:sz w:val="2"/>
                <w:szCs w:val="2"/>
                <w:color w:val="auto"/>
              </w:rPr>
            </w:pPr>
          </w:p>
        </w:tc>
        <w:tc>
          <w:tcPr>
            <w:tcW w:w="340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ind w:left="285" w:right="360" w:hanging="285"/>
        <w:spacing w:after="0" w:line="340" w:lineRule="auto"/>
        <w:tabs>
          <w:tab w:leader="none" w:pos="285" w:val="left"/>
        </w:tabs>
        <w:numPr>
          <w:ilvl w:val="0"/>
          <w:numId w:val="43"/>
        </w:numPr>
        <w:rPr>
          <w:rFonts w:ascii="Arial" w:cs="Arial" w:eastAsia="Arial" w:hAnsi="Arial"/>
          <w:sz w:val="14"/>
          <w:szCs w:val="14"/>
          <w:color w:val="auto"/>
        </w:rPr>
      </w:pPr>
      <w:r>
        <w:rPr>
          <w:rFonts w:ascii="Arial" w:cs="Arial" w:eastAsia="Arial" w:hAnsi="Arial"/>
          <w:sz w:val="14"/>
          <w:szCs w:val="14"/>
          <w:color w:val="auto"/>
        </w:rPr>
        <w:t>BioTime’s percentage ownership was reduced from approximately 96.7% to approximately 71.6% on October 1, 2013 when Asterias issued common stock to BioTime and Geron Corporation pursuant to an Asset Contribution Agreement and sold common stock and warrants to a private investor for cash in a related transaction. See Note 15.</w:t>
      </w:r>
    </w:p>
    <w:p>
      <w:pPr>
        <w:spacing w:after="0" w:line="134" w:lineRule="exact"/>
        <w:rPr>
          <w:rFonts w:ascii="Arial" w:cs="Arial" w:eastAsia="Arial" w:hAnsi="Arial"/>
          <w:sz w:val="14"/>
          <w:szCs w:val="14"/>
          <w:color w:val="auto"/>
        </w:rPr>
      </w:pPr>
    </w:p>
    <w:p>
      <w:pPr>
        <w:ind w:left="285" w:hanging="285"/>
        <w:spacing w:after="0"/>
        <w:tabs>
          <w:tab w:leader="none" w:pos="285" w:val="left"/>
        </w:tabs>
        <w:numPr>
          <w:ilvl w:val="0"/>
          <w:numId w:val="43"/>
        </w:numPr>
        <w:rPr>
          <w:rFonts w:ascii="Arial" w:cs="Arial" w:eastAsia="Arial" w:hAnsi="Arial"/>
          <w:sz w:val="16"/>
          <w:szCs w:val="16"/>
          <w:color w:val="auto"/>
        </w:rPr>
      </w:pPr>
      <w:r>
        <w:rPr>
          <w:rFonts w:ascii="Arial" w:cs="Arial" w:eastAsia="Arial" w:hAnsi="Arial"/>
          <w:sz w:val="16"/>
          <w:szCs w:val="16"/>
          <w:color w:val="auto"/>
        </w:rPr>
        <w:t>LifeMap Sciences, Ltd. is a wholly-owned subsidiary of LifeMap Sciences, Inc.</w:t>
      </w:r>
    </w:p>
    <w:p>
      <w:pPr>
        <w:spacing w:after="0" w:line="218" w:lineRule="exact"/>
        <w:rPr>
          <w:sz w:val="20"/>
          <w:szCs w:val="20"/>
          <w:color w:val="auto"/>
        </w:rPr>
      </w:pPr>
    </w:p>
    <w:p>
      <w:pPr>
        <w:ind w:left="5" w:right="80" w:firstLine="567"/>
        <w:spacing w:after="0" w:line="272" w:lineRule="auto"/>
        <w:rPr>
          <w:sz w:val="20"/>
          <w:szCs w:val="20"/>
          <w:color w:val="auto"/>
        </w:rPr>
      </w:pPr>
      <w:r>
        <w:rPr>
          <w:rFonts w:ascii="Arial" w:cs="Arial" w:eastAsia="Arial" w:hAnsi="Arial"/>
          <w:sz w:val="15"/>
          <w:szCs w:val="15"/>
          <w:color w:val="auto"/>
        </w:rPr>
        <w:t>All material intercompany accounts and transactions have been eliminated in consolidation. The consolidated financial statements are presented in accordance with accounting principles generally accepted in the U.S. (“GAAP”) and with the accounting and reporting requirements of Regulation S-X of the Securities and Exchange Commission ("SEC"). As of December 31, 2013, BioTime consolidated Asterias, ReCyte Therapeutics, OncoCyte, OrthoCyte, ESI, Cell Cure Neurosciences, BioTime Asia, Limited (“BioTime Asia”), LifeMap Sciences, and LifeMap Sciences, Ltd. as BioTime has the ability to control their operating and financial decisions and policies through its ownership, and the noncontrolling interest is reflected as a separate element of equity on BioTime’s consolidated balance sheets.</w:t>
      </w:r>
    </w:p>
    <w:p>
      <w:pPr>
        <w:spacing w:after="0" w:line="181" w:lineRule="exact"/>
        <w:rPr>
          <w:sz w:val="20"/>
          <w:szCs w:val="20"/>
          <w:color w:val="auto"/>
        </w:rPr>
      </w:pPr>
    </w:p>
    <w:p>
      <w:pPr>
        <w:ind w:left="5" w:right="60" w:firstLine="567"/>
        <w:spacing w:after="0" w:line="291" w:lineRule="auto"/>
        <w:rPr>
          <w:sz w:val="20"/>
          <w:szCs w:val="20"/>
          <w:color w:val="auto"/>
        </w:rPr>
      </w:pPr>
      <w:r>
        <w:rPr>
          <w:rFonts w:ascii="Arial" w:cs="Arial" w:eastAsia="Arial" w:hAnsi="Arial"/>
          <w:sz w:val="14"/>
          <w:szCs w:val="14"/>
          <w:i w:val="1"/>
          <w:iCs w:val="1"/>
          <w:color w:val="auto"/>
        </w:rPr>
        <w:t xml:space="preserve">Certain significant risks and uncertainties </w:t>
      </w:r>
      <w:r>
        <w:rPr>
          <w:rFonts w:ascii="Arial" w:cs="Arial" w:eastAsia="Arial" w:hAnsi="Arial"/>
          <w:sz w:val="14"/>
          <w:szCs w:val="14"/>
          <w:color w:val="auto"/>
        </w:rPr>
        <w:t>-The operations of BioTime and its subsidiaries are subject to a number of factors that can affect their operating results and</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condition. Such factors include but are not limited to, the following: the results of clinical trials of their respective therapeutic product and medical device candidates; their ability to obtain FDA and foreign regulatory approval to market their respective therapeutic and medical device product candidates; their ability to develop new stem cell research products and technologies; competition from products manufactured and sold or being developed by other companies; the price and demand for their products; their ability to obtain additional financing and the terms of any such financing that may be obtained; their ability to negotiate favorable licensing or other manufacturing and marketing agreements for its products; the availability of ingredients used in their products; and the availability of reimbursement for the cost of their therapeutic products and medical devices (and related treatment) from government health administration authorities, private health coverage insurers, and other organizations.</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22" w:lineRule="exact"/>
        <w:rPr>
          <w:sz w:val="20"/>
          <w:szCs w:val="20"/>
          <w:color w:val="auto"/>
        </w:rPr>
      </w:pPr>
    </w:p>
    <w:p>
      <w:pPr>
        <w:jc w:val="both"/>
        <w:ind w:left="5" w:right="140" w:firstLine="567"/>
        <w:spacing w:after="0" w:line="257"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 The preparation of consolidated financial statements in conformity with GAAP requires management to make estimates and assumptions that affect the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89" w:lineRule="exact"/>
        <w:rPr>
          <w:sz w:val="20"/>
          <w:szCs w:val="20"/>
          <w:color w:val="auto"/>
        </w:rPr>
      </w:pPr>
    </w:p>
    <w:p>
      <w:pPr>
        <w:ind w:left="5" w:right="80" w:firstLine="567"/>
        <w:spacing w:after="0" w:line="266" w:lineRule="auto"/>
        <w:rPr>
          <w:sz w:val="20"/>
          <w:szCs w:val="20"/>
          <w:color w:val="auto"/>
        </w:rPr>
      </w:pPr>
      <w:r>
        <w:rPr>
          <w:rFonts w:ascii="Arial" w:cs="Arial" w:eastAsia="Arial" w:hAnsi="Arial"/>
          <w:sz w:val="15"/>
          <w:szCs w:val="15"/>
          <w:i w:val="1"/>
          <w:iCs w:val="1"/>
          <w:color w:val="auto"/>
        </w:rPr>
        <w:t xml:space="preserve">Revenue recognition </w:t>
      </w:r>
      <w:r>
        <w:rPr>
          <w:rFonts w:ascii="Arial" w:cs="Arial" w:eastAsia="Arial" w:hAnsi="Arial"/>
          <w:sz w:val="15"/>
          <w:szCs w:val="15"/>
          <w:color w:val="auto"/>
        </w:rPr>
        <w:t>– BioTime complies with SEC Staff Accounting Bulletin guidance on revenue recognition. Royalty revenues consist of product royalty payments.</w:t>
      </w:r>
      <w:r>
        <w:rPr>
          <w:rFonts w:ascii="Arial" w:cs="Arial" w:eastAsia="Arial" w:hAnsi="Arial"/>
          <w:sz w:val="15"/>
          <w:szCs w:val="15"/>
          <w:i w:val="1"/>
          <w:iCs w:val="1"/>
          <w:color w:val="auto"/>
        </w:rPr>
        <w:t xml:space="preserve"> </w:t>
      </w:r>
      <w:r>
        <w:rPr>
          <w:rFonts w:ascii="Arial" w:cs="Arial" w:eastAsia="Arial" w:hAnsi="Arial"/>
          <w:sz w:val="15"/>
          <w:szCs w:val="15"/>
          <w:color w:val="auto"/>
        </w:rPr>
        <w:t>License fee revenues consist of fees under license agreements and are recognized when earned and reasonably estimable and also include subscription and advertising revenue from our online databases based upon respective subscription or advertising periods. BioTime recognizes revenue in the quarter in which the royalty reports are received, rather than the quarter in which the sales took place. When BioTime is entitled to receive up-front nonrefundable licensing or similar fees pursuant to agreements under which BioTime has no continuing performance obligations, the fees are recognized as revenues when collection is reasonably assured. When BioTime receives up-front nonrefundable licensing or similar fees pursuant to agreements under which BioTime does have continuing performance obligations, the fees are deferred and amortized ratably over the performance period. If the performance period cannot be reasonably estimated, BioTime amortizes nonrefundable fees over the life of the contract until such time that the performance period can be more reasonably estimated. Milestone payments, if any, related to scientific or technical achievements are recognized in income when the milestone is accomplished if (a) substantive effort was required to achieve the milestone, (b) the amount of the milestone payment appears reasonably commensurate with the effort expended, and (c) collection of the payment is reasonably assured. Grant income and the sale of research products are recognized as revenue when earned. Revenues from the sale of research products are primarily derived from the sale of hydrogels and stem cell products.</w:t>
      </w:r>
    </w:p>
    <w:p>
      <w:pPr>
        <w:spacing w:after="0" w:line="139"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105" w:name="page106"/>
    <w:bookmarkEnd w:id="10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7"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 xml:space="preserve">Cash and cash equivalents </w:t>
      </w:r>
      <w:r>
        <w:rPr>
          <w:rFonts w:ascii="Arial" w:cs="Arial" w:eastAsia="Arial" w:hAnsi="Arial"/>
          <w:sz w:val="15"/>
          <w:szCs w:val="15"/>
          <w:color w:val="auto"/>
        </w:rPr>
        <w:t>– BioTime considers all highly liquid investments purchased with an original maturity of three months or less to be cash equivalents.</w:t>
      </w:r>
    </w:p>
    <w:p>
      <w:pPr>
        <w:spacing w:after="0" w:line="229" w:lineRule="exact"/>
        <w:rPr>
          <w:sz w:val="20"/>
          <w:szCs w:val="20"/>
          <w:color w:val="auto"/>
        </w:rPr>
      </w:pPr>
    </w:p>
    <w:p>
      <w:pPr>
        <w:ind w:right="100" w:firstLine="567"/>
        <w:spacing w:after="0" w:line="269" w:lineRule="auto"/>
        <w:rPr>
          <w:sz w:val="20"/>
          <w:szCs w:val="20"/>
          <w:color w:val="auto"/>
        </w:rPr>
      </w:pPr>
      <w:r>
        <w:rPr>
          <w:rFonts w:ascii="Arial" w:cs="Arial" w:eastAsia="Arial" w:hAnsi="Arial"/>
          <w:sz w:val="15"/>
          <w:szCs w:val="15"/>
          <w:i w:val="1"/>
          <w:iCs w:val="1"/>
          <w:color w:val="auto"/>
        </w:rPr>
        <w:t xml:space="preserve">Accounts receivable and allowance for doubtful accounts </w:t>
      </w:r>
      <w:r>
        <w:rPr>
          <w:rFonts w:ascii="Arial" w:cs="Arial" w:eastAsia="Arial" w:hAnsi="Arial"/>
          <w:sz w:val="15"/>
          <w:szCs w:val="15"/>
          <w:color w:val="auto"/>
        </w:rPr>
        <w:t>- Trade accounts receivable and grants receivable are presented in the prepaid expenses and other current assets</w:t>
      </w:r>
      <w:r>
        <w:rPr>
          <w:rFonts w:ascii="Arial" w:cs="Arial" w:eastAsia="Arial" w:hAnsi="Arial"/>
          <w:sz w:val="15"/>
          <w:szCs w:val="15"/>
          <w:i w:val="1"/>
          <w:iCs w:val="1"/>
          <w:color w:val="auto"/>
        </w:rPr>
        <w:t xml:space="preserve"> </w:t>
      </w:r>
      <w:r>
        <w:rPr>
          <w:rFonts w:ascii="Arial" w:cs="Arial" w:eastAsia="Arial" w:hAnsi="Arial"/>
          <w:sz w:val="15"/>
          <w:szCs w:val="15"/>
          <w:color w:val="auto"/>
        </w:rPr>
        <w:t>line item of the consolidated balance sheet. Total trade receivables amounted to approximately $575,900 and $395,000 and grants receivable amounted to approximately $539,300 and $1,059,000 as of December 31, 2013 and 2012, respectively. Some of these amounts are deemed uncollectible; as such BioTime recognized allowance for doubtful accounts in the amount of $116,816 as of December 31, 2013 and 2012. BioTime evaluates the collectability of its receivables based on a variety of factors, including the length of time receivables are past due and significant one-time events and historical experience. An additional reserve for individual accounts will be recorded if BioTime becomes aware of a customer’s inability to meet its financial obligations, such as in the case of bankruptcy filings or deterioration in the customer’s operating results or financial position. If circumstances related to customers change, estimates of the recoverability of receivables would be further adjusted.</w:t>
      </w:r>
    </w:p>
    <w:p>
      <w:pPr>
        <w:spacing w:after="0" w:line="183" w:lineRule="exact"/>
        <w:rPr>
          <w:sz w:val="20"/>
          <w:szCs w:val="20"/>
          <w:color w:val="auto"/>
        </w:rPr>
      </w:pPr>
    </w:p>
    <w:p>
      <w:pPr>
        <w:ind w:right="180" w:firstLine="567"/>
        <w:spacing w:after="0" w:line="311" w:lineRule="auto"/>
        <w:rPr>
          <w:sz w:val="20"/>
          <w:szCs w:val="20"/>
          <w:color w:val="auto"/>
        </w:rPr>
      </w:pPr>
      <w:r>
        <w:rPr>
          <w:rFonts w:ascii="Arial" w:cs="Arial" w:eastAsia="Arial" w:hAnsi="Arial"/>
          <w:sz w:val="14"/>
          <w:szCs w:val="14"/>
          <w:i w:val="1"/>
          <w:iCs w:val="1"/>
          <w:color w:val="auto"/>
        </w:rPr>
        <w:t xml:space="preserve">Concentrations of credit risk </w:t>
      </w:r>
      <w:r>
        <w:rPr>
          <w:rFonts w:ascii="Arial" w:cs="Arial" w:eastAsia="Arial" w:hAnsi="Arial"/>
          <w:sz w:val="14"/>
          <w:szCs w:val="14"/>
          <w:color w:val="auto"/>
        </w:rPr>
        <w:t>– Financial instruments that potentially subject BioTime to significant concentrations of credit risk consist primarily of cash and cash</w:t>
      </w:r>
      <w:r>
        <w:rPr>
          <w:rFonts w:ascii="Arial" w:cs="Arial" w:eastAsia="Arial" w:hAnsi="Arial"/>
          <w:sz w:val="14"/>
          <w:szCs w:val="14"/>
          <w:i w:val="1"/>
          <w:iCs w:val="1"/>
          <w:color w:val="auto"/>
        </w:rPr>
        <w:t xml:space="preserve"> </w:t>
      </w:r>
      <w:r>
        <w:rPr>
          <w:rFonts w:ascii="Arial" w:cs="Arial" w:eastAsia="Arial" w:hAnsi="Arial"/>
          <w:sz w:val="14"/>
          <w:szCs w:val="14"/>
          <w:color w:val="auto"/>
        </w:rPr>
        <w:t>equivalents. BioTime limits the amount of credit exposure of cash balances by maintaining its accounts in high credit quality financial institutions. Cash equivalent deposits with financial institutions may occasionally exceed the limits of insurance on bank deposits; however, BioTime has not experienced any losses on such accounts.</w:t>
      </w:r>
    </w:p>
    <w:p>
      <w:pPr>
        <w:spacing w:after="0" w:line="154" w:lineRule="exact"/>
        <w:rPr>
          <w:sz w:val="20"/>
          <w:szCs w:val="20"/>
          <w:color w:val="auto"/>
        </w:rPr>
      </w:pPr>
    </w:p>
    <w:p>
      <w:pPr>
        <w:ind w:right="140" w:firstLine="567"/>
        <w:spacing w:after="0" w:line="267" w:lineRule="auto"/>
        <w:rPr>
          <w:sz w:val="20"/>
          <w:szCs w:val="20"/>
          <w:color w:val="auto"/>
        </w:rPr>
      </w:pPr>
      <w:r>
        <w:rPr>
          <w:rFonts w:ascii="Arial" w:cs="Arial" w:eastAsia="Arial" w:hAnsi="Arial"/>
          <w:sz w:val="16"/>
          <w:szCs w:val="16"/>
          <w:i w:val="1"/>
          <w:iCs w:val="1"/>
          <w:color w:val="auto"/>
        </w:rPr>
        <w:t xml:space="preserve">Inventory – </w:t>
      </w:r>
      <w:r>
        <w:rPr>
          <w:rFonts w:ascii="Arial" w:cs="Arial" w:eastAsia="Arial" w:hAnsi="Arial"/>
          <w:sz w:val="16"/>
          <w:szCs w:val="16"/>
          <w:color w:val="auto"/>
        </w:rPr>
        <w:t>Inventories are stated at the lower of cost or market. Cost, which includes amounts related to materials, labor, and overhead, is determined in a manner which</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approximates the first-in, first-out (“FIFO”) method.</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Equipment </w:t>
      </w:r>
      <w:r>
        <w:rPr>
          <w:rFonts w:ascii="Arial" w:cs="Arial" w:eastAsia="Arial" w:hAnsi="Arial"/>
          <w:sz w:val="16"/>
          <w:szCs w:val="16"/>
          <w:color w:val="auto"/>
        </w:rPr>
        <w:t>– Equipment is stated at cost. Equipment is being depreciated using the straight-line method over a period of 36 to 120 months. See Note 4.</w:t>
      </w:r>
    </w:p>
    <w:p>
      <w:pPr>
        <w:spacing w:after="0" w:line="218" w:lineRule="exact"/>
        <w:rPr>
          <w:sz w:val="20"/>
          <w:szCs w:val="20"/>
          <w:color w:val="auto"/>
        </w:rPr>
      </w:pPr>
    </w:p>
    <w:p>
      <w:pPr>
        <w:ind w:firstLine="567"/>
        <w:spacing w:after="0" w:line="269" w:lineRule="auto"/>
        <w:rPr>
          <w:sz w:val="20"/>
          <w:szCs w:val="20"/>
          <w:color w:val="auto"/>
        </w:rPr>
      </w:pPr>
      <w:r>
        <w:rPr>
          <w:rFonts w:ascii="Arial" w:cs="Arial" w:eastAsia="Arial" w:hAnsi="Arial"/>
          <w:sz w:val="15"/>
          <w:szCs w:val="15"/>
          <w:i w:val="1"/>
          <w:iCs w:val="1"/>
          <w:color w:val="auto"/>
        </w:rPr>
        <w:t xml:space="preserve">Intangible assets </w:t>
      </w:r>
      <w:r>
        <w:rPr>
          <w:rFonts w:ascii="Arial" w:cs="Arial" w:eastAsia="Arial" w:hAnsi="Arial"/>
          <w:sz w:val="15"/>
          <w:szCs w:val="15"/>
          <w:color w:val="auto"/>
        </w:rPr>
        <w:t>– Intangible assets with finite useful lives are amortized over estimated useful lives and intangible assets with indefinite lives are not amortized but rather</w:t>
      </w:r>
      <w:r>
        <w:rPr>
          <w:rFonts w:ascii="Arial" w:cs="Arial" w:eastAsia="Arial" w:hAnsi="Arial"/>
          <w:sz w:val="15"/>
          <w:szCs w:val="15"/>
          <w:i w:val="1"/>
          <w:iCs w:val="1"/>
          <w:color w:val="auto"/>
        </w:rPr>
        <w:t xml:space="preserve"> </w:t>
      </w:r>
      <w:r>
        <w:rPr>
          <w:rFonts w:ascii="Arial" w:cs="Arial" w:eastAsia="Arial" w:hAnsi="Arial"/>
          <w:sz w:val="15"/>
          <w:szCs w:val="15"/>
          <w:color w:val="auto"/>
        </w:rPr>
        <w:t>are tested at least annually for impairment. Acquired in-process research and development intangible assets are accounted for depending on whether they were acquired as part of an acquisition of a business, or assets that do not constitute a business. When acquired in conjunction with acquisition of a business, these assets are considered to be indefinite-lived until the completion or abandonment of the associated research and development efforts and are capitalized as an asset. If and when development is complete, the associated assets would be deemed finite-lived and would then be amortized based on their respective estimated useful lives at that point in time. However, when acquired in conjunction with an acquisition of assets that do not constitute a business (such as the acquisition of assets from Geron), in accordance with the accounting rules in ASC 805-50, such intangible assets related to in-process research and development (“IPR&amp;D”) are expensed upon acquisition.</w:t>
      </w:r>
    </w:p>
    <w:p>
      <w:pPr>
        <w:spacing w:after="0" w:line="183" w:lineRule="exact"/>
        <w:rPr>
          <w:sz w:val="20"/>
          <w:szCs w:val="20"/>
          <w:color w:val="auto"/>
        </w:rPr>
      </w:pPr>
    </w:p>
    <w:p>
      <w:pPr>
        <w:ind w:right="420" w:firstLine="567"/>
        <w:spacing w:after="0" w:line="267" w:lineRule="auto"/>
        <w:rPr>
          <w:sz w:val="20"/>
          <w:szCs w:val="20"/>
          <w:color w:val="auto"/>
        </w:rPr>
      </w:pPr>
      <w:r>
        <w:rPr>
          <w:rFonts w:ascii="Arial" w:cs="Arial" w:eastAsia="Arial" w:hAnsi="Arial"/>
          <w:sz w:val="16"/>
          <w:szCs w:val="16"/>
          <w:i w:val="1"/>
          <w:iCs w:val="1"/>
          <w:color w:val="auto"/>
        </w:rPr>
        <w:t xml:space="preserve">Treasury stock – </w:t>
      </w:r>
      <w:r>
        <w:rPr>
          <w:rFonts w:ascii="Arial" w:cs="Arial" w:eastAsia="Arial" w:hAnsi="Arial"/>
          <w:sz w:val="16"/>
          <w:szCs w:val="16"/>
          <w:color w:val="auto"/>
        </w:rPr>
        <w:t>BioTime accounts for BioTime common shares issued to subsidiaries for future potential working capital needs as treasury stock on the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BioTime has the intent and ability to register any unregistered shares to support the marketability of the shares.</w:t>
      </w:r>
    </w:p>
    <w:p>
      <w:pPr>
        <w:spacing w:after="0" w:line="181" w:lineRule="exact"/>
        <w:rPr>
          <w:sz w:val="20"/>
          <w:szCs w:val="20"/>
          <w:color w:val="auto"/>
        </w:rPr>
      </w:pPr>
    </w:p>
    <w:p>
      <w:pPr>
        <w:ind w:firstLine="567"/>
        <w:spacing w:after="0" w:line="251" w:lineRule="auto"/>
        <w:rPr>
          <w:sz w:val="20"/>
          <w:szCs w:val="20"/>
          <w:color w:val="auto"/>
        </w:rPr>
      </w:pPr>
      <w:r>
        <w:rPr>
          <w:rFonts w:ascii="Arial" w:cs="Arial" w:eastAsia="Arial" w:hAnsi="Arial"/>
          <w:sz w:val="16"/>
          <w:szCs w:val="16"/>
          <w:i w:val="1"/>
          <w:iCs w:val="1"/>
          <w:color w:val="auto"/>
        </w:rPr>
        <w:t xml:space="preserve">Warrants to purchase common stock – </w:t>
      </w:r>
      <w:r>
        <w:rPr>
          <w:rFonts w:ascii="Arial" w:cs="Arial" w:eastAsia="Arial" w:hAnsi="Arial"/>
          <w:sz w:val="16"/>
          <w:szCs w:val="16"/>
          <w:color w:val="auto"/>
        </w:rPr>
        <w:t>BioTime generally accounts for warrants issued in connection with equity financings as a component of equity. None of the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by BioTime as of December 31, 2013 include a conditional obligation to issue a variable number of shares; nor was there a deemed possibility that BioTime may need to settle the warrants in cash. If BioTime were to issue warrants with a conditional obligation to issue a variable number of shares or with the deemed possibility of a cash settlement, BioTime would record the fair value of the warrants as a liability at each balance sheet date and record changes in fair value in other income and expense in the consolidated statements of operations.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6" w:name="page107"/>
    <w:bookmarkEnd w:id="10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220" w:firstLine="567"/>
        <w:spacing w:after="0" w:line="267"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 BioTime accounts for the cost of research products acquired for sale and any royalties paid as a result of any revenues in accordance with the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licensing agreements as cost of sales on the consolidated statement of operations.</w:t>
      </w:r>
    </w:p>
    <w:p>
      <w:pPr>
        <w:spacing w:after="0" w:line="181" w:lineRule="exact"/>
        <w:rPr>
          <w:sz w:val="20"/>
          <w:szCs w:val="20"/>
          <w:color w:val="auto"/>
        </w:rPr>
      </w:pPr>
    </w:p>
    <w:p>
      <w:pPr>
        <w:ind w:right="400" w:firstLine="567"/>
        <w:spacing w:after="0" w:line="340" w:lineRule="auto"/>
        <w:rPr>
          <w:sz w:val="20"/>
          <w:szCs w:val="20"/>
          <w:color w:val="auto"/>
        </w:rPr>
      </w:pPr>
      <w:r>
        <w:rPr>
          <w:rFonts w:ascii="Arial" w:cs="Arial" w:eastAsia="Arial" w:hAnsi="Arial"/>
          <w:sz w:val="14"/>
          <w:szCs w:val="14"/>
          <w:i w:val="1"/>
          <w:iCs w:val="1"/>
          <w:color w:val="auto"/>
        </w:rPr>
        <w:t xml:space="preserve">Patent costs – </w:t>
      </w:r>
      <w:r>
        <w:rPr>
          <w:rFonts w:ascii="Arial" w:cs="Arial" w:eastAsia="Arial" w:hAnsi="Arial"/>
          <w:sz w:val="14"/>
          <w:szCs w:val="14"/>
          <w:color w:val="auto"/>
        </w:rPr>
        <w:t>Costs associated with obtaining patents on products or technology developed are expensed as general and administrative expenses when incurred. This</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is in compliance with guidance promulgated by the Financial Accounting Standards Board (the “FASB”) regarding goodwill and other intangible assets.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Reclassification </w:t>
      </w:r>
      <w:r>
        <w:rPr>
          <w:rFonts w:ascii="Arial" w:cs="Arial" w:eastAsia="Arial" w:hAnsi="Arial"/>
          <w:sz w:val="16"/>
          <w:szCs w:val="16"/>
          <w:color w:val="auto"/>
        </w:rPr>
        <w:t>– Certain prior year amounts have been reclassified to conform to the current year presentation.</w:t>
      </w:r>
    </w:p>
    <w:p>
      <w:pPr>
        <w:spacing w:after="0" w:line="218" w:lineRule="exact"/>
        <w:rPr>
          <w:sz w:val="20"/>
          <w:szCs w:val="20"/>
          <w:color w:val="auto"/>
        </w:rPr>
      </w:pPr>
    </w:p>
    <w:p>
      <w:pPr>
        <w:ind w:right="180" w:firstLine="567"/>
        <w:spacing w:after="0" w:line="257"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 BioTime complies with FASB requirements governing accounting for research and development costs. Research and development costs are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expensed when incurred, and consist principally of salaries, payroll taxes, consulting fees, research and laboratory fees, and license fees paid to acquire patents or licenses to use patents and other technology from third parties.</w:t>
      </w:r>
    </w:p>
    <w:p>
      <w:pPr>
        <w:spacing w:after="0" w:line="189" w:lineRule="exact"/>
        <w:rPr>
          <w:sz w:val="20"/>
          <w:szCs w:val="20"/>
          <w:color w:val="auto"/>
        </w:rPr>
      </w:pPr>
    </w:p>
    <w:p>
      <w:pPr>
        <w:ind w:right="80" w:firstLine="567"/>
        <w:spacing w:after="0" w:line="296" w:lineRule="auto"/>
        <w:rPr>
          <w:sz w:val="20"/>
          <w:szCs w:val="20"/>
          <w:color w:val="auto"/>
        </w:rPr>
      </w:pPr>
      <w:r>
        <w:rPr>
          <w:rFonts w:ascii="Arial" w:cs="Arial" w:eastAsia="Arial" w:hAnsi="Arial"/>
          <w:sz w:val="14"/>
          <w:szCs w:val="14"/>
          <w:i w:val="1"/>
          <w:iCs w:val="1"/>
          <w:color w:val="auto"/>
        </w:rPr>
        <w:t xml:space="preserve">Foreign currency translation gain/(loss) and comprehensive loss </w:t>
      </w:r>
      <w:r>
        <w:rPr>
          <w:rFonts w:ascii="Arial" w:cs="Arial" w:eastAsia="Arial" w:hAnsi="Arial"/>
          <w:sz w:val="14"/>
          <w:szCs w:val="14"/>
          <w:color w:val="auto"/>
        </w:rPr>
        <w:t>– In countries in which BioTime operates, and the functional currency is other than the U.S. dollar, assets</w:t>
      </w:r>
      <w:r>
        <w:rPr>
          <w:rFonts w:ascii="Arial" w:cs="Arial" w:eastAsia="Arial" w:hAnsi="Arial"/>
          <w:sz w:val="14"/>
          <w:szCs w:val="14"/>
          <w:i w:val="1"/>
          <w:iCs w:val="1"/>
          <w:color w:val="auto"/>
        </w:rPr>
        <w:t xml:space="preserve"> </w:t>
      </w:r>
      <w:r>
        <w:rPr>
          <w:rFonts w:ascii="Arial" w:cs="Arial" w:eastAsia="Arial" w:hAnsi="Arial"/>
          <w:sz w:val="14"/>
          <w:szCs w:val="14"/>
          <w:color w:val="auto"/>
        </w:rPr>
        <w:t>and liabilities are translated using published exchange rates in effect at the consolidated balance sheet date. Revenues and expenses and cash flows are translated using an approximate weighted average exchange rate for the period. Resulting translation adjustments are recorded as a component of accumulated other comprehensive income on the consolidated balance sheet. For the fiscal years ended December 31, 2013 and 2012, comprehensive loss includes gain of $122,469 and $63,179, respectively which is largely from foreign currency translation. For the fiscal year ended December 31, 2013 and 2012, foreign currency transaction loss amounted to $133,479 and $34,233, respectively.</w:t>
      </w:r>
    </w:p>
    <w:p>
      <w:pPr>
        <w:spacing w:after="0" w:line="165" w:lineRule="exact"/>
        <w:rPr>
          <w:sz w:val="20"/>
          <w:szCs w:val="20"/>
          <w:color w:val="auto"/>
        </w:rPr>
      </w:pPr>
    </w:p>
    <w:p>
      <w:pPr>
        <w:ind w:firstLine="567"/>
        <w:spacing w:after="0" w:line="288" w:lineRule="auto"/>
        <w:rPr>
          <w:sz w:val="20"/>
          <w:szCs w:val="20"/>
          <w:color w:val="auto"/>
        </w:rPr>
      </w:pPr>
      <w:r>
        <w:rPr>
          <w:rFonts w:ascii="Arial" w:cs="Arial" w:eastAsia="Arial" w:hAnsi="Arial"/>
          <w:sz w:val="14"/>
          <w:szCs w:val="14"/>
          <w:i w:val="1"/>
          <w:iCs w:val="1"/>
          <w:color w:val="auto"/>
        </w:rPr>
        <w:t xml:space="preserve">Income taxes – </w:t>
      </w:r>
      <w:r>
        <w:rPr>
          <w:rFonts w:ascii="Arial" w:cs="Arial" w:eastAsia="Arial" w:hAnsi="Arial"/>
          <w:sz w:val="14"/>
          <w:szCs w:val="14"/>
          <w:color w:val="auto"/>
        </w:rPr>
        <w:t>BioTime accounts for income taxes in accordance with GAAP requirements, which prescribe the use of the asset and liability method, whereby deferred tax</w:t>
      </w:r>
      <w:r>
        <w:rPr>
          <w:rFonts w:ascii="Arial" w:cs="Arial" w:eastAsia="Arial" w:hAnsi="Arial"/>
          <w:sz w:val="14"/>
          <w:szCs w:val="14"/>
          <w:i w:val="1"/>
          <w:iCs w:val="1"/>
          <w:color w:val="auto"/>
        </w:rPr>
        <w:t xml:space="preserve"> </w:t>
      </w:r>
      <w:r>
        <w:rPr>
          <w:rFonts w:ascii="Arial" w:cs="Arial" w:eastAsia="Arial" w:hAnsi="Arial"/>
          <w:sz w:val="14"/>
          <w:szCs w:val="14"/>
          <w:color w:val="auto"/>
        </w:rPr>
        <w:t>asset or liability account balances are calculated at the balance sheet date using current tax laws and rates in effect. Valuation allowances are established when necessary to reduce deferred tax assets when it is more likely than not that a portion or all of the deferred tax assets will not be realized. The FASB guidance also prescribes a recognition threshold and a measurement attribute for the financial statement recognition and measurement of tax positions taken or expected to be taken in a tax return. For those benefits to be recognized, a tax position must be more-likely-than-not sustainable upon examination by taxing authorities. For 2013, Asterias will file a separate U.S. federal and state income tax returns but effectively BioTime will combine Asterias' tax provision with BioTime's. BioTime recognizes accrued interest and penalties related to unrecognized tax benefits as income tax expense. No amounts were accrued for the payment of interest and penalties as of December 31, 2013 and 2012. BioTime files its income tax returns in the U.S. federal and various state and local and foreign jurisdictions. Generally, BioTime is no longer subject to income tax examinations by major taxing authorities for years before 2010. Any potential examinations may include questioning the timing and amount of deductions, the nexus of income among various tax jurisdictions and compliance with U.S. federal, state and local and foreign tax laws. Management does not expect that the total amount of unrecognized tax benefits will materially change over the next twelve months</w:t>
      </w:r>
    </w:p>
    <w:p>
      <w:pPr>
        <w:spacing w:after="0" w:line="172" w:lineRule="exact"/>
        <w:rPr>
          <w:sz w:val="20"/>
          <w:szCs w:val="20"/>
          <w:color w:val="auto"/>
        </w:rPr>
      </w:pPr>
    </w:p>
    <w:p>
      <w:pPr>
        <w:ind w:firstLine="567"/>
        <w:spacing w:after="0" w:line="289" w:lineRule="auto"/>
        <w:rPr>
          <w:sz w:val="20"/>
          <w:szCs w:val="20"/>
          <w:color w:val="auto"/>
        </w:rPr>
      </w:pPr>
      <w:r>
        <w:rPr>
          <w:rFonts w:ascii="Arial" w:cs="Arial" w:eastAsia="Arial" w:hAnsi="Arial"/>
          <w:sz w:val="14"/>
          <w:szCs w:val="14"/>
          <w:i w:val="1"/>
          <w:iCs w:val="1"/>
          <w:color w:val="auto"/>
        </w:rPr>
        <w:t xml:space="preserve">Stock-based compensation – </w:t>
      </w:r>
      <w:r>
        <w:rPr>
          <w:rFonts w:ascii="Arial" w:cs="Arial" w:eastAsia="Arial" w:hAnsi="Arial"/>
          <w:sz w:val="14"/>
          <w:szCs w:val="14"/>
          <w:color w:val="auto"/>
        </w:rPr>
        <w:t>BioTime adopted accounting standards governing share-based payments, which require the measurement and recognition of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expense for all share-based payment awards made to directors and employees, including employee stock options, based on estimated fair values. In March 2005, the SEC issued additional guidelines which provide supplemental implementation guidance for valuation of share-based payments. BioTime has applied the provisions of this guidance in such valuations as well. Consistent with those guidelines, BioTime utilizes the Black-Scholes Merton option pricing model. BioTime's determination of fair value of share-based payment awards on the date of grant using that option-pricing model is affected by BioTime's stock price as well as by assumptions regarding a number of highly complex and subjective variables. These variables include, but are not limited to, BioTime's expected stock price volatility over the term of the awards, and actual and projected employee stock option exercise behaviors. The expected term of options granted is derived from historical data on employee exercises and post-vesting employment termination behavior. The risk-free rate is based on the U.S. Treasury rates in effect during the corresponding period of grant. Although the fair value of employee stock options is determined in accordance with recent FASB guidance, changes in the subjective assumptions can materially affect the estimated value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7" w:name="page108"/>
    <w:bookmarkEnd w:id="10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420" w:firstLine="567"/>
        <w:spacing w:after="0" w:line="276" w:lineRule="auto"/>
        <w:rPr>
          <w:sz w:val="20"/>
          <w:szCs w:val="20"/>
          <w:color w:val="auto"/>
        </w:rPr>
      </w:pPr>
      <w:r>
        <w:rPr>
          <w:rFonts w:ascii="Arial" w:cs="Arial" w:eastAsia="Arial" w:hAnsi="Arial"/>
          <w:sz w:val="15"/>
          <w:szCs w:val="15"/>
          <w:i w:val="1"/>
          <w:iCs w:val="1"/>
          <w:color w:val="auto"/>
        </w:rPr>
        <w:t xml:space="preserve">Impairment of long-lived assets – </w:t>
      </w:r>
      <w:r>
        <w:rPr>
          <w:rFonts w:ascii="Arial" w:cs="Arial" w:eastAsia="Arial" w:hAnsi="Arial"/>
          <w:sz w:val="15"/>
          <w:szCs w:val="15"/>
          <w:color w:val="auto"/>
        </w:rPr>
        <w:t>BioTime’s long-lived assets, including intangible assets, are reviewed for impairment whenever events or changes in circumstances</w:t>
      </w:r>
      <w:r>
        <w:rPr>
          <w:rFonts w:ascii="Arial" w:cs="Arial" w:eastAsia="Arial" w:hAnsi="Arial"/>
          <w:sz w:val="15"/>
          <w:szCs w:val="15"/>
          <w:i w:val="1"/>
          <w:iCs w:val="1"/>
          <w:color w:val="auto"/>
        </w:rPr>
        <w:t xml:space="preserve"> </w:t>
      </w:r>
      <w:r>
        <w:rPr>
          <w:rFonts w:ascii="Arial" w:cs="Arial" w:eastAsia="Arial" w:hAnsi="Arial"/>
          <w:sz w:val="15"/>
          <w:szCs w:val="15"/>
          <w:color w:val="auto"/>
        </w:rPr>
        <w:t>indicate that the carrying amount of an asset may not be fully recoverable. If an impairment indicator is present, BioTime will evaluate recoverability by a comparison of the carrying amount of the assets to future undiscounted net cash flows expected to be generated by the assets. If the assets are impaired, the impairment will be recognized and is measured by the amount by which the carrying amount exceeds the estimated fair value of the assets.</w:t>
      </w:r>
    </w:p>
    <w:p>
      <w:pPr>
        <w:spacing w:after="0" w:line="176" w:lineRule="exact"/>
        <w:rPr>
          <w:sz w:val="20"/>
          <w:szCs w:val="20"/>
          <w:color w:val="auto"/>
        </w:rPr>
      </w:pPr>
    </w:p>
    <w:p>
      <w:pPr>
        <w:jc w:val="both"/>
        <w:ind w:firstLine="567"/>
        <w:spacing w:after="0" w:line="282" w:lineRule="auto"/>
        <w:rPr>
          <w:sz w:val="20"/>
          <w:szCs w:val="20"/>
          <w:color w:val="auto"/>
        </w:rPr>
      </w:pPr>
      <w:r>
        <w:rPr>
          <w:rFonts w:ascii="Arial" w:cs="Arial" w:eastAsia="Arial" w:hAnsi="Arial"/>
          <w:sz w:val="15"/>
          <w:szCs w:val="15"/>
          <w:i w:val="1"/>
          <w:iCs w:val="1"/>
          <w:color w:val="auto"/>
        </w:rPr>
        <w:t xml:space="preserve">Deferred license and consulting fees </w:t>
      </w:r>
      <w:r>
        <w:rPr>
          <w:rFonts w:ascii="Arial" w:cs="Arial" w:eastAsia="Arial" w:hAnsi="Arial"/>
          <w:sz w:val="15"/>
          <w:szCs w:val="15"/>
          <w:color w:val="auto"/>
        </w:rPr>
        <w:t>– Deferred license and consulting fees consist of the value of warrants issued to third parties for services, and deferred license fees paid</w:t>
      </w:r>
      <w:r>
        <w:rPr>
          <w:rFonts w:ascii="Arial" w:cs="Arial" w:eastAsia="Arial" w:hAnsi="Arial"/>
          <w:sz w:val="15"/>
          <w:szCs w:val="15"/>
          <w:i w:val="1"/>
          <w:iCs w:val="1"/>
          <w:color w:val="auto"/>
        </w:rPr>
        <w:t xml:space="preserve"> </w:t>
      </w:r>
      <w:r>
        <w:rPr>
          <w:rFonts w:ascii="Arial" w:cs="Arial" w:eastAsia="Arial" w:hAnsi="Arial"/>
          <w:sz w:val="15"/>
          <w:szCs w:val="15"/>
          <w:color w:val="auto"/>
        </w:rPr>
        <w:t>to acquire rights to use the proprietary technologies of third parties. The value of the warrants is being amortized over the period the services are being provided, and the license fees are being amortized over the estimated useful lives of the licensed technologies or licensed research products. See Note 6.</w:t>
      </w:r>
    </w:p>
    <w:p>
      <w:pPr>
        <w:spacing w:after="0" w:line="172" w:lineRule="exact"/>
        <w:rPr>
          <w:sz w:val="20"/>
          <w:szCs w:val="20"/>
          <w:color w:val="auto"/>
        </w:rPr>
      </w:pPr>
    </w:p>
    <w:p>
      <w:pPr>
        <w:ind w:right="40" w:firstLine="567"/>
        <w:spacing w:after="0" w:line="296" w:lineRule="auto"/>
        <w:rPr>
          <w:sz w:val="20"/>
          <w:szCs w:val="20"/>
          <w:color w:val="auto"/>
        </w:rPr>
      </w:pPr>
      <w:r>
        <w:rPr>
          <w:rFonts w:ascii="Arial" w:cs="Arial" w:eastAsia="Arial" w:hAnsi="Arial"/>
          <w:sz w:val="14"/>
          <w:szCs w:val="14"/>
          <w:i w:val="1"/>
          <w:iCs w:val="1"/>
          <w:color w:val="auto"/>
        </w:rPr>
        <w:t xml:space="preserve">Loss per share </w:t>
      </w:r>
      <w:r>
        <w:rPr>
          <w:rFonts w:ascii="Arial" w:cs="Arial" w:eastAsia="Arial" w:hAnsi="Arial"/>
          <w:sz w:val="14"/>
          <w:szCs w:val="14"/>
          <w:color w:val="auto"/>
        </w:rPr>
        <w:t>– Basic net loss per share is computed by dividing net loss attributable to BioTime by the weighted-average number of common shares outstanding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period. Diluted net loss per share reflects the weighted-average number of common shares outstanding plus the potential effect of dilutive securities or contracts which are convertible to common shares, such as options and warrants (using the treasury stock method) and shares issuable in future periods, except in cases where the effect would be anti-dilutive. Diluted loss per share for years ended December 31, 2013, 2012, and 2011 excludes any effect from 10,697,715 treasury shares, 4,567,135 options and 9,751,615 warrants, 1,800,109 treasury shares, 3,681,301 options and 556,613 warrants, and 1,286,174 treasury shares, 3,408,905 options and 636,613 warrants, respectively.</w:t>
      </w:r>
    </w:p>
    <w:p>
      <w:pPr>
        <w:spacing w:after="0" w:line="165" w:lineRule="exact"/>
        <w:rPr>
          <w:sz w:val="20"/>
          <w:szCs w:val="20"/>
          <w:color w:val="auto"/>
        </w:rPr>
      </w:pPr>
    </w:p>
    <w:p>
      <w:pPr>
        <w:ind w:right="180" w:firstLine="567"/>
        <w:spacing w:after="0" w:line="267" w:lineRule="auto"/>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 The fair value of BioTime’s assets and liabilities, which qualify as financial instruments under FASB guidance regarding disclosures</w:t>
      </w:r>
      <w:r>
        <w:rPr>
          <w:rFonts w:ascii="Arial" w:cs="Arial" w:eastAsia="Arial" w:hAnsi="Arial"/>
          <w:sz w:val="16"/>
          <w:szCs w:val="16"/>
          <w:i w:val="1"/>
          <w:iCs w:val="1"/>
          <w:color w:val="auto"/>
        </w:rPr>
        <w:t xml:space="preserve"> </w:t>
      </w:r>
      <w:r>
        <w:rPr>
          <w:rFonts w:ascii="Arial" w:cs="Arial" w:eastAsia="Arial" w:hAnsi="Arial"/>
          <w:sz w:val="16"/>
          <w:szCs w:val="16"/>
          <w:color w:val="auto"/>
        </w:rPr>
        <w:t>about fair value of financial instruments, approximate the carrying amounts presented in the accompanying consolidated balance sheets.</w:t>
      </w:r>
    </w:p>
    <w:p>
      <w:pPr>
        <w:spacing w:after="0" w:line="181" w:lineRule="exact"/>
        <w:rPr>
          <w:sz w:val="20"/>
          <w:szCs w:val="20"/>
          <w:color w:val="auto"/>
        </w:rPr>
      </w:pPr>
    </w:p>
    <w:p>
      <w:pPr>
        <w:ind w:right="160" w:firstLine="567"/>
        <w:spacing w:after="0" w:line="267" w:lineRule="auto"/>
        <w:rPr>
          <w:sz w:val="20"/>
          <w:szCs w:val="20"/>
          <w:color w:val="auto"/>
        </w:rPr>
      </w:pPr>
      <w:r>
        <w:rPr>
          <w:rFonts w:ascii="Arial" w:cs="Arial" w:eastAsia="Arial" w:hAnsi="Arial"/>
          <w:sz w:val="16"/>
          <w:szCs w:val="16"/>
          <w:i w:val="1"/>
          <w:iCs w:val="1"/>
          <w:color w:val="auto"/>
        </w:rPr>
        <w:t xml:space="preserve">Effect of recently issued and recently adopted accounting pronouncements – </w:t>
      </w:r>
      <w:r>
        <w:rPr>
          <w:rFonts w:ascii="Arial" w:cs="Arial" w:eastAsia="Arial" w:hAnsi="Arial"/>
          <w:sz w:val="16"/>
          <w:szCs w:val="16"/>
          <w:color w:val="auto"/>
        </w:rPr>
        <w:t>There are no recently issued accounting standards which are not yet effective which BioTime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believes would materially impact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Inventory</w:t>
      </w:r>
    </w:p>
    <w:p>
      <w:pPr>
        <w:spacing w:after="0" w:line="222" w:lineRule="exact"/>
        <w:rPr>
          <w:sz w:val="20"/>
          <w:szCs w:val="20"/>
          <w:color w:val="auto"/>
        </w:rPr>
      </w:pPr>
    </w:p>
    <w:p>
      <w:pPr>
        <w:ind w:right="80" w:firstLine="567"/>
        <w:spacing w:after="0" w:line="282" w:lineRule="auto"/>
        <w:rPr>
          <w:sz w:val="20"/>
          <w:szCs w:val="20"/>
          <w:color w:val="auto"/>
        </w:rPr>
      </w:pPr>
      <w:r>
        <w:rPr>
          <w:rFonts w:ascii="Arial" w:cs="Arial" w:eastAsia="Arial" w:hAnsi="Arial"/>
          <w:sz w:val="15"/>
          <w:szCs w:val="15"/>
          <w:color w:val="auto"/>
        </w:rPr>
        <w:t>At December 31, 2013, BioTime, held $165,771 of inventory of finished products on-site at its corporate headquarters in Alameda, California. At that same date $12,923 of inventory of finished products was held by a third party on consignment. At December 31, 2012, BioTime, held $41,494 of inventory of finished products on-site at its corporate headquarters in Alameda, California. At that same date $13,822 of inventory of finished products was held by a third party on consignment.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7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33"/>
        </w:trPr>
        <w:tc>
          <w:tcPr>
            <w:tcW w:w="8820" w:type="dxa"/>
            <w:vAlign w:val="bottom"/>
            <w:gridSpan w:val="2"/>
          </w:tcPr>
          <w:p>
            <w:pPr>
              <w:spacing w:after="0"/>
              <w:rPr>
                <w:sz w:val="20"/>
                <w:szCs w:val="20"/>
                <w:color w:val="auto"/>
              </w:rPr>
            </w:pPr>
            <w:r>
              <w:rPr>
                <w:rFonts w:ascii="Arial" w:cs="Arial" w:eastAsia="Arial" w:hAnsi="Arial"/>
                <w:sz w:val="16"/>
                <w:szCs w:val="16"/>
                <w:b w:val="1"/>
                <w:bCs w:val="1"/>
                <w:color w:val="auto"/>
              </w:rPr>
              <w:t>4. Equipment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2"/>
        </w:trPr>
        <w:tc>
          <w:tcPr>
            <w:tcW w:w="8820" w:type="dxa"/>
            <w:vAlign w:val="bottom"/>
            <w:gridSpan w:val="2"/>
          </w:tcPr>
          <w:p>
            <w:pPr>
              <w:ind w:left="560"/>
              <w:spacing w:after="0"/>
              <w:rPr>
                <w:sz w:val="20"/>
                <w:szCs w:val="20"/>
                <w:color w:val="auto"/>
              </w:rPr>
            </w:pPr>
            <w:r>
              <w:rPr>
                <w:rFonts w:ascii="Arial" w:cs="Arial" w:eastAsia="Arial" w:hAnsi="Arial"/>
                <w:sz w:val="16"/>
                <w:szCs w:val="16"/>
                <w:color w:val="auto"/>
              </w:rPr>
              <w:t>At December 31, 2013 and December 31, 2012, equipment, furniture and fixtures were comprised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7"/>
        </w:trPr>
        <w:tc>
          <w:tcPr>
            <w:tcW w:w="8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4"/>
                <w:szCs w:val="24"/>
                <w:color w:val="auto"/>
              </w:rPr>
            </w:pPr>
          </w:p>
        </w:tc>
      </w:tr>
      <w:tr>
        <w:trPr>
          <w:trHeight w:val="189"/>
        </w:trPr>
        <w:tc>
          <w:tcPr>
            <w:tcW w:w="8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Equipment, furniture and fixtures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center"/>
              <w:ind w:left="201"/>
              <w:spacing w:after="0"/>
              <w:rPr>
                <w:sz w:val="20"/>
                <w:szCs w:val="20"/>
                <w:color w:val="auto"/>
              </w:rPr>
            </w:pPr>
            <w:r>
              <w:rPr>
                <w:rFonts w:ascii="Arial" w:cs="Arial" w:eastAsia="Arial" w:hAnsi="Arial"/>
                <w:sz w:val="16"/>
                <w:szCs w:val="16"/>
                <w:color w:val="auto"/>
                <w:w w:val="87"/>
              </w:rPr>
              <w:t>4,431,586</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2,098,812</w:t>
            </w:r>
          </w:p>
        </w:tc>
        <w:tc>
          <w:tcPr>
            <w:tcW w:w="120" w:type="dxa"/>
            <w:vAlign w:val="bottom"/>
            <w:shd w:val="clear" w:color="auto" w:fill="CCEEFF"/>
          </w:tcPr>
          <w:p>
            <w:pPr>
              <w:spacing w:after="0"/>
              <w:rPr>
                <w:sz w:val="16"/>
                <w:szCs w:val="16"/>
                <w:color w:val="auto"/>
              </w:rPr>
            </w:pPr>
          </w:p>
        </w:tc>
      </w:tr>
      <w:tr>
        <w:trPr>
          <w:trHeight w:val="193"/>
        </w:trPr>
        <w:tc>
          <w:tcPr>
            <w:tcW w:w="8820" w:type="dxa"/>
            <w:vAlign w:val="bottom"/>
            <w:gridSpan w:val="2"/>
          </w:tcPr>
          <w:p>
            <w:pPr>
              <w:spacing w:after="0"/>
              <w:rPr>
                <w:sz w:val="20"/>
                <w:szCs w:val="20"/>
                <w:color w:val="auto"/>
              </w:rPr>
            </w:pPr>
            <w:r>
              <w:rPr>
                <w:rFonts w:ascii="Arial" w:cs="Arial" w:eastAsia="Arial" w:hAnsi="Arial"/>
                <w:sz w:val="16"/>
                <w:szCs w:val="16"/>
                <w:color w:val="auto"/>
              </w:rPr>
              <w:t>Accumulated depreciation</w:t>
            </w:r>
          </w:p>
        </w:tc>
        <w:tc>
          <w:tcPr>
            <w:tcW w:w="24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0"/>
              </w:rPr>
              <w:t>(1,433,853)</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(750,258)</w:t>
            </w:r>
          </w:p>
        </w:tc>
      </w:tr>
      <w:tr>
        <w:trPr>
          <w:trHeight w:val="229"/>
        </w:trPr>
        <w:tc>
          <w:tcPr>
            <w:tcW w:w="8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Equipment net of accumulated depreciation</w:t>
            </w: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center"/>
              <w:ind w:left="201"/>
              <w:spacing w:after="0"/>
              <w:rPr>
                <w:sz w:val="20"/>
                <w:szCs w:val="20"/>
                <w:color w:val="auto"/>
              </w:rPr>
            </w:pPr>
            <w:r>
              <w:rPr>
                <w:rFonts w:ascii="Arial" w:cs="Arial" w:eastAsia="Arial" w:hAnsi="Arial"/>
                <w:sz w:val="16"/>
                <w:szCs w:val="16"/>
                <w:color w:val="auto"/>
                <w:w w:val="87"/>
              </w:rPr>
              <w:t>2,997,733</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1,348,554</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ind w:right="100" w:firstLine="567"/>
        <w:spacing w:after="0" w:line="257" w:lineRule="auto"/>
        <w:rPr>
          <w:sz w:val="20"/>
          <w:szCs w:val="20"/>
          <w:color w:val="auto"/>
        </w:rPr>
      </w:pPr>
      <w:r>
        <w:rPr>
          <w:rFonts w:ascii="Arial" w:cs="Arial" w:eastAsia="Arial" w:hAnsi="Arial"/>
          <w:sz w:val="16"/>
          <w:szCs w:val="16"/>
          <w:color w:val="auto"/>
        </w:rPr>
        <w:t>Depreciation expense amounted to $656,759 and $386,457 for the years ended December 31, 2013 and 2012, respectively. The difference between the depreciation expense recognized in the consolidated statement of operations and the increase in accumulated depreciation of $683,595 per the consolidated balance sheet is partially attributed to a write off of $1,500 of fully depreciated assets offset by foreign currency rates.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Intangible assets</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December 31, 2013 and December 31, 2012, intangible assets and accumulated intangible assets were comprised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r>
      <w:tr>
        <w:trPr>
          <w:trHeight w:val="189"/>
        </w:trPr>
        <w:tc>
          <w:tcPr>
            <w:tcW w:w="76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54,719,918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84"/>
              </w:rPr>
              <w:t>25,702,909</w:t>
            </w:r>
          </w:p>
        </w:tc>
        <w:tc>
          <w:tcPr>
            <w:tcW w:w="120" w:type="dxa"/>
            <w:vAlign w:val="bottom"/>
            <w:shd w:val="clear" w:color="auto" w:fill="CCEEFF"/>
          </w:tcPr>
          <w:p>
            <w:pPr>
              <w:spacing w:after="0"/>
              <w:rPr>
                <w:sz w:val="16"/>
                <w:szCs w:val="16"/>
                <w:color w:val="auto"/>
              </w:rPr>
            </w:pPr>
          </w:p>
        </w:tc>
      </w:tr>
      <w:tr>
        <w:trPr>
          <w:trHeight w:val="193"/>
        </w:trPr>
        <w:tc>
          <w:tcPr>
            <w:tcW w:w="7680" w:type="dxa"/>
            <w:vAlign w:val="bottom"/>
          </w:tcPr>
          <w:p>
            <w:pPr>
              <w:spacing w:after="0"/>
              <w:rPr>
                <w:sz w:val="20"/>
                <w:szCs w:val="20"/>
                <w:color w:val="auto"/>
              </w:rPr>
            </w:pPr>
            <w:r>
              <w:rPr>
                <w:rFonts w:ascii="Arial" w:cs="Arial" w:eastAsia="Arial" w:hAnsi="Arial"/>
                <w:sz w:val="16"/>
                <w:szCs w:val="16"/>
                <w:color w:val="auto"/>
              </w:rPr>
              <w:t>Accumulated amortization</w:t>
            </w:r>
          </w:p>
        </w:tc>
        <w:tc>
          <w:tcPr>
            <w:tcW w:w="2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(8,511,833)</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(5,216,117)</w:t>
            </w:r>
          </w:p>
        </w:tc>
      </w:tr>
      <w:tr>
        <w:trPr>
          <w:trHeight w:val="229"/>
        </w:trPr>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46,208,085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w w:val="84"/>
              </w:rPr>
              <w:t>20,486,792</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ind w:right="100" w:firstLine="567"/>
        <w:spacing w:after="0" w:line="340" w:lineRule="auto"/>
        <w:rPr>
          <w:sz w:val="20"/>
          <w:szCs w:val="20"/>
          <w:color w:val="auto"/>
        </w:rPr>
      </w:pPr>
      <w:r>
        <w:rPr>
          <w:rFonts w:ascii="Arial" w:cs="Arial" w:eastAsia="Arial" w:hAnsi="Arial"/>
          <w:sz w:val="14"/>
          <w:szCs w:val="14"/>
          <w:color w:val="auto"/>
        </w:rPr>
        <w:t>BioTime amortizes its intangible assets over an estimated period of 10 years on a straight line basis. BioTime recognized $3,295,716 in amortization expense of intangible assets during the year ended December 31, 2013. Amortization expense for the year ended December 31, 2012 amounted to $2,446,975. See Notes 11, 12, 13, 14, and 15.</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Amortization of intangible assets for periods subsequent to December 31, 2013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4980" w:type="dxa"/>
            <w:vAlign w:val="bottom"/>
          </w:tcPr>
          <w:p>
            <w:pPr>
              <w:jc w:val="center"/>
              <w:ind w:left="3861"/>
              <w:spacing w:after="0"/>
              <w:rPr>
                <w:sz w:val="20"/>
                <w:szCs w:val="20"/>
                <w:color w:val="auto"/>
              </w:rPr>
            </w:pPr>
            <w:r>
              <w:rPr>
                <w:rFonts w:ascii="Arial" w:cs="Arial" w:eastAsia="Arial" w:hAnsi="Arial"/>
                <w:sz w:val="16"/>
                <w:szCs w:val="16"/>
                <w:b w:val="1"/>
                <w:bCs w:val="1"/>
                <w:color w:val="auto"/>
                <w:w w:val="90"/>
              </w:rPr>
              <w:t>Year Ended</w:t>
            </w:r>
          </w:p>
        </w:tc>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w w:val="91"/>
              </w:rPr>
              <w:t>Amortization</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0" w:type="dxa"/>
            <w:vAlign w:val="bottom"/>
          </w:tcPr>
          <w:p>
            <w:pPr>
              <w:spacing w:after="0"/>
              <w:rPr>
                <w:sz w:val="20"/>
                <w:szCs w:val="20"/>
                <w:color w:val="auto"/>
              </w:rPr>
            </w:pPr>
          </w:p>
        </w:tc>
        <w:tc>
          <w:tcPr>
            <w:tcW w:w="4980" w:type="dxa"/>
            <w:vAlign w:val="bottom"/>
            <w:tcBorders>
              <w:bottom w:val="single" w:sz="8" w:color="auto"/>
            </w:tcBorders>
          </w:tcPr>
          <w:p>
            <w:pPr>
              <w:jc w:val="center"/>
              <w:ind w:left="3861"/>
              <w:spacing w:after="0"/>
              <w:rPr>
                <w:sz w:val="20"/>
                <w:szCs w:val="20"/>
                <w:color w:val="auto"/>
              </w:rPr>
            </w:pPr>
            <w:r>
              <w:rPr>
                <w:rFonts w:ascii="Arial" w:cs="Arial" w:eastAsia="Arial" w:hAnsi="Arial"/>
                <w:sz w:val="16"/>
                <w:szCs w:val="16"/>
                <w:b w:val="1"/>
                <w:bCs w:val="1"/>
                <w:color w:val="auto"/>
                <w:w w:val="88"/>
              </w:rPr>
              <w:t>December 31,</w:t>
            </w:r>
          </w:p>
        </w:tc>
        <w:tc>
          <w:tcPr>
            <w:tcW w:w="3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Expense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980" w:type="dxa"/>
            <w:vAlign w:val="bottom"/>
            <w:shd w:val="clear" w:color="auto" w:fill="CCEEFF"/>
          </w:tcPr>
          <w:p>
            <w:pPr>
              <w:jc w:val="center"/>
              <w:ind w:left="3861"/>
              <w:spacing w:after="0"/>
              <w:rPr>
                <w:sz w:val="20"/>
                <w:szCs w:val="20"/>
                <w:color w:val="auto"/>
              </w:rPr>
            </w:pPr>
            <w:r>
              <w:rPr>
                <w:rFonts w:ascii="Arial" w:cs="Arial" w:eastAsia="Arial" w:hAnsi="Arial"/>
                <w:sz w:val="16"/>
                <w:szCs w:val="16"/>
                <w:color w:val="auto"/>
                <w:w w:val="89"/>
              </w:rPr>
              <w:t>2014</w:t>
            </w:r>
          </w:p>
        </w:tc>
        <w:tc>
          <w:tcPr>
            <w:tcW w:w="3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5,472,123</w:t>
            </w:r>
          </w:p>
        </w:tc>
        <w:tc>
          <w:tcPr>
            <w:tcW w:w="100" w:type="dxa"/>
            <w:vAlign w:val="bottom"/>
            <w:shd w:val="clear" w:color="auto" w:fill="CCEEFF"/>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980" w:type="dxa"/>
            <w:vAlign w:val="bottom"/>
          </w:tcPr>
          <w:p>
            <w:pPr>
              <w:jc w:val="center"/>
              <w:ind w:left="3861"/>
              <w:spacing w:after="0"/>
              <w:rPr>
                <w:sz w:val="20"/>
                <w:szCs w:val="20"/>
                <w:color w:val="auto"/>
              </w:rPr>
            </w:pPr>
            <w:r>
              <w:rPr>
                <w:rFonts w:ascii="Arial" w:cs="Arial" w:eastAsia="Arial" w:hAnsi="Arial"/>
                <w:sz w:val="16"/>
                <w:szCs w:val="16"/>
                <w:color w:val="auto"/>
                <w:w w:val="89"/>
              </w:rPr>
              <w:t>2015</w:t>
            </w:r>
          </w:p>
        </w:tc>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5,472,123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980" w:type="dxa"/>
            <w:vAlign w:val="bottom"/>
            <w:shd w:val="clear" w:color="auto" w:fill="CCEEFF"/>
          </w:tcPr>
          <w:p>
            <w:pPr>
              <w:jc w:val="center"/>
              <w:ind w:left="3861"/>
              <w:spacing w:after="0"/>
              <w:rPr>
                <w:sz w:val="20"/>
                <w:szCs w:val="20"/>
                <w:color w:val="auto"/>
              </w:rPr>
            </w:pPr>
            <w:r>
              <w:rPr>
                <w:rFonts w:ascii="Arial" w:cs="Arial" w:eastAsia="Arial" w:hAnsi="Arial"/>
                <w:sz w:val="16"/>
                <w:szCs w:val="16"/>
                <w:color w:val="auto"/>
                <w:w w:val="89"/>
              </w:rPr>
              <w:t>2016</w:t>
            </w:r>
          </w:p>
        </w:tc>
        <w:tc>
          <w:tcPr>
            <w:tcW w:w="3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5,472,123</w:t>
            </w:r>
          </w:p>
        </w:tc>
        <w:tc>
          <w:tcPr>
            <w:tcW w:w="100" w:type="dxa"/>
            <w:vAlign w:val="bottom"/>
            <w:shd w:val="clear" w:color="auto" w:fill="CCEEFF"/>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980" w:type="dxa"/>
            <w:vAlign w:val="bottom"/>
          </w:tcPr>
          <w:p>
            <w:pPr>
              <w:jc w:val="center"/>
              <w:ind w:left="3861"/>
              <w:spacing w:after="0"/>
              <w:rPr>
                <w:sz w:val="20"/>
                <w:szCs w:val="20"/>
                <w:color w:val="auto"/>
              </w:rPr>
            </w:pPr>
            <w:r>
              <w:rPr>
                <w:rFonts w:ascii="Arial" w:cs="Arial" w:eastAsia="Arial" w:hAnsi="Arial"/>
                <w:sz w:val="16"/>
                <w:szCs w:val="16"/>
                <w:color w:val="auto"/>
                <w:w w:val="89"/>
              </w:rPr>
              <w:t>2017</w:t>
            </w:r>
          </w:p>
        </w:tc>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5,472,123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0" w:type="dxa"/>
            <w:vAlign w:val="bottom"/>
          </w:tcPr>
          <w:p>
            <w:pPr>
              <w:spacing w:after="0"/>
              <w:rPr>
                <w:sz w:val="16"/>
                <w:szCs w:val="16"/>
                <w:color w:val="auto"/>
              </w:rPr>
            </w:pPr>
          </w:p>
        </w:tc>
        <w:tc>
          <w:tcPr>
            <w:tcW w:w="4980" w:type="dxa"/>
            <w:vAlign w:val="bottom"/>
            <w:tcBorders>
              <w:bottom w:val="single" w:sz="8" w:color="CCEEFF"/>
            </w:tcBorders>
            <w:shd w:val="clear" w:color="auto" w:fill="CCEEFF"/>
          </w:tcPr>
          <w:p>
            <w:pPr>
              <w:jc w:val="center"/>
              <w:ind w:left="3861"/>
              <w:spacing w:after="0"/>
              <w:rPr>
                <w:sz w:val="20"/>
                <w:szCs w:val="20"/>
                <w:color w:val="auto"/>
              </w:rPr>
            </w:pPr>
            <w:r>
              <w:rPr>
                <w:rFonts w:ascii="Arial" w:cs="Arial" w:eastAsia="Arial" w:hAnsi="Arial"/>
                <w:sz w:val="16"/>
                <w:szCs w:val="16"/>
                <w:color w:val="auto"/>
                <w:w w:val="86"/>
              </w:rPr>
              <w:t>Thereafter</w:t>
            </w:r>
          </w:p>
        </w:tc>
        <w:tc>
          <w:tcPr>
            <w:tcW w:w="3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24,319,593</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 w:type="dxa"/>
            <w:vAlign w:val="bottom"/>
          </w:tcPr>
          <w:p>
            <w:pPr>
              <w:spacing w:after="0"/>
              <w:rPr>
                <w:sz w:val="16"/>
                <w:szCs w:val="16"/>
                <w:color w:val="auto"/>
              </w:rPr>
            </w:pPr>
          </w:p>
        </w:tc>
        <w:tc>
          <w:tcPr>
            <w:tcW w:w="4980" w:type="dxa"/>
            <w:vAlign w:val="bottom"/>
          </w:tcPr>
          <w:p>
            <w:pPr>
              <w:jc w:val="center"/>
              <w:ind w:left="3861"/>
              <w:spacing w:after="0"/>
              <w:rPr>
                <w:sz w:val="20"/>
                <w:szCs w:val="20"/>
                <w:color w:val="auto"/>
              </w:rPr>
            </w:pPr>
            <w:r>
              <w:rPr>
                <w:rFonts w:ascii="Arial" w:cs="Arial" w:eastAsia="Arial" w:hAnsi="Arial"/>
                <w:sz w:val="16"/>
                <w:szCs w:val="16"/>
                <w:color w:val="auto"/>
                <w:w w:val="89"/>
              </w:rPr>
              <w:t>Total</w:t>
            </w:r>
          </w:p>
        </w:tc>
        <w:tc>
          <w:tcPr>
            <w:tcW w:w="41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46,208,085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960" w:type="dxa"/>
            <w:vAlign w:val="bottom"/>
            <w:vMerge w:val="restart"/>
          </w:tcPr>
          <w:p>
            <w:pPr>
              <w:jc w:val="right"/>
              <w:ind w:right="3649"/>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5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80" w:type="dxa"/>
            <w:vAlign w:val="bottom"/>
            <w:tcBorders>
              <w:bottom w:val="single" w:sz="8" w:color="auto"/>
            </w:tcBorders>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08" w:right="219" w:bottom="1440" w:gutter="0" w:footer="0" w:header="0"/>
        </w:sectPr>
      </w:pPr>
    </w:p>
    <w:bookmarkStart w:id="109" w:name="page110"/>
    <w:bookmarkEnd w:id="10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Royalty Obligation and Deferred License Fees</w:t>
      </w:r>
    </w:p>
    <w:p>
      <w:pPr>
        <w:spacing w:after="0" w:line="222" w:lineRule="exact"/>
        <w:rPr>
          <w:sz w:val="20"/>
          <w:szCs w:val="20"/>
          <w:color w:val="auto"/>
        </w:rPr>
      </w:pPr>
    </w:p>
    <w:p>
      <w:pPr>
        <w:ind w:right="40" w:firstLine="567"/>
        <w:spacing w:after="0" w:line="276" w:lineRule="auto"/>
        <w:rPr>
          <w:sz w:val="20"/>
          <w:szCs w:val="20"/>
          <w:color w:val="auto"/>
        </w:rPr>
      </w:pPr>
      <w:r>
        <w:rPr>
          <w:rFonts w:ascii="Arial" w:cs="Arial" w:eastAsia="Arial" w:hAnsi="Arial"/>
          <w:sz w:val="15"/>
          <w:szCs w:val="15"/>
          <w:color w:val="auto"/>
        </w:rPr>
        <w:t>BioTime amortizes deferred license fees over the estimated useful lives of the licensed technologies or licensed research products. BioTime is applying a 10 year estimated useful life to the technologies and products that it is currently licensing. The estimation of the useful life any technology or product involves a significant degree of inherent uncertainty, since the outcome of research and development or the commercial life a new product cannot be known with certainty at the time that the right to use the technology or product is acquired. BioTime will review its amortization schedules for impairments that might occur earlier than the original expected useful lives.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WARF License—Research Products</w:t>
      </w:r>
    </w:p>
    <w:p>
      <w:pPr>
        <w:spacing w:after="0" w:line="218" w:lineRule="exact"/>
        <w:rPr>
          <w:sz w:val="20"/>
          <w:szCs w:val="20"/>
          <w:color w:val="auto"/>
        </w:rPr>
      </w:pPr>
    </w:p>
    <w:p>
      <w:pPr>
        <w:ind w:firstLine="567"/>
        <w:spacing w:after="0" w:line="267" w:lineRule="auto"/>
        <w:rPr>
          <w:sz w:val="20"/>
          <w:szCs w:val="20"/>
          <w:color w:val="auto"/>
        </w:rPr>
      </w:pPr>
      <w:r>
        <w:rPr>
          <w:rFonts w:ascii="Arial" w:cs="Arial" w:eastAsia="Arial" w:hAnsi="Arial"/>
          <w:sz w:val="15"/>
          <w:szCs w:val="15"/>
          <w:color w:val="auto"/>
        </w:rPr>
        <w:t>On January 3, 2008, BioTime entered into a Commercial License and Option Agreement with Wisconsin Alumni Research Foundation (“WARF”). The WARF license permits BioTime to use certain patented and patent pending technology belonging to WARF, as well as certain stem cell materials, for research and development purposes, and for the production and marketing of products used as research tools, including in drug discovery and development. BioTime or ReCyte Therapeutics will pay WARF royalties on the sale of products and services using the technology or stem cells licensed from WARF. The royalty will range from 2% to 4%, depending on the kind of products sold. The royalty rate is subject to certain reductions if BioTime also becomes obligated to pay royalties to a third party in order to sell a product. In March 2009, BioTime amended its license agreement with WARF. The amendment increased the license fee from the original $225,000 to $295,000, of which $225,000 was paid in cash and $70,000 was paid by delivering BioTime common shares having a market value of $70,000 as of March 2, 2009. The amendment extended until March 2, 2010 the dates for payment of the $215,000 balance of the cash license fee and $20,000 in remaining reimbursement of costs associated with preparing, filing, and maintaining the licensed patents. The commencement date for payment of an annual $25,000 license maintenance fee was also extended to March 2, 2010. The licensing fees less the amortized portion were included in deferred license fees in BioTime’s consolidated balance sheet as of December 31, 2013 and 2012.</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ReCyte Therapeutics Licenses from ACT</w:t>
      </w:r>
    </w:p>
    <w:p>
      <w:pPr>
        <w:spacing w:after="0" w:line="218" w:lineRule="exact"/>
        <w:rPr>
          <w:sz w:val="20"/>
          <w:szCs w:val="20"/>
          <w:color w:val="auto"/>
        </w:rPr>
      </w:pPr>
    </w:p>
    <w:p>
      <w:pPr>
        <w:ind w:right="20" w:firstLine="567"/>
        <w:spacing w:after="0" w:line="250" w:lineRule="auto"/>
        <w:rPr>
          <w:sz w:val="20"/>
          <w:szCs w:val="20"/>
          <w:color w:val="auto"/>
        </w:rPr>
      </w:pPr>
      <w:r>
        <w:rPr>
          <w:rFonts w:ascii="Arial" w:cs="Arial" w:eastAsia="Arial" w:hAnsi="Arial"/>
          <w:sz w:val="16"/>
          <w:szCs w:val="16"/>
          <w:color w:val="auto"/>
        </w:rPr>
        <w:t>On July 10, 2008, ReCyte Therapeutics entered into a License Agreement with Advanced Cell Technology, Inc. (“ACT”), under which ReCyte Therapeutics acquired exclusive worldwide rights to use ACT’s technology for methods to accelerate the isolation of novel cell strains from pluripotent stem cells. ReCyte subsequently assigned the license to BioTime. ReCyte Therapeutics paid ACT a $250,000 license fee and will pay an 8% royalty on sales of products, services, and processes that utilize the licensed technology. Once a total of $1,000,000 of royalties has been paid, no further royalties will be due. The license will expire in twenty years or upon the expiration of the last to expire of the licensed patents, whichever is later. The $250,000 license fee less the amortized portion is included in deferred license fees in BioTime’s consolidated balance sheet as of December 31, 2013 and 2012.</w:t>
      </w:r>
    </w:p>
    <w:p>
      <w:pPr>
        <w:spacing w:after="0" w:line="197" w:lineRule="exact"/>
        <w:rPr>
          <w:sz w:val="20"/>
          <w:szCs w:val="20"/>
          <w:color w:val="auto"/>
        </w:rPr>
      </w:pPr>
    </w:p>
    <w:p>
      <w:pPr>
        <w:jc w:val="both"/>
        <w:ind w:right="200" w:firstLine="567"/>
        <w:spacing w:after="0" w:line="282" w:lineRule="auto"/>
        <w:rPr>
          <w:sz w:val="20"/>
          <w:szCs w:val="20"/>
          <w:color w:val="auto"/>
        </w:rPr>
      </w:pPr>
      <w:r>
        <w:rPr>
          <w:rFonts w:ascii="Arial" w:cs="Arial" w:eastAsia="Arial" w:hAnsi="Arial"/>
          <w:sz w:val="15"/>
          <w:szCs w:val="15"/>
          <w:color w:val="auto"/>
        </w:rPr>
        <w:t>On August 15, 2008, ReCyte Therapeutics entered into a License Agreement and a Sublicense Agreement with ACT under which ReCyte Therapeutics acquired world-wide rights to use an array of ACT technology (the “ACT License”) and technology licensed by ACT from affiliates of Kirin Pharma Company, Limited (the “Kirin Sublicense”). The ACT License and Kirin Sublicense permit the commercialization of products in human therapeutic and diagnostic product markets.</w:t>
      </w:r>
    </w:p>
    <w:p>
      <w:pPr>
        <w:spacing w:after="0" w:line="172" w:lineRule="exact"/>
        <w:rPr>
          <w:sz w:val="20"/>
          <w:szCs w:val="20"/>
          <w:color w:val="auto"/>
        </w:rPr>
      </w:pPr>
    </w:p>
    <w:p>
      <w:pPr>
        <w:ind w:right="40" w:firstLine="567"/>
        <w:spacing w:after="0" w:line="270" w:lineRule="auto"/>
        <w:rPr>
          <w:sz w:val="20"/>
          <w:szCs w:val="20"/>
          <w:color w:val="auto"/>
        </w:rPr>
      </w:pPr>
      <w:r>
        <w:rPr>
          <w:rFonts w:ascii="Arial" w:cs="Arial" w:eastAsia="Arial" w:hAnsi="Arial"/>
          <w:sz w:val="15"/>
          <w:szCs w:val="15"/>
          <w:color w:val="auto"/>
        </w:rPr>
        <w:t>The technology licensed by ReCyte Therapeutics covers methods to transform cells of the human body, such as skin cells, into an embryonic state in which the cells will be pluripotent. Under the ACT License, ReCyte Therapeutics paid ACT a $200,000 license fee and will pay a 5% royalty on sales of products, services, and processes that utilize the licensed ACT technology, and 20% of any fees or other payments (other than equity investments, research and development costs, loans and royalties) received by ReCyte Therapeutics from sublicensing the ACT technology to third parties. Once a total of $600,000 of royalties has been paid, no further royalties will be due. The license will expire in twenty years or upon the expiration of the last-to-expire of the licensed patents, whichever is later. The $200,000 license fee payment less the amortized portion is included in deferred license fees in BioTime’s consolidated balance sheet as of December 31, 2013 and 2012.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0" w:name="page111"/>
    <w:bookmarkEnd w:id="11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7" w:lineRule="exact"/>
        <w:rPr>
          <w:sz w:val="20"/>
          <w:szCs w:val="20"/>
          <w:color w:val="auto"/>
        </w:rPr>
      </w:pPr>
    </w:p>
    <w:p>
      <w:pPr>
        <w:ind w:right="100" w:firstLine="567"/>
        <w:spacing w:after="0" w:line="250" w:lineRule="auto"/>
        <w:rPr>
          <w:sz w:val="20"/>
          <w:szCs w:val="20"/>
          <w:color w:val="auto"/>
        </w:rPr>
      </w:pPr>
      <w:r>
        <w:rPr>
          <w:rFonts w:ascii="Arial" w:cs="Arial" w:eastAsia="Arial" w:hAnsi="Arial"/>
          <w:sz w:val="16"/>
          <w:szCs w:val="16"/>
          <w:color w:val="auto"/>
        </w:rPr>
        <w:t>Under the Kirin Sublicense, ReCyte Therapeutics has paid ACT a $50,000 license fee and will pay a 3.5% royalty on sales of products, services, and processes that utilize the licensed ACT technology, and 20% of any fees or other payments (other than equity investments, research and development costs, loans and royalties) received by ReCyte Therapeutics from sublicensing the Kirin Technology to third parties. ReCyte Therapeutics will also pay to ACT or to an affiliate of Kirin Pharma Company, Limited (“Kirin”), annually, the amount, if any, by which royalties payable by ACT under its license agreement with Kirin are less than the $50,000 annual minimum royalty due. Those payments by ReCyte Therapeutics will be credited against other royalties payable to ACT under the Kirin Sublicense. The license will expire upon the expiration of the last to expire of the licensed patents, or May 9, 2016 if no patents are issued. The $50,000 license fee payment less the amortized portion is included in deferred license fees in BioTime’s consolidated balance sheet as of December 31, 2013 and 2012.</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ReCyte Therapeutics License from RGI</w:t>
      </w:r>
    </w:p>
    <w:p>
      <w:pPr>
        <w:spacing w:after="0" w:line="218" w:lineRule="exact"/>
        <w:rPr>
          <w:sz w:val="20"/>
          <w:szCs w:val="20"/>
          <w:color w:val="auto"/>
        </w:rPr>
      </w:pPr>
    </w:p>
    <w:p>
      <w:pPr>
        <w:ind w:right="200" w:firstLine="567"/>
        <w:spacing w:after="0" w:line="311" w:lineRule="auto"/>
        <w:rPr>
          <w:sz w:val="20"/>
          <w:szCs w:val="20"/>
          <w:color w:val="auto"/>
        </w:rPr>
      </w:pPr>
      <w:r>
        <w:rPr>
          <w:rFonts w:ascii="Arial" w:cs="Arial" w:eastAsia="Arial" w:hAnsi="Arial"/>
          <w:sz w:val="14"/>
          <w:szCs w:val="14"/>
          <w:color w:val="auto"/>
        </w:rPr>
        <w:t>On February 29, 2009, ReCyte Therapeutics entered into a Stem Cell Agreement with Reproductive Genetics Institute (“RGI”). In partial consideration of the rights and licenses granted to ReCyte Therapeutics by RGI, BioTime issued to RGI 32,259 common shares, having a market value of $50,000 on the effective date of the Stem Cell Agreement. This $50,000 payment less the amortized portion is included in deferred license fees in BioTime’s consolidated balance sheet as of December 31, 2013 and 2012.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OncoCyte License from SBMRI</w:t>
      </w:r>
    </w:p>
    <w:p>
      <w:pPr>
        <w:spacing w:after="0" w:line="218" w:lineRule="exact"/>
        <w:rPr>
          <w:sz w:val="20"/>
          <w:szCs w:val="20"/>
          <w:color w:val="auto"/>
        </w:rPr>
      </w:pPr>
    </w:p>
    <w:p>
      <w:pPr>
        <w:ind w:firstLine="567"/>
        <w:spacing w:after="0" w:line="289" w:lineRule="auto"/>
        <w:rPr>
          <w:sz w:val="20"/>
          <w:szCs w:val="20"/>
          <w:color w:val="auto"/>
        </w:rPr>
      </w:pPr>
      <w:r>
        <w:rPr>
          <w:rFonts w:ascii="Arial" w:cs="Arial" w:eastAsia="Arial" w:hAnsi="Arial"/>
          <w:sz w:val="14"/>
          <w:szCs w:val="14"/>
          <w:color w:val="auto"/>
        </w:rPr>
        <w:t>Through BioTime’s acquisition of the assets of Cell Targeting, Inc. during March 2011, BioTime acquired a royalty-bearing, exclusive, worldwide license from the Sanford-Burnham Medical Research Institute (“SBMRI”) to use certain patents pertaining to homing peptides for preclinical research investigations of cell therapy treatments, and to enhance cell therapy products for the treatment and prevention of disease and injury in conjunction with BioTime’s own proprietary technology or that of a third party. BioTime assigned the SBMRI license to OncoCyte during July 2011. OncoCyte will pay SBMRI a royalty of 4% on the sale of pharmaceutical products, and 10% on the sale of any research-use products that OncoCyte develops using or incorporating the licensed technology; and 20% of any payments OncoCyte receives for sublicensing the patents to third parties. The royalties payable to SBMRI may be reduced by 50% if royalties or other fees must be paid to third parties in connection with the sale of any products. An annual license maintenance fee is payable each year during the term of the license, and after commercial sales of royalty bearing products commence, the annual fee will be credited towards OncoCyte's royalty payment obligations for the applicable year. OncoCyte will reimburse SBMRI for 25% of the costs incurred in filing, prosecuting, and maintaining patent protection, subject to OncoCyte’s approval of the costs. OncoCyte incurred no royalty expenses to date as of December 31, 2013. See Note 11.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Cell Cure Neurosciences License from Hadasit</w:t>
      </w:r>
    </w:p>
    <w:p>
      <w:pPr>
        <w:spacing w:after="0" w:line="218" w:lineRule="exact"/>
        <w:rPr>
          <w:sz w:val="20"/>
          <w:szCs w:val="20"/>
          <w:color w:val="auto"/>
        </w:rPr>
      </w:pPr>
    </w:p>
    <w:p>
      <w:pPr>
        <w:ind w:firstLine="567"/>
        <w:spacing w:after="0" w:line="301" w:lineRule="auto"/>
        <w:rPr>
          <w:sz w:val="20"/>
          <w:szCs w:val="20"/>
          <w:color w:val="auto"/>
        </w:rPr>
      </w:pPr>
      <w:r>
        <w:rPr>
          <w:rFonts w:ascii="Arial" w:cs="Arial" w:eastAsia="Arial" w:hAnsi="Arial"/>
          <w:sz w:val="14"/>
          <w:szCs w:val="14"/>
          <w:color w:val="auto"/>
        </w:rPr>
        <w:t>Cell Cure Neurosciences has entered into an Amended and Restated Research and License Agreement with Hadasit Medical Research Services and Development, Ltd. (“Hadasit”) under which Cell Cure Neurosciences received an exclusive license to use certain of Hadasit’s patented technologies for the development and commercialization for hES cell-derived cell replacement therapies for retinal degenerative diseases. Cell Cure Neurosciences paid Hadasit 249,058 New Israeli Shekels as a reimbursement for patent expenses incurred by Hadasit, and pays Hadasit quarterly fees for research and product development services under a related Product Development Agreement.</w:t>
      </w:r>
    </w:p>
    <w:p>
      <w:pPr>
        <w:spacing w:after="0" w:line="153" w:lineRule="exact"/>
        <w:rPr>
          <w:sz w:val="20"/>
          <w:szCs w:val="20"/>
          <w:color w:val="auto"/>
        </w:rPr>
      </w:pPr>
    </w:p>
    <w:p>
      <w:pPr>
        <w:ind w:right="60" w:firstLine="567"/>
        <w:spacing w:after="0" w:line="211" w:lineRule="auto"/>
        <w:rPr>
          <w:sz w:val="20"/>
          <w:szCs w:val="20"/>
          <w:color w:val="auto"/>
        </w:rPr>
      </w:pPr>
      <w:r>
        <w:rPr>
          <w:rFonts w:ascii="Arial" w:cs="Arial" w:eastAsia="Arial" w:hAnsi="Arial"/>
          <w:sz w:val="16"/>
          <w:szCs w:val="16"/>
          <w:color w:val="auto"/>
        </w:rPr>
        <w:t xml:space="preserve">If Teva Pharmaceutical Industries Ltd. (“Teva”) exercises its option to license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-Plus</w:t>
      </w:r>
      <w:r>
        <w:rPr>
          <w:rFonts w:ascii="Arial" w:cs="Arial" w:eastAsia="Arial" w:hAnsi="Arial"/>
          <w:sz w:val="16"/>
          <w:szCs w:val="16"/>
          <w:color w:val="auto"/>
        </w:rPr>
        <w:t xml:space="preserve"> under the terms of a Research and Exclusive License Option Agreement (the “Teva License Option Agreement”), Cell Cure Neurosciences will pay Hadasit 30% of all payments made by Teva to Cell Cure Neurosciences, other than payments for research, reimbursements of patent expenses, loans or equity investments.</w:t>
      </w:r>
    </w:p>
    <w:p>
      <w:pPr>
        <w:spacing w:after="0" w:line="194" w:lineRule="exact"/>
        <w:rPr>
          <w:sz w:val="20"/>
          <w:szCs w:val="20"/>
          <w:color w:val="auto"/>
        </w:rPr>
      </w:pPr>
    </w:p>
    <w:p>
      <w:pPr>
        <w:ind w:right="120" w:firstLine="567"/>
        <w:spacing w:after="0" w:line="241" w:lineRule="auto"/>
        <w:rPr>
          <w:sz w:val="20"/>
          <w:szCs w:val="20"/>
          <w:color w:val="auto"/>
        </w:rPr>
      </w:pPr>
      <w:r>
        <w:rPr>
          <w:rFonts w:ascii="Arial" w:cs="Arial" w:eastAsia="Arial" w:hAnsi="Arial"/>
          <w:sz w:val="14"/>
          <w:szCs w:val="14"/>
          <w:color w:val="auto"/>
        </w:rPr>
        <w:t xml:space="preserve">If Teva does not exercise its option and Cell Cure Neurosciences instead commercializes </w:t>
      </w:r>
      <w:r>
        <w:rPr>
          <w:rFonts w:ascii="Arial" w:cs="Arial" w:eastAsia="Arial" w:hAnsi="Arial"/>
          <w:sz w:val="14"/>
          <w:szCs w:val="14"/>
          <w:i w:val="1"/>
          <w:iCs w:val="1"/>
          <w:color w:val="auto"/>
        </w:rPr>
        <w:t>OpRegen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or </w:t>
      </w:r>
      <w:r>
        <w:rPr>
          <w:rFonts w:ascii="Arial" w:cs="Arial" w:eastAsia="Arial" w:hAnsi="Arial"/>
          <w:sz w:val="14"/>
          <w:szCs w:val="14"/>
          <w:i w:val="1"/>
          <w:iCs w:val="1"/>
          <w:color w:val="auto"/>
        </w:rPr>
        <w:t>OpRegen</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-Plus</w:t>
      </w:r>
      <w:r>
        <w:rPr>
          <w:rFonts w:ascii="Arial" w:cs="Arial" w:eastAsia="Arial" w:hAnsi="Arial"/>
          <w:sz w:val="14"/>
          <w:szCs w:val="14"/>
          <w:color w:val="auto"/>
        </w:rPr>
        <w:t xml:space="preserve"> itself or sublicenses the Hadasit patents to a third party for the completion of development or commercialization of </w:t>
      </w:r>
      <w:r>
        <w:rPr>
          <w:rFonts w:ascii="Arial" w:cs="Arial" w:eastAsia="Arial" w:hAnsi="Arial"/>
          <w:sz w:val="14"/>
          <w:szCs w:val="14"/>
          <w:i w:val="1"/>
          <w:iCs w:val="1"/>
          <w:color w:val="auto"/>
        </w:rPr>
        <w:t>OpRegen</w:t>
      </w:r>
      <w:r>
        <w:rPr>
          <w:rFonts w:ascii="Arial" w:cs="Arial" w:eastAsia="Arial" w:hAnsi="Arial"/>
          <w:sz w:val="23"/>
          <w:szCs w:val="23"/>
          <w:color w:val="auto"/>
          <w:vertAlign w:val="superscript"/>
        </w:rPr>
        <w:t>®</w:t>
      </w:r>
      <w:r>
        <w:rPr>
          <w:rFonts w:ascii="Arial" w:cs="Arial" w:eastAsia="Arial" w:hAnsi="Arial"/>
          <w:sz w:val="14"/>
          <w:szCs w:val="14"/>
          <w:color w:val="auto"/>
        </w:rPr>
        <w:t xml:space="preserve"> or </w:t>
      </w:r>
      <w:r>
        <w:rPr>
          <w:rFonts w:ascii="Arial" w:cs="Arial" w:eastAsia="Arial" w:hAnsi="Arial"/>
          <w:sz w:val="14"/>
          <w:szCs w:val="14"/>
          <w:i w:val="1"/>
          <w:iCs w:val="1"/>
          <w:color w:val="auto"/>
        </w:rPr>
        <w:t>OpRegen</w:t>
      </w:r>
      <w:r>
        <w:rPr>
          <w:rFonts w:ascii="Arial" w:cs="Arial" w:eastAsia="Arial" w:hAnsi="Arial"/>
          <w:sz w:val="23"/>
          <w:szCs w:val="23"/>
          <w:color w:val="auto"/>
          <w:vertAlign w:val="superscript"/>
        </w:rPr>
        <w:t>®</w:t>
      </w:r>
      <w:r>
        <w:rPr>
          <w:rFonts w:ascii="Arial" w:cs="Arial" w:eastAsia="Arial" w:hAnsi="Arial"/>
          <w:sz w:val="14"/>
          <w:szCs w:val="14"/>
          <w:i w:val="1"/>
          <w:iCs w:val="1"/>
          <w:color w:val="auto"/>
        </w:rPr>
        <w:t>-Plus</w:t>
      </w:r>
      <w:r>
        <w:rPr>
          <w:rFonts w:ascii="Arial" w:cs="Arial" w:eastAsia="Arial" w:hAnsi="Arial"/>
          <w:sz w:val="14"/>
          <w:szCs w:val="14"/>
          <w:color w:val="auto"/>
        </w:rPr>
        <w:t>, Cell Cure Neurosciences will pay Hadasit a 5% royalty on sales of products that utilize the licensed technology. Cell Cure Neurosciences will also pay sublicensing fees ranging from 10% to 30% of any payments Cell Cure Neurosciences receives from sublicensing the Hadasit patents to companies other than Teva. Commencing in January 2017, Hadasit will be entitled to receive an annual minimum royalty payment of $100,000 that will be credited toward the payment of royalties and sublicense fees otherwise payable to Hadasit during the calendar year. If Cell Cure Neurosciences or a sublicensee other than Teva paid royalties during the previous year, Cell Cure Neurosciences may defer making the minimum royalty payment until December and will be obligated to make the minimum annual payment to the extent that royalties and sublicensing fee payments made during that year are less than $100,000.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1" w:name="page112"/>
    <w:bookmarkEnd w:id="11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20" w:firstLine="567"/>
        <w:spacing w:after="0" w:line="221" w:lineRule="auto"/>
        <w:rPr>
          <w:sz w:val="20"/>
          <w:szCs w:val="20"/>
          <w:color w:val="auto"/>
        </w:rPr>
      </w:pPr>
      <w:r>
        <w:rPr>
          <w:rFonts w:ascii="Arial" w:cs="Arial" w:eastAsia="Arial" w:hAnsi="Arial"/>
          <w:sz w:val="16"/>
          <w:szCs w:val="16"/>
          <w:color w:val="auto"/>
        </w:rPr>
        <w:t xml:space="preserve">If Teva does not exercise its option under the Teva License Option Agreement and instead Cell Cure Neurosciences or a sublicensee other than Teva conducts clinical trials of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16"/>
          <w:szCs w:val="16"/>
          <w:i w:val="1"/>
          <w:iCs w:val="1"/>
          <w:color w:val="auto"/>
        </w:rPr>
        <w:t>OpRegen</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-Plus</w:t>
      </w:r>
      <w:r>
        <w:rPr>
          <w:rFonts w:ascii="Arial" w:cs="Arial" w:eastAsia="Arial" w:hAnsi="Arial"/>
          <w:sz w:val="16"/>
          <w:szCs w:val="16"/>
          <w:color w:val="auto"/>
        </w:rPr>
        <w:t>, Hadasit will be entitled to receive certain payments from Cell Cure Neurosciences upon the first attainment of certain clinical trial milestones in the process of seeking regulatory approval to market a product developed by Cell Cure Neurosciences using the licensed patents. Hadasit will receive $250,000 upon the enrollment of patients in the first Phase I clinical trial, $250,000 upon the submission of Phase II clinical trial data to a regulatory agency as part of the approval process, and $1 million upon the enrollment of the first patient in the first Phase III clinical trial.</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BioTime License for the University of Utah</w:t>
      </w:r>
    </w:p>
    <w:p>
      <w:pPr>
        <w:spacing w:after="0" w:line="218" w:lineRule="exact"/>
        <w:rPr>
          <w:sz w:val="20"/>
          <w:szCs w:val="20"/>
          <w:color w:val="auto"/>
        </w:rPr>
      </w:pPr>
    </w:p>
    <w:p>
      <w:pPr>
        <w:ind w:right="60" w:firstLine="567"/>
        <w:spacing w:after="0" w:line="250" w:lineRule="auto"/>
        <w:rPr>
          <w:sz w:val="20"/>
          <w:szCs w:val="20"/>
          <w:color w:val="auto"/>
        </w:rPr>
      </w:pPr>
      <w:r>
        <w:rPr>
          <w:rFonts w:ascii="Arial" w:cs="Arial" w:eastAsia="Arial" w:hAnsi="Arial"/>
          <w:sz w:val="16"/>
          <w:szCs w:val="16"/>
          <w:color w:val="auto"/>
        </w:rPr>
        <w:t>Through the merger of Glycosan into OrthoCyte during March 2011, BioTime acquired a license from the University of Utah to use certain patents in the production and sale of certain hydrogel products. Under the License Agreement, the scope of which was expanded by an amendment during August 2012, BioTime will pay a 3% royalty on sales of products and services performed that utilize the licensed patents. Commencing in 2014, BioTime will be obligated to pay minimum royalties to the extent that actual royalties on products sales and services utilizing the patents are less than the minimum royalty amount. The minimum royalty amounts are $2,500 in 2014 and $30,000 each year thereafter during the term of the License Agreement. BioTime shall also pay the University of Utah 30% of any sublicense fees or royalties received under any sublicense of the licensed patents. See Note 12.</w:t>
      </w:r>
    </w:p>
    <w:p>
      <w:pPr>
        <w:spacing w:after="0" w:line="197" w:lineRule="exact"/>
        <w:rPr>
          <w:sz w:val="20"/>
          <w:szCs w:val="20"/>
          <w:color w:val="auto"/>
        </w:rPr>
      </w:pPr>
    </w:p>
    <w:p>
      <w:pPr>
        <w:ind w:right="140" w:firstLine="567"/>
        <w:spacing w:after="0" w:line="253" w:lineRule="auto"/>
        <w:rPr>
          <w:sz w:val="20"/>
          <w:szCs w:val="20"/>
          <w:color w:val="auto"/>
        </w:rPr>
      </w:pPr>
      <w:r>
        <w:rPr>
          <w:rFonts w:ascii="Arial" w:cs="Arial" w:eastAsia="Arial" w:hAnsi="Arial"/>
          <w:sz w:val="16"/>
          <w:szCs w:val="16"/>
          <w:color w:val="auto"/>
        </w:rPr>
        <w:t>BioTime will pay the University of Utah $5,000 upon the issuance of each of the first five licensed patents issued in the U.S., subject to reduction to $2,500 for any patent that the University has licensed to two or more other licensees for different uses. BioTime will also pay a $225,000 milestone fee within six months after the first sale of a “tissue engineered product” that utilizes a licensed patent. A tissue engineered product is defined as living human tissues or cells on a polymer platform, created at a place other than the point-of-care facility, for transplantation into a human patient.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BioTime License from Cornell University</w:t>
      </w:r>
    </w:p>
    <w:p>
      <w:pPr>
        <w:spacing w:after="0" w:line="218" w:lineRule="exact"/>
        <w:rPr>
          <w:sz w:val="20"/>
          <w:szCs w:val="20"/>
          <w:color w:val="auto"/>
        </w:rPr>
      </w:pPr>
    </w:p>
    <w:p>
      <w:pPr>
        <w:ind w:right="380" w:firstLine="567"/>
        <w:spacing w:after="0" w:line="267" w:lineRule="auto"/>
        <w:rPr>
          <w:sz w:val="20"/>
          <w:szCs w:val="20"/>
          <w:color w:val="auto"/>
        </w:rPr>
      </w:pPr>
      <w:r>
        <w:rPr>
          <w:rFonts w:ascii="Arial" w:cs="Arial" w:eastAsia="Arial" w:hAnsi="Arial"/>
          <w:sz w:val="16"/>
          <w:szCs w:val="16"/>
          <w:color w:val="auto"/>
        </w:rPr>
        <w:t>On August 23, 2011, BioTime entered into a License Agreement with Cornell University for the worldwide development and commercialization of technology for the differentiation of hES cells into vascular endothelial cells.</w:t>
      </w:r>
    </w:p>
    <w:p>
      <w:pPr>
        <w:spacing w:after="0" w:line="181" w:lineRule="exact"/>
        <w:rPr>
          <w:sz w:val="20"/>
          <w:szCs w:val="20"/>
          <w:color w:val="auto"/>
        </w:rPr>
      </w:pPr>
    </w:p>
    <w:p>
      <w:pPr>
        <w:ind w:firstLine="567"/>
        <w:spacing w:after="0" w:line="272" w:lineRule="auto"/>
        <w:rPr>
          <w:sz w:val="20"/>
          <w:szCs w:val="20"/>
          <w:color w:val="auto"/>
        </w:rPr>
      </w:pPr>
      <w:r>
        <w:rPr>
          <w:rFonts w:ascii="Arial" w:cs="Arial" w:eastAsia="Arial" w:hAnsi="Arial"/>
          <w:sz w:val="15"/>
          <w:szCs w:val="15"/>
          <w:color w:val="auto"/>
        </w:rPr>
        <w:t>Cornell will be entitled to receive a nominal initial license fee and nominal annual license maintenance fees. The obligation to pay annual license maintenance fees will end when the first human therapeutic products developed under the license is sold. BioTime will pay Cornell a milestone payment upon the achievement of a research product sale milestone amount, and will make milestone payments upon the attainment of certain FDA approval milestones for therapeutic products developed under the license, including (i) the first Phase II clinical trial dosing of a human therapeutic product, (ii) the first Phase III clinical trial dosing of a human therapeutic product; (iii) FDA approval of the first human therapeutic product for age-related vascular disease; and (iv) FDA approval of the first human therapeutic product for cancer.</w:t>
      </w:r>
    </w:p>
    <w:p>
      <w:pPr>
        <w:spacing w:after="0" w:line="181" w:lineRule="exact"/>
        <w:rPr>
          <w:sz w:val="20"/>
          <w:szCs w:val="20"/>
          <w:color w:val="auto"/>
        </w:rPr>
      </w:pPr>
    </w:p>
    <w:p>
      <w:pPr>
        <w:ind w:firstLine="567"/>
        <w:spacing w:after="0" w:line="311" w:lineRule="auto"/>
        <w:rPr>
          <w:sz w:val="20"/>
          <w:szCs w:val="20"/>
          <w:color w:val="auto"/>
        </w:rPr>
      </w:pPr>
      <w:r>
        <w:rPr>
          <w:rFonts w:ascii="Arial" w:cs="Arial" w:eastAsia="Arial" w:hAnsi="Arial"/>
          <w:sz w:val="14"/>
          <w:szCs w:val="14"/>
          <w:color w:val="auto"/>
        </w:rPr>
        <w:t>BioTime will pay Cornell royalties on the sale of products and services using the license, and will share with Cornell a portion of any cash payments, other than royalties, that BioTime receives for the grant of sublicenses to non-affiliates. The potential royalty percentage rates to be paid to Cornell will be in the low to mid-single digit range depending on the product. BioTime will also reimburse Cornell for costs related to the patent applications and any patents that may issue that are covered by the license.</w:t>
      </w:r>
    </w:p>
    <w:p>
      <w:pPr>
        <w:spacing w:after="0" w:line="154" w:lineRule="exact"/>
        <w:rPr>
          <w:sz w:val="20"/>
          <w:szCs w:val="20"/>
          <w:color w:val="auto"/>
        </w:rPr>
      </w:pPr>
    </w:p>
    <w:p>
      <w:pPr>
        <w:ind w:right="400" w:firstLine="567"/>
        <w:spacing w:after="0" w:line="267" w:lineRule="auto"/>
        <w:rPr>
          <w:sz w:val="20"/>
          <w:szCs w:val="20"/>
          <w:color w:val="auto"/>
        </w:rPr>
      </w:pPr>
      <w:r>
        <w:rPr>
          <w:rFonts w:ascii="Arial" w:cs="Arial" w:eastAsia="Arial" w:hAnsi="Arial"/>
          <w:sz w:val="16"/>
          <w:szCs w:val="16"/>
          <w:color w:val="auto"/>
        </w:rPr>
        <w:t>In conjunction with the License Agreement, BioTime also entered into a Sponsored Research Agreement under which scientists at Weill Cornell Medical College will engage in certain research for BioTime over a three year period beginning August 2011.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2" w:name="page113"/>
    <w:bookmarkEnd w:id="11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Asterias License from WARF</w:t>
      </w:r>
    </w:p>
    <w:p>
      <w:pPr>
        <w:spacing w:after="0" w:line="218" w:lineRule="exact"/>
        <w:rPr>
          <w:sz w:val="20"/>
          <w:szCs w:val="20"/>
          <w:color w:val="auto"/>
        </w:rPr>
      </w:pPr>
    </w:p>
    <w:p>
      <w:pPr>
        <w:ind w:right="80" w:firstLine="567"/>
        <w:spacing w:after="0" w:line="253" w:lineRule="auto"/>
        <w:rPr>
          <w:sz w:val="20"/>
          <w:szCs w:val="20"/>
          <w:color w:val="auto"/>
        </w:rPr>
      </w:pPr>
      <w:r>
        <w:rPr>
          <w:rFonts w:ascii="Arial" w:cs="Arial" w:eastAsia="Arial" w:hAnsi="Arial"/>
          <w:sz w:val="16"/>
          <w:szCs w:val="16"/>
          <w:color w:val="auto"/>
        </w:rPr>
        <w:t>Asterias has entered into a Non-Exclusive License Agreement with WARF under which Asterias was granted a worldwide non-exclusive license under certain WARF patents and WARF-owned embryonic stem cell lines to develop and commercialize therapeutic, diagnostic and research products. The licensed patents include patents covering primate embryonic stem cells as compositions of matter, as well as methods for growth and differentiation of primate embryonic stem cells. The licensed stem cell lines include the H1, H7, H9, H13 and H14 hES cell lines.</w:t>
      </w:r>
    </w:p>
    <w:p>
      <w:pPr>
        <w:spacing w:after="0" w:line="193" w:lineRule="exact"/>
        <w:rPr>
          <w:sz w:val="20"/>
          <w:szCs w:val="20"/>
          <w:color w:val="auto"/>
        </w:rPr>
      </w:pPr>
    </w:p>
    <w:p>
      <w:pPr>
        <w:ind w:right="20" w:firstLine="567"/>
        <w:spacing w:after="0" w:line="257" w:lineRule="auto"/>
        <w:rPr>
          <w:sz w:val="20"/>
          <w:szCs w:val="20"/>
          <w:color w:val="auto"/>
        </w:rPr>
      </w:pPr>
      <w:r>
        <w:rPr>
          <w:rFonts w:ascii="Arial" w:cs="Arial" w:eastAsia="Arial" w:hAnsi="Arial"/>
          <w:sz w:val="16"/>
          <w:szCs w:val="16"/>
          <w:color w:val="auto"/>
        </w:rPr>
        <w:t>In consideration of the rights licensed, Asterias has agreed to pay WARF an upfront license fee, payments upon the attainment of specified clinical development milestones, royalties on sales of commercialized products, and, subject to certain exclusions, a percentage of any payments that Asterias may receive from any sublicenses that it may grant to use the licensed patents or stem cell lines.</w:t>
      </w:r>
    </w:p>
    <w:p>
      <w:pPr>
        <w:spacing w:after="0" w:line="189" w:lineRule="exact"/>
        <w:rPr>
          <w:sz w:val="20"/>
          <w:szCs w:val="20"/>
          <w:color w:val="auto"/>
        </w:rPr>
      </w:pPr>
    </w:p>
    <w:p>
      <w:pPr>
        <w:ind w:right="40" w:firstLine="567"/>
        <w:spacing w:after="0" w:line="296" w:lineRule="auto"/>
        <w:rPr>
          <w:sz w:val="20"/>
          <w:szCs w:val="20"/>
          <w:color w:val="auto"/>
        </w:rPr>
      </w:pPr>
      <w:r>
        <w:rPr>
          <w:rFonts w:ascii="Arial" w:cs="Arial" w:eastAsia="Arial" w:hAnsi="Arial"/>
          <w:sz w:val="14"/>
          <w:szCs w:val="14"/>
          <w:color w:val="auto"/>
        </w:rPr>
        <w:t>The license agreement will terminate with respect to licensed patents upon the expiration of the last licensed patent to expire. Asterias may terminate the license agreement at any time by giving WARF prior written notice. WARF may terminate the license agreement if payments of earned royalties, once begun, cease for a specified period of time or if Asterias and any third parties collaborating or cooperating with Asterias in the development of products using the licensed patents or stem cell lines fail to spend a specified minimum amount on research and development of products relating to the licensed patents or stem cell lines for a specified period of time. WARF also has the right to terminate the license agreement if Asterias breaches the license agreement or becomes bankrupt or insolvent or if any of the licensed patents or stem cell lines are offered to creditors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Asterias License from the University of California</w:t>
      </w:r>
    </w:p>
    <w:p>
      <w:pPr>
        <w:spacing w:after="0" w:line="218" w:lineRule="exact"/>
        <w:rPr>
          <w:sz w:val="20"/>
          <w:szCs w:val="20"/>
          <w:color w:val="auto"/>
        </w:rPr>
      </w:pPr>
    </w:p>
    <w:p>
      <w:pPr>
        <w:ind w:right="40" w:firstLine="567"/>
        <w:spacing w:after="0" w:line="287" w:lineRule="auto"/>
        <w:rPr>
          <w:sz w:val="20"/>
          <w:szCs w:val="20"/>
          <w:color w:val="auto"/>
        </w:rPr>
      </w:pPr>
      <w:r>
        <w:rPr>
          <w:rFonts w:ascii="Arial" w:cs="Arial" w:eastAsia="Arial" w:hAnsi="Arial"/>
          <w:sz w:val="14"/>
          <w:szCs w:val="14"/>
          <w:color w:val="auto"/>
        </w:rPr>
        <w:t>Geron assigned to Asterias its Exclusive License Agreement with The Regents of the University of California for patents covering a method for directing the differentiation of multipotential hES cells to glial-restricted progenitor cells that generate pure populations of oligodendrocytes for remyelination and treatment of spinal cord injury. Pursuant to this agreement, Asterias has an exclusive worldwide license under such patents, including the right to grant sublicenses, to create products for biological research, drug screening, and human therapy using the licensed patents. Under the license agreement, Asterias will be obligated to pay the university a royalty of 1% from sales of products that are covered by the licensed patent rights, and a minimum annual royalty of $5,000 starting in the year in which the first sale of a product covered by any licensed patent rights occurs, and continuing for the life of the applicable patent right under the agreement. The royalty payments due are subject to reduction, but not by more than 50%, to the extent of any payments that Asterias may be obligated to pay to a third party for the use of patents or other intellectual property licensed from the third party in order to make, have made, use, sell, or import products or otherwise exercise its rights under the Exclusive License Agreement. Asterias will be obligated to pay the university 7.5% of any proceeds, excluding debt financing and equity investments, and certain reimbursements, that its receives from sublicensees, other than Asterias’ affiliates and joint ventures relating to the development, manufacture, purchase, and sale of products, processes, and services covered by the licensed patent. The license agreement will terminate on the expiration of the last-to-expire of the university's issued licensed patents. If no further patents covered by the license agreement are issued, the license agreement would terminate in 2024. The university may terminate the agreement in the event of Asterias’ breach of the agreement. Asterias can terminate the agreement upon 60 days' notice.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Asterias Sublicenes from Geron</w:t>
      </w:r>
    </w:p>
    <w:p>
      <w:pPr>
        <w:spacing w:after="0" w:line="218" w:lineRule="exact"/>
        <w:rPr>
          <w:sz w:val="20"/>
          <w:szCs w:val="20"/>
          <w:color w:val="auto"/>
        </w:rPr>
      </w:pPr>
    </w:p>
    <w:p>
      <w:pPr>
        <w:ind w:firstLine="567"/>
        <w:spacing w:after="0" w:line="267" w:lineRule="auto"/>
        <w:rPr>
          <w:sz w:val="20"/>
          <w:szCs w:val="20"/>
          <w:color w:val="auto"/>
        </w:rPr>
      </w:pPr>
      <w:r>
        <w:rPr>
          <w:rFonts w:ascii="Arial" w:cs="Arial" w:eastAsia="Arial" w:hAnsi="Arial"/>
          <w:sz w:val="15"/>
          <w:szCs w:val="15"/>
          <w:color w:val="auto"/>
        </w:rPr>
        <w:t>Asterias has received from Geron an exclusive sublicense under certain patents owned by the University of Colorado’s University License Equity Holdings, Inc. relating to telomerase (the “Telomerase Sublicense”). The Telomerase Sublicense entitles Asterias to use the technology covered by the patents in the development of VAC1 and VAC2 as immunological treatments for cancer. Under the Telomerase Sublicense, Asterias paid Geron a one-time upfront license fee of $65,000, and will pay Geron an annual license maintenance fee of $10,000 due on each anniversary of the effective date of the Telomerase Sublicense, and a 1% royalty on sales of any products that Asterias may develop and commercialize that are covered by the sublicensed patents. The Telomerase Sublicense will expire concurrently with the expiration of Geron’s license. That license will terminate during April 2017 when the licensed patents expire. The Telomerase Sublicense may also be terminated by Asterias by giving Geron 90 days written notice, by Asterias or by Geron if the other party breaches its obligations under the sublicense agreement and fails to cure their breach within the prescribed time period, or by Asterias or by Geron upon the filing or institution of bankruptcy, reorganization, liquidation or receivership proceedings, or upon an assignment of a substantial portion of the assets for the benefit of creditors by the other party.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9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33"/>
        </w:trPr>
        <w:tc>
          <w:tcPr>
            <w:tcW w:w="10060" w:type="dxa"/>
            <w:vAlign w:val="bottom"/>
            <w:gridSpan w:val="2"/>
          </w:tcPr>
          <w:p>
            <w:pPr>
              <w:ind w:left="560"/>
              <w:spacing w:after="0"/>
              <w:rPr>
                <w:sz w:val="20"/>
                <w:szCs w:val="20"/>
                <w:color w:val="auto"/>
              </w:rPr>
            </w:pPr>
            <w:r>
              <w:rPr>
                <w:rFonts w:ascii="Arial" w:cs="Arial" w:eastAsia="Arial" w:hAnsi="Arial"/>
                <w:sz w:val="16"/>
                <w:szCs w:val="16"/>
                <w:color w:val="auto"/>
              </w:rPr>
              <w:t>As of December 31, 2013, amortization of deferred license fees was as follows: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7"/>
        </w:trPr>
        <w:tc>
          <w:tcPr>
            <w:tcW w:w="88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Deferred</w:t>
            </w:r>
          </w:p>
        </w:tc>
      </w:tr>
      <w:tr>
        <w:trPr>
          <w:trHeight w:val="189"/>
        </w:trPr>
        <w:tc>
          <w:tcPr>
            <w:tcW w:w="880" w:type="dxa"/>
            <w:vAlign w:val="bottom"/>
          </w:tcPr>
          <w:p>
            <w:pPr>
              <w:spacing w:after="0"/>
              <w:rPr>
                <w:sz w:val="16"/>
                <w:szCs w:val="16"/>
                <w:color w:val="auto"/>
              </w:rPr>
            </w:pPr>
          </w:p>
        </w:tc>
        <w:tc>
          <w:tcPr>
            <w:tcW w:w="9180" w:type="dxa"/>
            <w:vAlign w:val="bottom"/>
          </w:tcPr>
          <w:p>
            <w:pPr>
              <w:jc w:val="center"/>
              <w:ind w:right="801"/>
              <w:spacing w:after="0"/>
              <w:rPr>
                <w:sz w:val="20"/>
                <w:szCs w:val="20"/>
                <w:color w:val="auto"/>
              </w:rPr>
            </w:pPr>
            <w:r>
              <w:rPr>
                <w:rFonts w:ascii="Arial" w:cs="Arial" w:eastAsia="Arial" w:hAnsi="Arial"/>
                <w:sz w:val="16"/>
                <w:szCs w:val="16"/>
                <w:b w:val="1"/>
                <w:bCs w:val="1"/>
                <w:color w:val="auto"/>
                <w:w w:val="88"/>
              </w:rPr>
              <w:t>Year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License</w:t>
            </w:r>
          </w:p>
        </w:tc>
      </w:tr>
      <w:tr>
        <w:trPr>
          <w:trHeight w:val="233"/>
        </w:trPr>
        <w:tc>
          <w:tcPr>
            <w:tcW w:w="880" w:type="dxa"/>
            <w:vAlign w:val="bottom"/>
          </w:tcPr>
          <w:p>
            <w:pPr>
              <w:spacing w:after="0"/>
              <w:rPr>
                <w:sz w:val="20"/>
                <w:szCs w:val="20"/>
                <w:color w:val="auto"/>
              </w:rPr>
            </w:pPr>
          </w:p>
        </w:tc>
        <w:tc>
          <w:tcPr>
            <w:tcW w:w="9180" w:type="dxa"/>
            <w:vAlign w:val="bottom"/>
          </w:tcPr>
          <w:p>
            <w:pPr>
              <w:jc w:val="center"/>
              <w:ind w:right="821"/>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2"/>
              </w:rPr>
              <w:t>Fees</w:t>
            </w:r>
          </w:p>
        </w:tc>
      </w:tr>
      <w:tr>
        <w:trPr>
          <w:trHeight w:val="189"/>
        </w:trPr>
        <w:tc>
          <w:tcPr>
            <w:tcW w:w="100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84"/>
              </w:rPr>
              <w:t>2014</w:t>
            </w: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111,000</w:t>
            </w:r>
          </w:p>
        </w:tc>
        <w:tc>
          <w:tcPr>
            <w:tcW w:w="120" w:type="dxa"/>
            <w:vAlign w:val="bottom"/>
            <w:shd w:val="clear" w:color="auto" w:fill="CCEEFF"/>
          </w:tcPr>
          <w:p>
            <w:pPr>
              <w:spacing w:after="0"/>
              <w:rPr>
                <w:sz w:val="16"/>
                <w:szCs w:val="16"/>
                <w:color w:val="auto"/>
              </w:rPr>
            </w:pPr>
          </w:p>
        </w:tc>
      </w:tr>
      <w:tr>
        <w:trPr>
          <w:trHeight w:val="189"/>
        </w:trPr>
        <w:tc>
          <w:tcPr>
            <w:tcW w:w="10060" w:type="dxa"/>
            <w:vAlign w:val="bottom"/>
            <w:gridSpan w:val="2"/>
          </w:tcPr>
          <w:p>
            <w:pPr>
              <w:jc w:val="center"/>
              <w:spacing w:after="0"/>
              <w:rPr>
                <w:sz w:val="20"/>
                <w:szCs w:val="20"/>
                <w:color w:val="auto"/>
              </w:rPr>
            </w:pPr>
            <w:r>
              <w:rPr>
                <w:rFonts w:ascii="Arial" w:cs="Arial" w:eastAsia="Arial" w:hAnsi="Arial"/>
                <w:sz w:val="16"/>
                <w:szCs w:val="16"/>
                <w:color w:val="auto"/>
                <w:w w:val="84"/>
              </w:rPr>
              <w:t>2015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111,000</w:t>
            </w:r>
          </w:p>
        </w:tc>
        <w:tc>
          <w:tcPr>
            <w:tcW w:w="120" w:type="dxa"/>
            <w:vAlign w:val="bottom"/>
          </w:tcPr>
          <w:p>
            <w:pPr>
              <w:spacing w:after="0"/>
              <w:rPr>
                <w:sz w:val="16"/>
                <w:szCs w:val="16"/>
                <w:color w:val="auto"/>
              </w:rPr>
            </w:pPr>
          </w:p>
        </w:tc>
      </w:tr>
      <w:tr>
        <w:trPr>
          <w:trHeight w:val="189"/>
        </w:trPr>
        <w:tc>
          <w:tcPr>
            <w:tcW w:w="100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4"/>
              </w:rPr>
              <w:t>2016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111,000</w:t>
            </w:r>
          </w:p>
        </w:tc>
        <w:tc>
          <w:tcPr>
            <w:tcW w:w="120" w:type="dxa"/>
            <w:vAlign w:val="bottom"/>
            <w:shd w:val="clear" w:color="auto" w:fill="CCEEFF"/>
          </w:tcPr>
          <w:p>
            <w:pPr>
              <w:spacing w:after="0"/>
              <w:rPr>
                <w:sz w:val="16"/>
                <w:szCs w:val="16"/>
                <w:color w:val="auto"/>
              </w:rPr>
            </w:pPr>
          </w:p>
        </w:tc>
      </w:tr>
      <w:tr>
        <w:trPr>
          <w:trHeight w:val="189"/>
        </w:trPr>
        <w:tc>
          <w:tcPr>
            <w:tcW w:w="10060" w:type="dxa"/>
            <w:vAlign w:val="bottom"/>
            <w:gridSpan w:val="2"/>
          </w:tcPr>
          <w:p>
            <w:pPr>
              <w:jc w:val="center"/>
              <w:spacing w:after="0"/>
              <w:rPr>
                <w:sz w:val="20"/>
                <w:szCs w:val="20"/>
                <w:color w:val="auto"/>
              </w:rPr>
            </w:pPr>
            <w:r>
              <w:rPr>
                <w:rFonts w:ascii="Arial" w:cs="Arial" w:eastAsia="Arial" w:hAnsi="Arial"/>
                <w:sz w:val="16"/>
                <w:szCs w:val="16"/>
                <w:color w:val="auto"/>
                <w:w w:val="84"/>
              </w:rPr>
              <w:t>2017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111,000</w:t>
            </w:r>
          </w:p>
        </w:tc>
        <w:tc>
          <w:tcPr>
            <w:tcW w:w="120" w:type="dxa"/>
            <w:vAlign w:val="bottom"/>
          </w:tcPr>
          <w:p>
            <w:pPr>
              <w:spacing w:after="0"/>
              <w:rPr>
                <w:sz w:val="16"/>
                <w:szCs w:val="16"/>
                <w:color w:val="auto"/>
              </w:rPr>
            </w:pPr>
          </w:p>
        </w:tc>
      </w:tr>
      <w:tr>
        <w:trPr>
          <w:trHeight w:val="193"/>
        </w:trPr>
        <w:tc>
          <w:tcPr>
            <w:tcW w:w="880" w:type="dxa"/>
            <w:vAlign w:val="bottom"/>
            <w:tcBorders>
              <w:bottom w:val="single" w:sz="8" w:color="CCEEFF"/>
            </w:tcBorders>
            <w:shd w:val="clear" w:color="auto" w:fill="CCEEFF"/>
          </w:tcPr>
          <w:p>
            <w:pPr>
              <w:spacing w:after="0"/>
              <w:rPr>
                <w:sz w:val="16"/>
                <w:szCs w:val="16"/>
                <w:color w:val="auto"/>
              </w:rPr>
            </w:pPr>
          </w:p>
        </w:tc>
        <w:tc>
          <w:tcPr>
            <w:tcW w:w="9180" w:type="dxa"/>
            <w:vAlign w:val="bottom"/>
            <w:tcBorders>
              <w:bottom w:val="single" w:sz="8" w:color="CCEEFF"/>
            </w:tcBorders>
            <w:shd w:val="clear" w:color="auto" w:fill="CCEEFF"/>
          </w:tcPr>
          <w:p>
            <w:pPr>
              <w:jc w:val="center"/>
              <w:ind w:right="801"/>
              <w:spacing w:after="0"/>
              <w:rPr>
                <w:sz w:val="20"/>
                <w:szCs w:val="20"/>
                <w:color w:val="auto"/>
              </w:rPr>
            </w:pPr>
            <w:r>
              <w:rPr>
                <w:rFonts w:ascii="Arial" w:cs="Arial" w:eastAsia="Arial" w:hAnsi="Arial"/>
                <w:sz w:val="16"/>
                <w:szCs w:val="16"/>
                <w:color w:val="auto"/>
                <w:w w:val="89"/>
              </w:rPr>
              <w:t>Thereafter</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111,833</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9"/>
        </w:trPr>
        <w:tc>
          <w:tcPr>
            <w:tcW w:w="880" w:type="dxa"/>
            <w:vAlign w:val="bottom"/>
          </w:tcPr>
          <w:p>
            <w:pPr>
              <w:spacing w:after="0"/>
              <w:rPr>
                <w:sz w:val="16"/>
                <w:szCs w:val="16"/>
                <w:color w:val="auto"/>
              </w:rPr>
            </w:pPr>
          </w:p>
        </w:tc>
        <w:tc>
          <w:tcPr>
            <w:tcW w:w="9180" w:type="dxa"/>
            <w:vAlign w:val="bottom"/>
          </w:tcPr>
          <w:p>
            <w:pPr>
              <w:jc w:val="center"/>
              <w:ind w:right="821"/>
              <w:spacing w:after="0"/>
              <w:rPr>
                <w:sz w:val="20"/>
                <w:szCs w:val="20"/>
                <w:color w:val="auto"/>
              </w:rPr>
            </w:pPr>
            <w:r>
              <w:rPr>
                <w:rFonts w:ascii="Arial" w:cs="Arial" w:eastAsia="Arial" w:hAnsi="Arial"/>
                <w:sz w:val="16"/>
                <w:szCs w:val="16"/>
                <w:color w:val="auto"/>
                <w:w w:val="89"/>
              </w:rPr>
              <w:t>Total</w:t>
            </w:r>
          </w:p>
        </w:tc>
        <w:tc>
          <w:tcPr>
            <w:tcW w:w="30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555,833</w:t>
            </w:r>
          </w:p>
        </w:tc>
        <w:tc>
          <w:tcPr>
            <w:tcW w:w="1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40" w:firstLine="567"/>
        <w:spacing w:after="0" w:line="267" w:lineRule="auto"/>
        <w:rPr>
          <w:sz w:val="20"/>
          <w:szCs w:val="20"/>
          <w:color w:val="auto"/>
        </w:rPr>
      </w:pPr>
      <w:r>
        <w:rPr>
          <w:rFonts w:ascii="Arial" w:cs="Arial" w:eastAsia="Arial" w:hAnsi="Arial"/>
          <w:sz w:val="16"/>
          <w:szCs w:val="16"/>
          <w:color w:val="auto"/>
        </w:rPr>
        <w:t>The current portion in the amount of $111,000 is included in prepaid expenses and other current assets. Noncurrent portion is included in $444,833, deferred license and consulting fees.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820" w:type="dxa"/>
            <w:vAlign w:val="bottom"/>
          </w:tcPr>
          <w:p>
            <w:pPr>
              <w:spacing w:after="0"/>
              <w:rPr>
                <w:sz w:val="20"/>
                <w:szCs w:val="20"/>
                <w:color w:val="auto"/>
              </w:rPr>
            </w:pPr>
            <w:r>
              <w:rPr>
                <w:rFonts w:ascii="Arial" w:cs="Arial" w:eastAsia="Arial" w:hAnsi="Arial"/>
                <w:sz w:val="16"/>
                <w:szCs w:val="16"/>
                <w:b w:val="1"/>
                <w:bCs w:val="1"/>
                <w:color w:val="auto"/>
              </w:rPr>
              <w:t>7. Accounts Payable and Accrued Liabilities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02"/>
        </w:trPr>
        <w:tc>
          <w:tcPr>
            <w:tcW w:w="8820" w:type="dxa"/>
            <w:vAlign w:val="bottom"/>
          </w:tcPr>
          <w:p>
            <w:pPr>
              <w:ind w:left="560"/>
              <w:spacing w:after="0"/>
              <w:rPr>
                <w:sz w:val="20"/>
                <w:szCs w:val="20"/>
                <w:color w:val="auto"/>
              </w:rPr>
            </w:pPr>
            <w:r>
              <w:rPr>
                <w:rFonts w:ascii="Arial" w:cs="Arial" w:eastAsia="Arial" w:hAnsi="Arial"/>
                <w:sz w:val="16"/>
                <w:szCs w:val="16"/>
                <w:color w:val="auto"/>
              </w:rPr>
              <w:t>At December 31, 2013 and 2012, accounts payable and accrued liabilities consist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7"/>
        </w:trPr>
        <w:tc>
          <w:tcPr>
            <w:tcW w:w="8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3"/>
        </w:trPr>
        <w:tc>
          <w:tcPr>
            <w:tcW w:w="8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95"/>
              </w:rPr>
              <w:t>2012</w:t>
            </w:r>
          </w:p>
        </w:tc>
        <w:tc>
          <w:tcPr>
            <w:tcW w:w="120" w:type="dxa"/>
            <w:vAlign w:val="bottom"/>
          </w:tcPr>
          <w:p>
            <w:pPr>
              <w:spacing w:after="0"/>
              <w:rPr>
                <w:sz w:val="16"/>
                <w:szCs w:val="16"/>
                <w:color w:val="auto"/>
              </w:rPr>
            </w:pPr>
          </w:p>
        </w:tc>
      </w:tr>
      <w:tr>
        <w:trPr>
          <w:trHeight w:val="189"/>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3,887,950</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1,168,077</w:t>
            </w:r>
          </w:p>
        </w:tc>
        <w:tc>
          <w:tcPr>
            <w:tcW w:w="120" w:type="dxa"/>
            <w:vAlign w:val="bottom"/>
            <w:shd w:val="clear" w:color="auto" w:fill="CCEEFF"/>
          </w:tcPr>
          <w:p>
            <w:pPr>
              <w:spacing w:after="0"/>
              <w:rPr>
                <w:sz w:val="16"/>
                <w:szCs w:val="16"/>
                <w:color w:val="auto"/>
              </w:rPr>
            </w:pPr>
          </w:p>
        </w:tc>
      </w:tr>
      <w:tr>
        <w:trPr>
          <w:trHeight w:val="189"/>
        </w:trPr>
        <w:tc>
          <w:tcPr>
            <w:tcW w:w="8820" w:type="dxa"/>
            <w:vAlign w:val="bottom"/>
          </w:tcPr>
          <w:p>
            <w:pPr>
              <w:spacing w:after="0"/>
              <w:rPr>
                <w:sz w:val="20"/>
                <w:szCs w:val="20"/>
                <w:color w:val="auto"/>
              </w:rPr>
            </w:pPr>
            <w:r>
              <w:rPr>
                <w:rFonts w:ascii="Arial" w:cs="Arial" w:eastAsia="Arial" w:hAnsi="Arial"/>
                <w:sz w:val="16"/>
                <w:szCs w:val="16"/>
                <w:color w:val="auto"/>
              </w:rPr>
              <w:t>Accrued bonuses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600,000</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497,843</w:t>
            </w:r>
          </w:p>
        </w:tc>
      </w:tr>
      <w:tr>
        <w:trPr>
          <w:trHeight w:val="189"/>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Other accrued liabilities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2,234,674</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2,324,042</w:t>
            </w:r>
          </w:p>
        </w:tc>
      </w:tr>
      <w:tr>
        <w:trPr>
          <w:trHeight w:val="24"/>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9"/>
        </w:trPr>
        <w:tc>
          <w:tcPr>
            <w:tcW w:w="8820" w:type="dxa"/>
            <w:vAlign w:val="bottom"/>
          </w:tcPr>
          <w:p>
            <w:pPr>
              <w:spacing w:after="0"/>
              <w:rPr>
                <w:sz w:val="16"/>
                <w:szCs w:val="16"/>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6,722,624</w:t>
            </w:r>
          </w:p>
        </w:tc>
        <w:tc>
          <w:tcPr>
            <w:tcW w:w="600" w:type="dxa"/>
            <w:vAlign w:val="bottom"/>
            <w:gridSpan w:val="2"/>
          </w:tcPr>
          <w:p>
            <w:pPr>
              <w:jc w:val="right"/>
              <w:ind w:right="207"/>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3,989,962</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Related Party Transactions</w:t>
      </w:r>
    </w:p>
    <w:p>
      <w:pPr>
        <w:spacing w:after="0" w:line="222" w:lineRule="exact"/>
        <w:rPr>
          <w:sz w:val="20"/>
          <w:szCs w:val="20"/>
          <w:color w:val="auto"/>
        </w:rPr>
      </w:pPr>
    </w:p>
    <w:p>
      <w:pPr>
        <w:ind w:right="140" w:firstLine="567"/>
        <w:spacing w:after="0" w:line="267" w:lineRule="auto"/>
        <w:rPr>
          <w:sz w:val="20"/>
          <w:szCs w:val="20"/>
          <w:color w:val="auto"/>
        </w:rPr>
      </w:pPr>
      <w:r>
        <w:rPr>
          <w:rFonts w:ascii="Arial" w:cs="Arial" w:eastAsia="Arial" w:hAnsi="Arial"/>
          <w:sz w:val="16"/>
          <w:szCs w:val="16"/>
          <w:color w:val="auto"/>
        </w:rPr>
        <w:t>BioTime currently pays $5,050 per month for the use of approximately 900 square feet of office space in New York City, which is made available to BioTime on a month-by-month basis by one of its directors at his cost for use in conducting meetings and other business affairs.</w:t>
      </w:r>
    </w:p>
    <w:p>
      <w:pPr>
        <w:spacing w:after="0" w:line="181" w:lineRule="exact"/>
        <w:rPr>
          <w:sz w:val="20"/>
          <w:szCs w:val="20"/>
          <w:color w:val="auto"/>
        </w:rPr>
      </w:pPr>
    </w:p>
    <w:p>
      <w:pPr>
        <w:ind w:right="120" w:firstLine="567"/>
        <w:spacing w:after="0" w:line="267" w:lineRule="auto"/>
        <w:rPr>
          <w:sz w:val="20"/>
          <w:szCs w:val="20"/>
          <w:color w:val="auto"/>
        </w:rPr>
      </w:pPr>
      <w:r>
        <w:rPr>
          <w:rFonts w:ascii="Arial" w:cs="Arial" w:eastAsia="Arial" w:hAnsi="Arial"/>
          <w:sz w:val="16"/>
          <w:szCs w:val="16"/>
          <w:color w:val="auto"/>
        </w:rPr>
        <w:t>On January 29, 2013, in accordance with a November 1, 2012 Share Purchase Agreement between BioTime and Cell Cure Neurosciences, BioTime purchased 87,456 Cell Cure Neurosciences ordinary shares in exchange for 906,735 of BioTime common shares.</w:t>
      </w:r>
    </w:p>
    <w:p>
      <w:pPr>
        <w:spacing w:after="0" w:line="181" w:lineRule="exact"/>
        <w:rPr>
          <w:sz w:val="20"/>
          <w:szCs w:val="20"/>
          <w:color w:val="auto"/>
        </w:rPr>
      </w:pPr>
    </w:p>
    <w:p>
      <w:pPr>
        <w:ind w:right="640" w:firstLine="567"/>
        <w:spacing w:after="0" w:line="267" w:lineRule="auto"/>
        <w:rPr>
          <w:sz w:val="20"/>
          <w:szCs w:val="20"/>
          <w:color w:val="auto"/>
        </w:rPr>
      </w:pPr>
      <w:r>
        <w:rPr>
          <w:rFonts w:ascii="Arial" w:cs="Arial" w:eastAsia="Arial" w:hAnsi="Arial"/>
          <w:sz w:val="16"/>
          <w:szCs w:val="16"/>
          <w:color w:val="auto"/>
        </w:rPr>
        <w:t>On October 1, 2013, BioTime issued 8,902,077 common shares and warrants to purchase 8,000,000 common shares to Asterias pursuant to the Asset Contribution Agreement discussed in Note 15.</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14" w:name="page115"/>
    <w:bookmarkEnd w:id="11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Equity</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BioTime has issued warrants to purchase its common shares. Activity related to warrants in 2013, 2012, and 2011 is presented in the table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21"/>
              <w:spacing w:after="0"/>
              <w:rPr>
                <w:sz w:val="20"/>
                <w:szCs w:val="20"/>
                <w:color w:val="auto"/>
              </w:rPr>
            </w:pPr>
            <w:r>
              <w:rPr>
                <w:rFonts w:ascii="Arial" w:cs="Arial" w:eastAsia="Arial" w:hAnsi="Arial"/>
                <w:sz w:val="16"/>
                <w:szCs w:val="16"/>
                <w:b w:val="1"/>
                <w:bCs w:val="1"/>
                <w:color w:val="auto"/>
                <w:w w:val="88"/>
              </w:rPr>
              <w:t>Weighted</w:t>
            </w:r>
          </w:p>
        </w:tc>
      </w:tr>
      <w:tr>
        <w:trPr>
          <w:trHeight w:val="189"/>
        </w:trPr>
        <w:tc>
          <w:tcPr>
            <w:tcW w:w="7440" w:type="dxa"/>
            <w:vAlign w:val="bottom"/>
          </w:tcPr>
          <w:p>
            <w:pPr>
              <w:spacing w:after="0"/>
              <w:rPr>
                <w:sz w:val="16"/>
                <w:szCs w:val="16"/>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Per share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41"/>
              <w:spacing w:after="0"/>
              <w:rPr>
                <w:sz w:val="20"/>
                <w:szCs w:val="20"/>
                <w:color w:val="auto"/>
              </w:rPr>
            </w:pPr>
            <w:r>
              <w:rPr>
                <w:rFonts w:ascii="Arial" w:cs="Arial" w:eastAsia="Arial" w:hAnsi="Arial"/>
                <w:sz w:val="16"/>
                <w:szCs w:val="16"/>
                <w:b w:val="1"/>
                <w:bCs w:val="1"/>
                <w:color w:val="auto"/>
                <w:w w:val="85"/>
              </w:rPr>
              <w:t>Average</w:t>
            </w:r>
          </w:p>
        </w:tc>
      </w:tr>
      <w:tr>
        <w:trPr>
          <w:trHeight w:val="209"/>
        </w:trPr>
        <w:tc>
          <w:tcPr>
            <w:tcW w:w="744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Warrants</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4"/>
              </w:rPr>
              <w:t>exercise price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61"/>
              <w:spacing w:after="0"/>
              <w:rPr>
                <w:sz w:val="20"/>
                <w:szCs w:val="20"/>
                <w:color w:val="auto"/>
              </w:rPr>
            </w:pPr>
            <w:r>
              <w:rPr>
                <w:rFonts w:ascii="Arial" w:cs="Arial" w:eastAsia="Arial" w:hAnsi="Arial"/>
                <w:sz w:val="16"/>
                <w:szCs w:val="16"/>
                <w:b w:val="1"/>
                <w:bCs w:val="1"/>
                <w:color w:val="auto"/>
                <w:w w:val="87"/>
              </w:rPr>
              <w:t>Exercise Price</w:t>
            </w:r>
          </w:p>
        </w:tc>
      </w:tr>
      <w:tr>
        <w:trPr>
          <w:trHeight w:val="189"/>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Outstanding, January 1, 2011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649,000</w:t>
            </w: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0.68 - 10.00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6.42</w:t>
            </w: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Granted in 2011</w:t>
            </w:r>
          </w:p>
        </w:tc>
        <w:tc>
          <w:tcPr>
            <w:tcW w:w="1160" w:type="dxa"/>
            <w:vAlign w:val="bottom"/>
          </w:tcPr>
          <w:p>
            <w:pPr>
              <w:jc w:val="right"/>
              <w:spacing w:after="0"/>
              <w:rPr>
                <w:sz w:val="20"/>
                <w:szCs w:val="20"/>
                <w:color w:val="auto"/>
              </w:rPr>
            </w:pPr>
            <w:r>
              <w:rPr>
                <w:rFonts w:ascii="Arial" w:cs="Arial" w:eastAsia="Arial" w:hAnsi="Arial"/>
                <w:sz w:val="16"/>
                <w:szCs w:val="16"/>
                <w:color w:val="auto"/>
              </w:rPr>
              <w:t>206,613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81"/>
              <w:spacing w:after="0"/>
              <w:rPr>
                <w:sz w:val="20"/>
                <w:szCs w:val="20"/>
                <w:color w:val="auto"/>
              </w:rPr>
            </w:pPr>
            <w:r>
              <w:rPr>
                <w:rFonts w:ascii="Arial" w:cs="Arial" w:eastAsia="Arial" w:hAnsi="Arial"/>
                <w:sz w:val="16"/>
                <w:szCs w:val="16"/>
                <w:color w:val="auto"/>
              </w:rPr>
              <w:t>10.00</w:t>
            </w:r>
          </w:p>
        </w:tc>
      </w:tr>
      <w:tr>
        <w:trPr>
          <w:trHeight w:val="212"/>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Exercised in 2011</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(219,000)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0.68 - 3.00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1.94</w:t>
            </w:r>
          </w:p>
        </w:tc>
      </w:tr>
      <w:tr>
        <w:trPr>
          <w:trHeight w:val="24"/>
        </w:trPr>
        <w:tc>
          <w:tcPr>
            <w:tcW w:w="74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Outstanding, December 31, 2011</w:t>
            </w:r>
          </w:p>
        </w:tc>
        <w:tc>
          <w:tcPr>
            <w:tcW w:w="1160" w:type="dxa"/>
            <w:vAlign w:val="bottom"/>
          </w:tcPr>
          <w:p>
            <w:pPr>
              <w:jc w:val="right"/>
              <w:spacing w:after="0"/>
              <w:rPr>
                <w:sz w:val="20"/>
                <w:szCs w:val="20"/>
                <w:color w:val="auto"/>
              </w:rPr>
            </w:pPr>
            <w:r>
              <w:rPr>
                <w:rFonts w:ascii="Arial" w:cs="Arial" w:eastAsia="Arial" w:hAnsi="Arial"/>
                <w:sz w:val="16"/>
                <w:szCs w:val="16"/>
                <w:color w:val="auto"/>
              </w:rPr>
              <w:t>636,613</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3.00 – 10.00</w:t>
            </w:r>
          </w:p>
        </w:tc>
        <w:tc>
          <w:tcPr>
            <w:tcW w:w="1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81"/>
              <w:spacing w:after="0"/>
              <w:rPr>
                <w:sz w:val="20"/>
                <w:szCs w:val="20"/>
                <w:color w:val="auto"/>
              </w:rPr>
            </w:pPr>
            <w:r>
              <w:rPr>
                <w:rFonts w:ascii="Arial" w:cs="Arial" w:eastAsia="Arial" w:hAnsi="Arial"/>
                <w:sz w:val="16"/>
                <w:szCs w:val="16"/>
                <w:color w:val="auto"/>
              </w:rPr>
              <w:t>9.13</w:t>
            </w:r>
          </w:p>
        </w:tc>
      </w:tr>
      <w:tr>
        <w:trPr>
          <w:trHeight w:val="193"/>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Expired in 2012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(80,000)</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3.00</w:t>
            </w:r>
          </w:p>
        </w:tc>
      </w:tr>
      <w:tr>
        <w:trPr>
          <w:trHeight w:val="189"/>
        </w:trPr>
        <w:tc>
          <w:tcPr>
            <w:tcW w:w="744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Outstanding, December 31, 2012</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556,613</w:t>
            </w: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10.00</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CCEEFF"/>
            </w:tcBorders>
          </w:tcPr>
          <w:p>
            <w:pPr>
              <w:jc w:val="right"/>
              <w:ind w:right="381"/>
              <w:spacing w:after="0"/>
              <w:rPr>
                <w:sz w:val="20"/>
                <w:szCs w:val="20"/>
                <w:color w:val="auto"/>
              </w:rPr>
            </w:pPr>
            <w:r>
              <w:rPr>
                <w:rFonts w:ascii="Arial" w:cs="Arial" w:eastAsia="Arial" w:hAnsi="Arial"/>
                <w:sz w:val="16"/>
                <w:szCs w:val="16"/>
                <w:color w:val="auto"/>
              </w:rPr>
              <w:t>10.00</w:t>
            </w:r>
          </w:p>
        </w:tc>
      </w:tr>
      <w:tr>
        <w:trPr>
          <w:trHeight w:val="193"/>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Granted in 2013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9,195,002</w:t>
            </w: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rPr>
              <w:t>5.00</w:t>
            </w:r>
          </w:p>
        </w:tc>
      </w:tr>
      <w:tr>
        <w:trPr>
          <w:trHeight w:val="189"/>
        </w:trPr>
        <w:tc>
          <w:tcPr>
            <w:tcW w:w="7440" w:type="dxa"/>
            <w:vAlign w:val="bottom"/>
          </w:tcPr>
          <w:p>
            <w:pPr>
              <w:spacing w:after="0" w:line="169" w:lineRule="exact"/>
              <w:rPr>
                <w:sz w:val="20"/>
                <w:szCs w:val="20"/>
                <w:color w:val="auto"/>
              </w:rPr>
            </w:pPr>
            <w:r>
              <w:rPr>
                <w:rFonts w:ascii="Arial" w:cs="Arial" w:eastAsia="Arial" w:hAnsi="Arial"/>
                <w:sz w:val="16"/>
                <w:szCs w:val="16"/>
                <w:color w:val="auto"/>
              </w:rPr>
              <w:t>Outstanding, December 31, 2013</w:t>
            </w: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9,751,615</w:t>
            </w:r>
          </w:p>
        </w:tc>
        <w:tc>
          <w:tcPr>
            <w:tcW w:w="240" w:type="dxa"/>
            <w:vAlign w:val="bottom"/>
          </w:tcPr>
          <w:p>
            <w:pPr>
              <w:spacing w:after="0"/>
              <w:rPr>
                <w:sz w:val="16"/>
                <w:szCs w:val="16"/>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5.00 – 10.00</w:t>
            </w:r>
          </w:p>
        </w:tc>
        <w:tc>
          <w:tcPr>
            <w:tcW w:w="2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381"/>
              <w:spacing w:after="0" w:line="169" w:lineRule="exact"/>
              <w:rPr>
                <w:sz w:val="20"/>
                <w:szCs w:val="20"/>
                <w:color w:val="auto"/>
              </w:rPr>
            </w:pPr>
            <w:r>
              <w:rPr>
                <w:rFonts w:ascii="Arial" w:cs="Arial" w:eastAsia="Arial" w:hAnsi="Arial"/>
                <w:sz w:val="16"/>
                <w:szCs w:val="16"/>
                <w:color w:val="auto"/>
              </w:rPr>
              <w:t>5.29</w:t>
            </w: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20" w:firstLine="567"/>
        <w:spacing w:after="0" w:line="267" w:lineRule="auto"/>
        <w:rPr>
          <w:sz w:val="20"/>
          <w:szCs w:val="20"/>
          <w:color w:val="auto"/>
        </w:rPr>
      </w:pPr>
      <w:r>
        <w:rPr>
          <w:rFonts w:ascii="Arial" w:cs="Arial" w:eastAsia="Arial" w:hAnsi="Arial"/>
          <w:sz w:val="16"/>
          <w:szCs w:val="16"/>
          <w:color w:val="auto"/>
        </w:rPr>
        <w:t>At December 31, 2013, 9,751,615 warrants to purchase common shares with a weighted average exercise price of $5.29 and a weighted average remaining contractual life of 0.32 years were outstanding.</w:t>
      </w:r>
    </w:p>
    <w:p>
      <w:pPr>
        <w:spacing w:after="0" w:line="181" w:lineRule="exact"/>
        <w:rPr>
          <w:sz w:val="20"/>
          <w:szCs w:val="20"/>
          <w:color w:val="auto"/>
        </w:rPr>
      </w:pPr>
    </w:p>
    <w:p>
      <w:pPr>
        <w:ind w:right="180" w:firstLine="567"/>
        <w:spacing w:after="0" w:line="267" w:lineRule="auto"/>
        <w:rPr>
          <w:sz w:val="20"/>
          <w:szCs w:val="20"/>
          <w:color w:val="auto"/>
        </w:rPr>
      </w:pPr>
      <w:r>
        <w:rPr>
          <w:rFonts w:ascii="Arial" w:cs="Arial" w:eastAsia="Arial" w:hAnsi="Arial"/>
          <w:sz w:val="16"/>
          <w:szCs w:val="16"/>
          <w:color w:val="auto"/>
        </w:rPr>
        <w:t>At December 31, 2012, 556,613 warrants to purchase common shares with a weighted average exercise price of $10.00 and a weighted average remaining contractual life of 1.32 years were outstanding.</w:t>
      </w:r>
    </w:p>
    <w:p>
      <w:pPr>
        <w:spacing w:after="0" w:line="181" w:lineRule="exact"/>
        <w:rPr>
          <w:sz w:val="20"/>
          <w:szCs w:val="20"/>
          <w:color w:val="auto"/>
        </w:rPr>
      </w:pPr>
    </w:p>
    <w:p>
      <w:pPr>
        <w:ind w:right="80" w:firstLine="567"/>
        <w:spacing w:after="0" w:line="267" w:lineRule="auto"/>
        <w:rPr>
          <w:sz w:val="20"/>
          <w:szCs w:val="20"/>
          <w:color w:val="auto"/>
        </w:rPr>
      </w:pPr>
      <w:r>
        <w:rPr>
          <w:rFonts w:ascii="Arial" w:cs="Arial" w:eastAsia="Arial" w:hAnsi="Arial"/>
          <w:sz w:val="16"/>
          <w:szCs w:val="16"/>
          <w:color w:val="auto"/>
        </w:rPr>
        <w:t>At December 31, 2011, 636,613 warrants to purchase common shares with a weighted average exercise price of $9.13 and a weighted average remaining contractual life of 1.68 years were outstanding.</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all option activity under the subsidiary option plans (see Note 10) for the years ended December 31, 2013, 2012, and 2011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Options</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21"/>
              <w:spacing w:after="0"/>
              <w:rPr>
                <w:sz w:val="20"/>
                <w:szCs w:val="20"/>
                <w:color w:val="auto"/>
              </w:rPr>
            </w:pPr>
            <w:r>
              <w:rPr>
                <w:rFonts w:ascii="Arial" w:cs="Arial" w:eastAsia="Arial" w:hAnsi="Arial"/>
                <w:sz w:val="16"/>
                <w:szCs w:val="16"/>
                <w:b w:val="1"/>
                <w:bCs w:val="1"/>
                <w:color w:val="auto"/>
                <w:w w:val="88"/>
              </w:rPr>
              <w:t>Weighted</w:t>
            </w:r>
          </w:p>
        </w:tc>
      </w:tr>
      <w:tr>
        <w:trPr>
          <w:trHeight w:val="189"/>
        </w:trPr>
        <w:tc>
          <w:tcPr>
            <w:tcW w:w="74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Available for</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Options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41"/>
              <w:spacing w:after="0"/>
              <w:rPr>
                <w:sz w:val="20"/>
                <w:szCs w:val="20"/>
                <w:color w:val="auto"/>
              </w:rPr>
            </w:pPr>
            <w:r>
              <w:rPr>
                <w:rFonts w:ascii="Arial" w:cs="Arial" w:eastAsia="Arial" w:hAnsi="Arial"/>
                <w:sz w:val="16"/>
                <w:szCs w:val="16"/>
                <w:b w:val="1"/>
                <w:bCs w:val="1"/>
                <w:color w:val="auto"/>
                <w:w w:val="85"/>
              </w:rPr>
              <w:t>Average</w:t>
            </w:r>
          </w:p>
        </w:tc>
      </w:tr>
      <w:tr>
        <w:trPr>
          <w:trHeight w:val="209"/>
        </w:trPr>
        <w:tc>
          <w:tcPr>
            <w:tcW w:w="74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Grant</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61"/>
              <w:spacing w:after="0"/>
              <w:rPr>
                <w:sz w:val="20"/>
                <w:szCs w:val="20"/>
                <w:color w:val="auto"/>
              </w:rPr>
            </w:pPr>
            <w:r>
              <w:rPr>
                <w:rFonts w:ascii="Arial" w:cs="Arial" w:eastAsia="Arial" w:hAnsi="Arial"/>
                <w:sz w:val="16"/>
                <w:szCs w:val="16"/>
                <w:b w:val="1"/>
                <w:bCs w:val="1"/>
                <w:color w:val="auto"/>
                <w:w w:val="87"/>
              </w:rPr>
              <w:t>Exercise Price</w:t>
            </w:r>
          </w:p>
        </w:tc>
      </w:tr>
      <w:tr>
        <w:trPr>
          <w:trHeight w:val="189"/>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January 1, 2011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7,703,060</w:t>
            </w:r>
          </w:p>
        </w:tc>
        <w:tc>
          <w:tcPr>
            <w:tcW w:w="2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4,312,640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0.74</w:t>
            </w: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Added upon adoption of option plan in 2011</w:t>
            </w:r>
          </w:p>
        </w:tc>
        <w:tc>
          <w:tcPr>
            <w:tcW w:w="1160" w:type="dxa"/>
            <w:vAlign w:val="bottom"/>
          </w:tcPr>
          <w:p>
            <w:pPr>
              <w:jc w:val="right"/>
              <w:spacing w:after="0"/>
              <w:rPr>
                <w:sz w:val="20"/>
                <w:szCs w:val="20"/>
                <w:color w:val="auto"/>
              </w:rPr>
            </w:pPr>
            <w:r>
              <w:rPr>
                <w:rFonts w:ascii="Arial" w:cs="Arial" w:eastAsia="Arial" w:hAnsi="Arial"/>
                <w:sz w:val="16"/>
                <w:szCs w:val="16"/>
                <w:color w:val="auto"/>
              </w:rPr>
              <w:t>8,000,000</w:t>
            </w:r>
          </w:p>
        </w:tc>
        <w:tc>
          <w:tcPr>
            <w:tcW w:w="24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81"/>
              <w:spacing w:after="0"/>
              <w:rPr>
                <w:sz w:val="20"/>
                <w:szCs w:val="20"/>
                <w:color w:val="auto"/>
              </w:rPr>
            </w:pPr>
            <w:r>
              <w:rPr>
                <w:rFonts w:ascii="Arial" w:cs="Arial" w:eastAsia="Arial" w:hAnsi="Arial"/>
                <w:sz w:val="16"/>
                <w:szCs w:val="16"/>
                <w:color w:val="auto"/>
              </w:rPr>
              <w:t>-</w:t>
            </w:r>
          </w:p>
        </w:tc>
      </w:tr>
      <w:tr>
        <w:trPr>
          <w:trHeight w:val="189"/>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Granted in 2011</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(4,685,000)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4,685,000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0.36</w:t>
            </w:r>
          </w:p>
        </w:tc>
      </w:tr>
      <w:tr>
        <w:trPr>
          <w:trHeight w:val="216"/>
        </w:trPr>
        <w:tc>
          <w:tcPr>
            <w:tcW w:w="7440" w:type="dxa"/>
            <w:vAlign w:val="bottom"/>
          </w:tcPr>
          <w:p>
            <w:pPr>
              <w:spacing w:after="0"/>
              <w:rPr>
                <w:sz w:val="20"/>
                <w:szCs w:val="20"/>
                <w:color w:val="auto"/>
              </w:rPr>
            </w:pPr>
            <w:r>
              <w:rPr>
                <w:rFonts w:ascii="Arial" w:cs="Arial" w:eastAsia="Arial" w:hAnsi="Arial"/>
                <w:sz w:val="16"/>
                <w:szCs w:val="16"/>
                <w:color w:val="auto"/>
              </w:rPr>
              <w:t>Forfeited/Exercised in 2011</w:t>
            </w:r>
          </w:p>
        </w:tc>
        <w:tc>
          <w:tcPr>
            <w:tcW w:w="1160" w:type="dxa"/>
            <w:vAlign w:val="bottom"/>
          </w:tcPr>
          <w:p>
            <w:pPr>
              <w:jc w:val="right"/>
              <w:spacing w:after="0"/>
              <w:rPr>
                <w:sz w:val="20"/>
                <w:szCs w:val="20"/>
                <w:color w:val="auto"/>
              </w:rPr>
            </w:pPr>
            <w:r>
              <w:rPr>
                <w:rFonts w:ascii="Arial" w:cs="Arial" w:eastAsia="Arial" w:hAnsi="Arial"/>
                <w:sz w:val="16"/>
                <w:szCs w:val="16"/>
                <w:color w:val="auto"/>
              </w:rPr>
              <w:t>200,000</w:t>
            </w: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81"/>
              <w:spacing w:after="0"/>
              <w:rPr>
                <w:sz w:val="20"/>
                <w:szCs w:val="20"/>
                <w:color w:val="auto"/>
              </w:rPr>
            </w:pPr>
            <w:r>
              <w:rPr>
                <w:rFonts w:ascii="Arial" w:cs="Arial" w:eastAsia="Arial" w:hAnsi="Arial"/>
                <w:sz w:val="16"/>
                <w:szCs w:val="16"/>
                <w:color w:val="auto"/>
              </w:rPr>
              <w:t>0.05</w:t>
            </w:r>
          </w:p>
        </w:tc>
      </w:tr>
      <w:tr>
        <w:trPr>
          <w:trHeight w:val="189"/>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December 31, 2011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11,218,060</w:t>
            </w:r>
          </w:p>
        </w:tc>
        <w:tc>
          <w:tcPr>
            <w:tcW w:w="2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8,797,640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0.56</w:t>
            </w: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Reverse stock split and change in plan in 2012</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(3,697,014)</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(2,460,717)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81"/>
              <w:spacing w:after="0"/>
              <w:rPr>
                <w:sz w:val="20"/>
                <w:szCs w:val="20"/>
                <w:color w:val="auto"/>
              </w:rPr>
            </w:pPr>
            <w:r>
              <w:rPr>
                <w:rFonts w:ascii="Arial" w:cs="Arial" w:eastAsia="Arial" w:hAnsi="Arial"/>
                <w:sz w:val="16"/>
                <w:szCs w:val="16"/>
                <w:color w:val="auto"/>
              </w:rPr>
              <w:t>-</w:t>
            </w:r>
          </w:p>
        </w:tc>
      </w:tr>
      <w:tr>
        <w:trPr>
          <w:trHeight w:val="189"/>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Granted in 2012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(1,479,490)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1,479,490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1.39</w:t>
            </w:r>
          </w:p>
        </w:tc>
      </w:tr>
      <w:tr>
        <w:trPr>
          <w:trHeight w:val="216"/>
        </w:trPr>
        <w:tc>
          <w:tcPr>
            <w:tcW w:w="7440" w:type="dxa"/>
            <w:vAlign w:val="bottom"/>
          </w:tcPr>
          <w:p>
            <w:pPr>
              <w:spacing w:after="0"/>
              <w:rPr>
                <w:sz w:val="20"/>
                <w:szCs w:val="20"/>
                <w:color w:val="auto"/>
              </w:rPr>
            </w:pPr>
            <w:r>
              <w:rPr>
                <w:rFonts w:ascii="Arial" w:cs="Arial" w:eastAsia="Arial" w:hAnsi="Arial"/>
                <w:sz w:val="16"/>
                <w:szCs w:val="16"/>
                <w:color w:val="auto"/>
              </w:rPr>
              <w:t>Forfeited/Exercised in 2012</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81"/>
              <w:spacing w:after="0"/>
              <w:rPr>
                <w:sz w:val="20"/>
                <w:szCs w:val="20"/>
                <w:color w:val="auto"/>
              </w:rPr>
            </w:pPr>
            <w:r>
              <w:rPr>
                <w:rFonts w:ascii="Arial" w:cs="Arial" w:eastAsia="Arial" w:hAnsi="Arial"/>
                <w:sz w:val="16"/>
                <w:szCs w:val="16"/>
                <w:color w:val="auto"/>
              </w:rPr>
              <w:t>-</w:t>
            </w:r>
          </w:p>
        </w:tc>
      </w:tr>
      <w:tr>
        <w:trPr>
          <w:trHeight w:val="189"/>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December 31, 2012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6,041,556</w:t>
            </w:r>
          </w:p>
        </w:tc>
        <w:tc>
          <w:tcPr>
            <w:tcW w:w="2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7,816,413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0.93</w:t>
            </w:r>
          </w:p>
        </w:tc>
      </w:tr>
      <w:tr>
        <w:trPr>
          <w:trHeight w:val="189"/>
        </w:trPr>
        <w:tc>
          <w:tcPr>
            <w:tcW w:w="7440" w:type="dxa"/>
            <w:vAlign w:val="bottom"/>
          </w:tcPr>
          <w:p>
            <w:pPr>
              <w:spacing w:after="0"/>
              <w:rPr>
                <w:sz w:val="20"/>
                <w:szCs w:val="20"/>
                <w:color w:val="auto"/>
              </w:rPr>
            </w:pPr>
            <w:r>
              <w:rPr>
                <w:rFonts w:ascii="Arial" w:cs="Arial" w:eastAsia="Arial" w:hAnsi="Arial"/>
                <w:sz w:val="16"/>
                <w:szCs w:val="16"/>
                <w:color w:val="auto"/>
              </w:rPr>
              <w:t>Increase option pool</w:t>
            </w:r>
          </w:p>
        </w:tc>
        <w:tc>
          <w:tcPr>
            <w:tcW w:w="1160" w:type="dxa"/>
            <w:vAlign w:val="bottom"/>
          </w:tcPr>
          <w:p>
            <w:pPr>
              <w:jc w:val="right"/>
              <w:spacing w:after="0"/>
              <w:rPr>
                <w:sz w:val="20"/>
                <w:szCs w:val="20"/>
                <w:color w:val="auto"/>
              </w:rPr>
            </w:pPr>
            <w:r>
              <w:rPr>
                <w:rFonts w:ascii="Arial" w:cs="Arial" w:eastAsia="Arial" w:hAnsi="Arial"/>
                <w:sz w:val="16"/>
                <w:szCs w:val="16"/>
                <w:color w:val="auto"/>
              </w:rPr>
              <w:t>500,000</w:t>
            </w:r>
          </w:p>
        </w:tc>
        <w:tc>
          <w:tcPr>
            <w:tcW w:w="24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81"/>
              <w:spacing w:after="0"/>
              <w:rPr>
                <w:sz w:val="20"/>
                <w:szCs w:val="20"/>
                <w:color w:val="auto"/>
              </w:rPr>
            </w:pPr>
            <w:r>
              <w:rPr>
                <w:rFonts w:ascii="Arial" w:cs="Arial" w:eastAsia="Arial" w:hAnsi="Arial"/>
                <w:sz w:val="16"/>
                <w:szCs w:val="16"/>
                <w:color w:val="auto"/>
              </w:rPr>
              <w:t>-</w:t>
            </w:r>
          </w:p>
        </w:tc>
      </w:tr>
      <w:tr>
        <w:trPr>
          <w:trHeight w:val="189"/>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Granted in 2013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(4,434,995)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4,434,995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2.11</w:t>
            </w:r>
          </w:p>
        </w:tc>
      </w:tr>
      <w:tr>
        <w:trPr>
          <w:trHeight w:val="212"/>
        </w:trPr>
        <w:tc>
          <w:tcPr>
            <w:tcW w:w="7440" w:type="dxa"/>
            <w:vAlign w:val="bottom"/>
          </w:tcPr>
          <w:p>
            <w:pPr>
              <w:spacing w:after="0"/>
              <w:rPr>
                <w:sz w:val="20"/>
                <w:szCs w:val="20"/>
                <w:color w:val="auto"/>
              </w:rPr>
            </w:pPr>
            <w:r>
              <w:rPr>
                <w:rFonts w:ascii="Arial" w:cs="Arial" w:eastAsia="Arial" w:hAnsi="Arial"/>
                <w:sz w:val="16"/>
                <w:szCs w:val="16"/>
                <w:color w:val="auto"/>
              </w:rPr>
              <w:t>Expired/Forfeited/Exercised in 2013</w:t>
            </w:r>
          </w:p>
        </w:tc>
        <w:tc>
          <w:tcPr>
            <w:tcW w:w="1160" w:type="dxa"/>
            <w:vAlign w:val="bottom"/>
          </w:tcPr>
          <w:p>
            <w:pPr>
              <w:jc w:val="right"/>
              <w:spacing w:after="0"/>
              <w:rPr>
                <w:sz w:val="20"/>
                <w:szCs w:val="20"/>
                <w:color w:val="auto"/>
              </w:rPr>
            </w:pPr>
            <w:r>
              <w:rPr>
                <w:rFonts w:ascii="Arial" w:cs="Arial" w:eastAsia="Arial" w:hAnsi="Arial"/>
                <w:sz w:val="16"/>
                <w:szCs w:val="16"/>
                <w:color w:val="auto"/>
              </w:rPr>
              <w:t>785,000</w:t>
            </w: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(785,000)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81"/>
              <w:spacing w:after="0"/>
              <w:rPr>
                <w:sz w:val="20"/>
                <w:szCs w:val="20"/>
                <w:color w:val="auto"/>
              </w:rPr>
            </w:pPr>
            <w:r>
              <w:rPr>
                <w:rFonts w:ascii="Arial" w:cs="Arial" w:eastAsia="Arial" w:hAnsi="Arial"/>
                <w:sz w:val="16"/>
                <w:szCs w:val="16"/>
                <w:color w:val="auto"/>
              </w:rPr>
              <w:t>1.95</w:t>
            </w:r>
          </w:p>
        </w:tc>
      </w:tr>
      <w:tr>
        <w:trPr>
          <w:trHeight w:val="24"/>
        </w:trPr>
        <w:tc>
          <w:tcPr>
            <w:tcW w:w="74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r>
        <w:trPr>
          <w:trHeight w:val="256"/>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December 31, 2013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2,891,561</w:t>
            </w:r>
          </w:p>
        </w:tc>
        <w:tc>
          <w:tcPr>
            <w:tcW w:w="2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11,466,408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1.32</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Preferred Shares</w:t>
      </w:r>
    </w:p>
    <w:p>
      <w:pPr>
        <w:spacing w:after="0" w:line="218" w:lineRule="exact"/>
        <w:rPr>
          <w:sz w:val="20"/>
          <w:szCs w:val="20"/>
          <w:color w:val="auto"/>
        </w:rPr>
      </w:pPr>
    </w:p>
    <w:p>
      <w:pPr>
        <w:ind w:right="80" w:firstLine="624"/>
        <w:spacing w:after="0" w:line="296" w:lineRule="auto"/>
        <w:rPr>
          <w:sz w:val="20"/>
          <w:szCs w:val="20"/>
          <w:color w:val="auto"/>
        </w:rPr>
      </w:pPr>
      <w:r>
        <w:rPr>
          <w:rFonts w:ascii="Arial" w:cs="Arial" w:eastAsia="Arial" w:hAnsi="Arial"/>
          <w:sz w:val="14"/>
          <w:szCs w:val="14"/>
          <w:color w:val="auto"/>
        </w:rPr>
        <w:t>BioTime is authorized to issue 2,000,000 preferred shares. BioTime’s shareholders approved an increase in the number of authorized preferred shares from 1,000,000 to 2,000,000 in May 2013. The preferred shares may be issued in one or more series as the board of directors may by resolution determine. The board of directors is authorized to fix the number of shares of any series of preferred shares and to determine or alter the rights, references, privileges, and restrictions granted to or imposed on the preferred shares as a class, or upon any wholly unissued series of any preferred shares. The board of directors may, by resolution, increase or decrease (but not below the number of shares of such series then outstanding) the number of shares of any series of preferred shares subsequent to the issue of shares of that series.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15" w:name="page116"/>
    <w:bookmarkEnd w:id="11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2013 and 2012, BioTime has no issued and outstanding preferred shares.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Common shares</w:t>
      </w:r>
    </w:p>
    <w:p>
      <w:pPr>
        <w:spacing w:after="0" w:line="218" w:lineRule="exact"/>
        <w:rPr>
          <w:sz w:val="20"/>
          <w:szCs w:val="20"/>
          <w:color w:val="auto"/>
        </w:rPr>
      </w:pPr>
    </w:p>
    <w:p>
      <w:pPr>
        <w:ind w:right="140" w:firstLine="567"/>
        <w:spacing w:after="0" w:line="301" w:lineRule="auto"/>
        <w:rPr>
          <w:sz w:val="20"/>
          <w:szCs w:val="20"/>
          <w:color w:val="auto"/>
        </w:rPr>
      </w:pPr>
      <w:r>
        <w:rPr>
          <w:rFonts w:ascii="Arial" w:cs="Arial" w:eastAsia="Arial" w:hAnsi="Arial"/>
          <w:sz w:val="14"/>
          <w:szCs w:val="14"/>
          <w:color w:val="auto"/>
        </w:rPr>
        <w:t>BioTime is authorized to issue 125,000,000 common shares with no par value. BioTime’s shareholders approved an increase in the number of authorized common shares from 75,000,000 to 125,000,000 in May 2013. As of December 31, 2013, BioTime has 67,412,139 issued and 56,714,424 outstanding common shares. As of December 31, 2012, BioTime had 51,183,318 issued and 49,383,209 outstanding common shares. The difference of 10,697,715 and 1,800,109 common shares as of December 31, 2013 and 2012, respectively is attributed to treasury shares held by BioTime subsidiaries which are accounted for as treasury stock on the consolidated balance sheet.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Significant common share transactions during the year ended December 31, 2013 are as follows:</w:t>
      </w:r>
    </w:p>
    <w:p>
      <w:pPr>
        <w:spacing w:after="0" w:line="218" w:lineRule="exact"/>
        <w:rPr>
          <w:sz w:val="20"/>
          <w:szCs w:val="20"/>
          <w:color w:val="auto"/>
        </w:rPr>
      </w:pPr>
    </w:p>
    <w:p>
      <w:pPr>
        <w:jc w:val="both"/>
        <w:ind w:left="840" w:right="200" w:hanging="278"/>
        <w:spacing w:after="0" w:line="270" w:lineRule="auto"/>
        <w:tabs>
          <w:tab w:leader="none" w:pos="840" w:val="left"/>
        </w:tabs>
        <w:numPr>
          <w:ilvl w:val="0"/>
          <w:numId w:val="44"/>
        </w:numPr>
        <w:rPr>
          <w:rFonts w:ascii="Arial" w:cs="Arial" w:eastAsia="Arial" w:hAnsi="Arial"/>
          <w:sz w:val="16"/>
          <w:szCs w:val="16"/>
          <w:color w:val="auto"/>
        </w:rPr>
      </w:pPr>
      <w:r>
        <w:rPr>
          <w:rFonts w:ascii="Arial" w:cs="Arial" w:eastAsia="Arial" w:hAnsi="Arial"/>
          <w:sz w:val="15"/>
          <w:szCs w:val="15"/>
          <w:color w:val="auto"/>
        </w:rPr>
        <w:t>In January 2013, as additional consideration for the lease for an office and research facility located in Menlo Park, California, BioTime issued to the landlord 73,553 BioTime common shares having a market value of $242,726, determined based upon the average closing price of BioTime common shares on the NYSE MKT for a designated period of time prior to the signing of the lease. For accounting purposes, these shares were revalued at $253,758 which was based on the closing price of BioTime common shares on the NYSE MKT on the date the lease was fully executed at which time the shares were issued.</w:t>
      </w:r>
    </w:p>
    <w:p>
      <w:pPr>
        <w:spacing w:after="0" w:line="179" w:lineRule="exact"/>
        <w:rPr>
          <w:rFonts w:ascii="Arial" w:cs="Arial" w:eastAsia="Arial" w:hAnsi="Arial"/>
          <w:sz w:val="16"/>
          <w:szCs w:val="16"/>
          <w:color w:val="auto"/>
        </w:rPr>
      </w:pPr>
    </w:p>
    <w:p>
      <w:pPr>
        <w:ind w:left="840" w:right="420" w:hanging="278"/>
        <w:spacing w:after="0" w:line="323" w:lineRule="auto"/>
        <w:tabs>
          <w:tab w:leader="none" w:pos="840" w:val="left"/>
        </w:tabs>
        <w:numPr>
          <w:ilvl w:val="0"/>
          <w:numId w:val="44"/>
        </w:numPr>
        <w:rPr>
          <w:rFonts w:ascii="Arial" w:cs="Arial" w:eastAsia="Arial" w:hAnsi="Arial"/>
          <w:sz w:val="15"/>
          <w:szCs w:val="15"/>
          <w:color w:val="auto"/>
        </w:rPr>
      </w:pPr>
      <w:r>
        <w:rPr>
          <w:rFonts w:ascii="Arial" w:cs="Arial" w:eastAsia="Arial" w:hAnsi="Arial"/>
          <w:sz w:val="14"/>
          <w:szCs w:val="14"/>
          <w:color w:val="auto"/>
        </w:rPr>
        <w:t>In January 2013, BioTime and a private investor entered into a Stock and Warrant Purchase Agreement under which BioTime received $5,000,000 for the sale of 1,350,000 BioTime common shares and warrants to purchase 649,999 additional BioTime common shares at an exercise price of $5.00 per share.</w:t>
      </w:r>
    </w:p>
    <w:p>
      <w:pPr>
        <w:spacing w:after="0" w:line="142" w:lineRule="exact"/>
        <w:rPr>
          <w:rFonts w:ascii="Arial" w:cs="Arial" w:eastAsia="Arial" w:hAnsi="Arial"/>
          <w:sz w:val="15"/>
          <w:szCs w:val="15"/>
          <w:color w:val="auto"/>
        </w:rPr>
      </w:pPr>
    </w:p>
    <w:p>
      <w:pPr>
        <w:ind w:left="840" w:right="100" w:hanging="278"/>
        <w:spacing w:after="0" w:line="253" w:lineRule="auto"/>
        <w:tabs>
          <w:tab w:leader="none" w:pos="840" w:val="left"/>
        </w:tabs>
        <w:numPr>
          <w:ilvl w:val="0"/>
          <w:numId w:val="44"/>
        </w:numPr>
        <w:rPr>
          <w:rFonts w:ascii="Arial" w:cs="Arial" w:eastAsia="Arial" w:hAnsi="Arial"/>
          <w:sz w:val="17"/>
          <w:szCs w:val="17"/>
          <w:color w:val="auto"/>
        </w:rPr>
      </w:pPr>
      <w:r>
        <w:rPr>
          <w:rFonts w:ascii="Arial" w:cs="Arial" w:eastAsia="Arial" w:hAnsi="Arial"/>
          <w:sz w:val="16"/>
          <w:szCs w:val="16"/>
          <w:color w:val="auto"/>
        </w:rPr>
        <w:t>In January 2013, in accordance with a November 1, 2012 Share Purchase Agreement between BioTime and Cell Cure Neurosciences, BioTime purchased 87,456 Cell Cure Neurosciences ordinary shares in exchange for 906,735 of BioTime common shares.</w:t>
      </w:r>
    </w:p>
    <w:p>
      <w:pPr>
        <w:spacing w:after="0" w:line="190" w:lineRule="exact"/>
        <w:rPr>
          <w:rFonts w:ascii="Arial" w:cs="Arial" w:eastAsia="Arial" w:hAnsi="Arial"/>
          <w:sz w:val="17"/>
          <w:szCs w:val="17"/>
          <w:color w:val="auto"/>
        </w:rPr>
      </w:pPr>
    </w:p>
    <w:p>
      <w:pPr>
        <w:ind w:left="840" w:hanging="278"/>
        <w:spacing w:after="0" w:line="248" w:lineRule="auto"/>
        <w:tabs>
          <w:tab w:leader="none" w:pos="840" w:val="left"/>
        </w:tabs>
        <w:numPr>
          <w:ilvl w:val="0"/>
          <w:numId w:val="44"/>
        </w:numPr>
        <w:rPr>
          <w:rFonts w:ascii="Arial" w:cs="Arial" w:eastAsia="Arial" w:hAnsi="Arial"/>
          <w:sz w:val="17"/>
          <w:szCs w:val="17"/>
          <w:color w:val="auto"/>
        </w:rPr>
      </w:pPr>
      <w:r>
        <w:rPr>
          <w:rFonts w:ascii="Arial" w:cs="Arial" w:eastAsia="Arial" w:hAnsi="Arial"/>
          <w:sz w:val="16"/>
          <w:szCs w:val="16"/>
          <w:color w:val="auto"/>
        </w:rPr>
        <w:t>In June 2013, BioTime sold an aggregate of 2,180,016 common shares and 545,004 warrants to purchase common shares, in "units" with each unit consisting of one common share and one-quarter of a warrant, at an offering price of $4.155 per unit, to certain investors through an offering registered under the Securities Act. BioTime received gross proceeds of $9,057,967 from the sale of the common shares and warrants. The warrants have an initial exercise price of $5.00 per share and are exercisable during the five year period beginning on the date of issuance, June 6, 2013.</w:t>
      </w:r>
    </w:p>
    <w:p>
      <w:pPr>
        <w:spacing w:after="0" w:line="196" w:lineRule="exact"/>
        <w:rPr>
          <w:rFonts w:ascii="Arial" w:cs="Arial" w:eastAsia="Arial" w:hAnsi="Arial"/>
          <w:sz w:val="17"/>
          <w:szCs w:val="17"/>
          <w:color w:val="auto"/>
        </w:rPr>
      </w:pPr>
    </w:p>
    <w:p>
      <w:pPr>
        <w:ind w:left="840" w:hanging="278"/>
        <w:spacing w:after="0"/>
        <w:tabs>
          <w:tab w:leader="none" w:pos="840" w:val="left"/>
        </w:tabs>
        <w:numPr>
          <w:ilvl w:val="0"/>
          <w:numId w:val="44"/>
        </w:numPr>
        <w:rPr>
          <w:rFonts w:ascii="Arial" w:cs="Arial" w:eastAsia="Arial" w:hAnsi="Arial"/>
          <w:sz w:val="15"/>
          <w:szCs w:val="15"/>
          <w:color w:val="auto"/>
        </w:rPr>
      </w:pPr>
      <w:r>
        <w:rPr>
          <w:rFonts w:ascii="Arial" w:cs="Arial" w:eastAsia="Arial" w:hAnsi="Arial"/>
          <w:sz w:val="14"/>
          <w:szCs w:val="14"/>
          <w:color w:val="auto"/>
        </w:rPr>
        <w:t>In October 2013, BioTime issued 8,902,077 common shares and warrants to purchase 8,000,000 common shares to Asterias under the Asset Contribution Agreement.</w:t>
      </w:r>
    </w:p>
    <w:p>
      <w:pPr>
        <w:spacing w:after="0" w:line="241" w:lineRule="exact"/>
        <w:rPr>
          <w:rFonts w:ascii="Arial" w:cs="Arial" w:eastAsia="Arial" w:hAnsi="Arial"/>
          <w:sz w:val="15"/>
          <w:szCs w:val="15"/>
          <w:color w:val="auto"/>
        </w:rPr>
      </w:pPr>
    </w:p>
    <w:p>
      <w:pPr>
        <w:ind w:left="840" w:right="680" w:hanging="278"/>
        <w:spacing w:after="0" w:line="252" w:lineRule="auto"/>
        <w:tabs>
          <w:tab w:leader="none" w:pos="840" w:val="left"/>
        </w:tabs>
        <w:numPr>
          <w:ilvl w:val="0"/>
          <w:numId w:val="44"/>
        </w:numPr>
        <w:rPr>
          <w:rFonts w:ascii="Arial" w:cs="Arial" w:eastAsia="Arial" w:hAnsi="Arial"/>
          <w:sz w:val="17"/>
          <w:szCs w:val="17"/>
          <w:color w:val="auto"/>
        </w:rPr>
      </w:pPr>
      <w:r>
        <w:rPr>
          <w:rFonts w:ascii="Arial" w:cs="Arial" w:eastAsia="Arial" w:hAnsi="Arial"/>
          <w:sz w:val="16"/>
          <w:szCs w:val="16"/>
          <w:color w:val="auto"/>
        </w:rPr>
        <w:t>During 2013 BioTime sold 3,665,646 BioTime common shares for gross proceeds of $15,722,339 at prevailing market prices through BioTime’s $25 million Controlled Equity Offering facility which was established with Cantor Fitzgerald &amp; Co.</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Significant common share transactions during the year ended December 31, 2012 are as follows:</w:t>
      </w:r>
    </w:p>
    <w:p>
      <w:pPr>
        <w:spacing w:after="0" w:line="218" w:lineRule="exact"/>
        <w:rPr>
          <w:sz w:val="20"/>
          <w:szCs w:val="20"/>
          <w:color w:val="auto"/>
        </w:rPr>
      </w:pPr>
    </w:p>
    <w:p>
      <w:pPr>
        <w:ind w:left="840" w:hanging="278"/>
        <w:spacing w:after="0"/>
        <w:tabs>
          <w:tab w:leader="none" w:pos="840" w:val="left"/>
        </w:tabs>
        <w:numPr>
          <w:ilvl w:val="0"/>
          <w:numId w:val="45"/>
        </w:numPr>
        <w:rPr>
          <w:rFonts w:ascii="Arial" w:cs="Arial" w:eastAsia="Arial" w:hAnsi="Arial"/>
          <w:sz w:val="17"/>
          <w:szCs w:val="17"/>
          <w:color w:val="auto"/>
        </w:rPr>
      </w:pPr>
      <w:r>
        <w:rPr>
          <w:rFonts w:ascii="Arial" w:cs="Arial" w:eastAsia="Arial" w:hAnsi="Arial"/>
          <w:sz w:val="16"/>
          <w:szCs w:val="16"/>
          <w:color w:val="auto"/>
        </w:rPr>
        <w:t>BioTime received total cash of $286,552 for the exercise of 98,541 options at a weighted average exercise price of $2.91.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6" w:name="page117"/>
    <w:bookmarkEnd w:id="116"/>
    <w:p>
      <w:pPr>
        <w:ind w:left="5"/>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845" w:hanging="278"/>
        <w:spacing w:after="0"/>
        <w:tabs>
          <w:tab w:leader="none" w:pos="845" w:val="left"/>
        </w:tabs>
        <w:numPr>
          <w:ilvl w:val="1"/>
          <w:numId w:val="46"/>
        </w:numPr>
        <w:rPr>
          <w:rFonts w:ascii="Arial" w:cs="Arial" w:eastAsia="Arial" w:hAnsi="Arial"/>
          <w:sz w:val="17"/>
          <w:szCs w:val="17"/>
          <w:color w:val="auto"/>
        </w:rPr>
      </w:pPr>
      <w:r>
        <w:rPr>
          <w:rFonts w:ascii="Arial" w:cs="Arial" w:eastAsia="Arial" w:hAnsi="Arial"/>
          <w:sz w:val="16"/>
          <w:szCs w:val="16"/>
          <w:color w:val="auto"/>
        </w:rPr>
        <w:t>BioTime issued 448,429 common shares as consideration for the merger of XenneX, Inc. with LifeMap Sciences.</w:t>
      </w:r>
    </w:p>
    <w:p>
      <w:pPr>
        <w:spacing w:after="0" w:line="218" w:lineRule="exact"/>
        <w:rPr>
          <w:rFonts w:ascii="Arial" w:cs="Arial" w:eastAsia="Arial" w:hAnsi="Arial"/>
          <w:sz w:val="17"/>
          <w:szCs w:val="17"/>
          <w:color w:val="auto"/>
        </w:rPr>
      </w:pPr>
    </w:p>
    <w:p>
      <w:pPr>
        <w:ind w:left="845" w:hanging="278"/>
        <w:spacing w:after="0" w:line="248" w:lineRule="auto"/>
        <w:tabs>
          <w:tab w:leader="none" w:pos="845" w:val="left"/>
        </w:tabs>
        <w:numPr>
          <w:ilvl w:val="1"/>
          <w:numId w:val="46"/>
        </w:numPr>
        <w:rPr>
          <w:rFonts w:ascii="Arial" w:cs="Arial" w:eastAsia="Arial" w:hAnsi="Arial"/>
          <w:sz w:val="17"/>
          <w:szCs w:val="17"/>
          <w:color w:val="auto"/>
        </w:rPr>
      </w:pPr>
      <w:r>
        <w:rPr>
          <w:rFonts w:ascii="Arial" w:cs="Arial" w:eastAsia="Arial" w:hAnsi="Arial"/>
          <w:sz w:val="16"/>
          <w:szCs w:val="16"/>
          <w:color w:val="auto"/>
        </w:rPr>
        <w:t>In July and in December 2012, LifeMap Sciences received $250,000 cash and 592,533 BioTime common shares having a market value of $2,750,003 from certain private investors in exchange for 1,714,287 LifeMap Sciences shares of common stock. LifeMap Sciences sold 78,598 BioTime common shares for gross proceeds of $282,826 during 2012 and the remaining 513,935 BioTime common shares held by LifeMap Sciences are accounted for as treasury stock as of December 31, 2012. See Note 8.</w:t>
      </w:r>
    </w:p>
    <w:p>
      <w:pPr>
        <w:spacing w:after="0" w:line="196" w:lineRule="exact"/>
        <w:rPr>
          <w:rFonts w:ascii="Arial" w:cs="Arial" w:eastAsia="Arial" w:hAnsi="Arial"/>
          <w:sz w:val="17"/>
          <w:szCs w:val="17"/>
          <w:color w:val="auto"/>
        </w:rPr>
      </w:pPr>
    </w:p>
    <w:p>
      <w:pPr>
        <w:ind w:left="845" w:right="480" w:hanging="278"/>
        <w:spacing w:after="0" w:line="253" w:lineRule="auto"/>
        <w:tabs>
          <w:tab w:leader="none" w:pos="845" w:val="left"/>
        </w:tabs>
        <w:numPr>
          <w:ilvl w:val="1"/>
          <w:numId w:val="46"/>
        </w:numPr>
        <w:rPr>
          <w:rFonts w:ascii="Arial" w:cs="Arial" w:eastAsia="Arial" w:hAnsi="Arial"/>
          <w:sz w:val="17"/>
          <w:szCs w:val="17"/>
          <w:color w:val="auto"/>
        </w:rPr>
      </w:pPr>
      <w:r>
        <w:rPr>
          <w:rFonts w:ascii="Arial" w:cs="Arial" w:eastAsia="Arial" w:hAnsi="Arial"/>
          <w:sz w:val="16"/>
          <w:szCs w:val="16"/>
          <w:color w:val="auto"/>
        </w:rPr>
        <w:t>During 2012 BioTime sold 314,386 BioTime common shares for gross proceeds of $1,131,279 at prevailing market prices through BioTime’s Controlled Equity Offering facility with Cantor Fitzgerald &amp; Co.</w:t>
      </w:r>
    </w:p>
    <w:p>
      <w:pPr>
        <w:spacing w:after="0" w:line="186" w:lineRule="exact"/>
        <w:rPr>
          <w:rFonts w:ascii="Arial" w:cs="Arial" w:eastAsia="Arial" w:hAnsi="Arial"/>
          <w:sz w:val="17"/>
          <w:szCs w:val="17"/>
          <w:color w:val="auto"/>
        </w:rPr>
      </w:pPr>
    </w:p>
    <w:p>
      <w:pPr>
        <w:ind w:left="245" w:hanging="245"/>
        <w:spacing w:after="0"/>
        <w:tabs>
          <w:tab w:leader="none" w:pos="245"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Stock Option Plans</w:t>
      </w:r>
    </w:p>
    <w:p>
      <w:pPr>
        <w:spacing w:after="0" w:line="222" w:lineRule="exact"/>
        <w:rPr>
          <w:sz w:val="20"/>
          <w:szCs w:val="20"/>
          <w:color w:val="auto"/>
        </w:rPr>
      </w:pPr>
    </w:p>
    <w:p>
      <w:pPr>
        <w:ind w:left="5" w:firstLine="567"/>
        <w:spacing w:after="0" w:line="257" w:lineRule="auto"/>
        <w:rPr>
          <w:sz w:val="20"/>
          <w:szCs w:val="20"/>
          <w:color w:val="auto"/>
        </w:rPr>
      </w:pPr>
      <w:r>
        <w:rPr>
          <w:rFonts w:ascii="Arial" w:cs="Arial" w:eastAsia="Arial" w:hAnsi="Arial"/>
          <w:sz w:val="16"/>
          <w:szCs w:val="16"/>
          <w:color w:val="auto"/>
        </w:rPr>
        <w:t>During 2002, BioTime adopted the 2002 Employee Stock Option Plan (the “2002 Plan”), which was amended in 2004, 2007, and 2009 to reserve additional common shares for issuance under options or restricted stock awards granted to eligible persons. The 2002 Plan expired during September 2012 and no additional grants of options or awards of restricted stock may be made under the 2002 Plan.</w:t>
      </w:r>
    </w:p>
    <w:p>
      <w:pPr>
        <w:spacing w:after="0" w:line="189" w:lineRule="exact"/>
        <w:rPr>
          <w:sz w:val="20"/>
          <w:szCs w:val="20"/>
          <w:color w:val="auto"/>
        </w:rPr>
      </w:pPr>
    </w:p>
    <w:p>
      <w:pPr>
        <w:ind w:left="5" w:right="20" w:firstLine="567"/>
        <w:spacing w:after="0" w:line="267" w:lineRule="auto"/>
        <w:rPr>
          <w:sz w:val="20"/>
          <w:szCs w:val="20"/>
          <w:color w:val="auto"/>
        </w:rPr>
      </w:pPr>
      <w:r>
        <w:rPr>
          <w:rFonts w:ascii="Arial" w:cs="Arial" w:eastAsia="Arial" w:hAnsi="Arial"/>
          <w:sz w:val="15"/>
          <w:szCs w:val="15"/>
          <w:color w:val="auto"/>
        </w:rPr>
        <w:t>During December 2012, BioTime’s Board of Directors approved the 2012 Equity Incentive Plan (the “2012 Plan”) under which BioTime has reserved 4,000,000 common shares for the grant of stock options or the sale of restricted stock. No options may be granted under the 2012 Plan more than ten years after the date upon which the 2012 Plan was adopted by the Board of Directors, and no options granted under the 2012 Plan may be exercised after the expiration of ten years from the date of grant. Under the 2012 Plan, options to purchase common shares may be granted to employees, directors and certain consultants at prices not less than the fair market value at date of grant, subject to certain limited exceptions for options granted in substitution of other options. Options may be fully exercisable immediately, or may be exercisable according to a schedule or conditions specified by the Board of Directors or the Compensation Committee. The 2012 Plan also permits BioTime to award restricted stock for services rendered or to sell common shares to employees subject to vesting provisions under restricted stock agreements that provide for forfeiture of unvested shares upon the occurrence of specified events under a restricted stock award agreement. BioTime may permit employees or consultants, but not officers or directors, who purchase stock under restricted stock purchase agreements, to pay for their shares by delivering a promissory note that is secured by a pledge of their shares.</w:t>
      </w:r>
    </w:p>
    <w:p>
      <w:pPr>
        <w:spacing w:after="0" w:line="187" w:lineRule="exact"/>
        <w:rPr>
          <w:sz w:val="20"/>
          <w:szCs w:val="20"/>
          <w:color w:val="auto"/>
        </w:rPr>
      </w:pPr>
    </w:p>
    <w:p>
      <w:pPr>
        <w:ind w:left="5" w:right="40" w:firstLine="567"/>
        <w:spacing w:after="0" w:line="253" w:lineRule="auto"/>
        <w:rPr>
          <w:sz w:val="20"/>
          <w:szCs w:val="20"/>
          <w:color w:val="auto"/>
        </w:rPr>
      </w:pPr>
      <w:r>
        <w:rPr>
          <w:rFonts w:ascii="Arial" w:cs="Arial" w:eastAsia="Arial" w:hAnsi="Arial"/>
          <w:sz w:val="16"/>
          <w:szCs w:val="16"/>
          <w:color w:val="auto"/>
        </w:rPr>
        <w:t>BioTime may also grant stock appreciation rights (“SARs”) and hypothetical units issued with reference to BioTime common shares (“Restricted Stock Units”) under the Plan. An SAR is the right to receive, upon exercise, an amount payable in cash or shares or a combination of shares and cash, as determined by the Board of Directors or the Compensation Committee, equal to the number of shares subject to the SAR that is being exercised multiplied by the excess of (a) the fair market value of a BioTime common share on the date the SAR is exercised, over (b) the exercise price specified in the SAR Award agreement.</w:t>
      </w:r>
    </w:p>
    <w:p>
      <w:pPr>
        <w:spacing w:after="0" w:line="193" w:lineRule="exact"/>
        <w:rPr>
          <w:sz w:val="20"/>
          <w:szCs w:val="20"/>
          <w:color w:val="auto"/>
        </w:rPr>
      </w:pPr>
    </w:p>
    <w:p>
      <w:pPr>
        <w:ind w:left="5" w:right="80" w:firstLine="567"/>
        <w:spacing w:after="0" w:line="276" w:lineRule="auto"/>
        <w:rPr>
          <w:sz w:val="20"/>
          <w:szCs w:val="20"/>
          <w:color w:val="auto"/>
        </w:rPr>
      </w:pPr>
      <w:r>
        <w:rPr>
          <w:rFonts w:ascii="Arial" w:cs="Arial" w:eastAsia="Arial" w:hAnsi="Arial"/>
          <w:sz w:val="15"/>
          <w:szCs w:val="15"/>
          <w:color w:val="auto"/>
        </w:rPr>
        <w:t>The terms and conditions of a grant of Restricted Stock Units will be determined by the Board of Directors or Compensation Committee. No shares of stock will be issued at the time a Restricted Stock Unit is granted, and BioTime will not be required to set aside a fund for the payment of any such award. A recipient of Restricted Stock Units will have no voting rights with respect to the Restricted Stock Units. Upon the expiration of the restrictions applicable to a Restricted Stock Unit, BioTime will either issue to the recipient, without charge, one common share per Restricted Stock Unit or cash in an amount equal to the fair market value of one common share.</w:t>
      </w:r>
    </w:p>
    <w:p>
      <w:pPr>
        <w:spacing w:after="0" w:line="176" w:lineRule="exact"/>
        <w:rPr>
          <w:sz w:val="20"/>
          <w:szCs w:val="20"/>
          <w:color w:val="auto"/>
        </w:rPr>
      </w:pPr>
    </w:p>
    <w:p>
      <w:pPr>
        <w:ind w:left="5" w:right="160" w:firstLine="567"/>
        <w:spacing w:after="0" w:line="257" w:lineRule="auto"/>
        <w:rPr>
          <w:sz w:val="20"/>
          <w:szCs w:val="20"/>
          <w:color w:val="auto"/>
        </w:rPr>
      </w:pPr>
      <w:r>
        <w:rPr>
          <w:rFonts w:ascii="Arial" w:cs="Arial" w:eastAsia="Arial" w:hAnsi="Arial"/>
          <w:sz w:val="16"/>
          <w:szCs w:val="16"/>
          <w:color w:val="auto"/>
        </w:rPr>
        <w:t>On January 1, 2006, BioTime adopted a new accounting pronouncement, which requires the measurement and recognition for all share-based payment awards made to BioTime’s employees and directors, including employee stock options. The following table summarizes stock-based compensation expense related to employee and director stock options awards for the years ended December 31, 2013, 2012, and 2011, which was allocated as follows:</w:t>
      </w:r>
    </w:p>
    <w:p>
      <w:pPr>
        <w:spacing w:after="0" w:line="351"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5"/>
          </w:cols>
          <w:pgMar w:left="235" w:top="124"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49"/>
        </w:trPr>
        <w:tc>
          <w:tcPr>
            <w:tcW w:w="7440" w:type="dxa"/>
            <w:vAlign w:val="bottom"/>
            <w:gridSpan w:val="2"/>
          </w:tcPr>
          <w:p>
            <w:pPr>
              <w:spacing w:after="0"/>
              <w:rPr>
                <w:rFonts w:ascii="Arial" w:cs="Arial" w:eastAsia="Arial" w:hAnsi="Arial"/>
                <w:sz w:val="13"/>
                <w:szCs w:val="13"/>
                <w:i w:val="1"/>
                <w:iCs w:val="1"/>
                <w:color w:val="0000EE"/>
              </w:rPr>
            </w:pPr>
            <w:hyperlink w:anchor="page3">
              <w:r>
                <w:rPr>
                  <w:rFonts w:ascii="Arial" w:cs="Arial" w:eastAsia="Arial" w:hAnsi="Arial"/>
                  <w:sz w:val="13"/>
                  <w:szCs w:val="13"/>
                  <w:i w:val="1"/>
                  <w:iCs w:val="1"/>
                  <w:color w:val="0000EE"/>
                </w:rPr>
                <w:t>Table of Contents</w:t>
              </w:r>
            </w:hyperlink>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18"/>
        </w:trPr>
        <w:tc>
          <w:tcPr>
            <w:tcW w:w="880" w:type="dxa"/>
            <w:vAlign w:val="bottom"/>
            <w:tcBorders>
              <w:top w:val="single" w:sz="8" w:color="0000EE"/>
            </w:tcBorders>
          </w:tcPr>
          <w:p>
            <w:pPr>
              <w:spacing w:after="0"/>
              <w:rPr>
                <w:sz w:val="24"/>
                <w:szCs w:val="24"/>
                <w:color w:val="auto"/>
              </w:rPr>
            </w:pPr>
          </w:p>
        </w:tc>
        <w:tc>
          <w:tcPr>
            <w:tcW w:w="6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6"/>
          </w:tcPr>
          <w:p>
            <w:pPr>
              <w:jc w:val="right"/>
              <w:ind w:right="107"/>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7440" w:type="dxa"/>
            <w:vAlign w:val="bottom"/>
            <w:gridSpan w:val="2"/>
          </w:tcPr>
          <w:p>
            <w:pPr>
              <w:spacing w:after="0"/>
              <w:rPr>
                <w:sz w:val="20"/>
                <w:szCs w:val="20"/>
                <w:color w:val="auto"/>
              </w:rPr>
            </w:pPr>
            <w:r>
              <w:rPr>
                <w:rFonts w:ascii="Arial" w:cs="Arial" w:eastAsia="Arial" w:hAnsi="Arial"/>
                <w:sz w:val="16"/>
                <w:szCs w:val="16"/>
                <w:color w:val="auto"/>
              </w:rPr>
              <w:t>All stock-based compensation expense: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r>
      <w:tr>
        <w:trPr>
          <w:trHeight w:val="189"/>
        </w:trPr>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829,938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815,052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885,581</w:t>
            </w:r>
          </w:p>
        </w:tc>
        <w:tc>
          <w:tcPr>
            <w:tcW w:w="120" w:type="dxa"/>
            <w:vAlign w:val="bottom"/>
            <w:shd w:val="clear" w:color="auto" w:fill="CCEEFF"/>
          </w:tcPr>
          <w:p>
            <w:pPr>
              <w:spacing w:after="0"/>
              <w:rPr>
                <w:sz w:val="16"/>
                <w:szCs w:val="16"/>
                <w:color w:val="auto"/>
              </w:rPr>
            </w:pPr>
          </w:p>
        </w:tc>
      </w:tr>
      <w:tr>
        <w:trPr>
          <w:trHeight w:val="193"/>
        </w:trPr>
        <w:tc>
          <w:tcPr>
            <w:tcW w:w="7440" w:type="dxa"/>
            <w:vAlign w:val="bottom"/>
            <w:gridSpan w:val="2"/>
          </w:tcPr>
          <w:p>
            <w:pPr>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2,214,836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1,028,910</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916,832</w:t>
            </w:r>
          </w:p>
        </w:tc>
      </w:tr>
      <w:tr>
        <w:trPr>
          <w:trHeight w:val="229"/>
        </w:trPr>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All stock-based compensation expense included in expenses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3,044,774</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1,843,962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1,802,413</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ind w:right="180" w:firstLine="567"/>
        <w:spacing w:after="0" w:line="267" w:lineRule="auto"/>
        <w:rPr>
          <w:sz w:val="20"/>
          <w:szCs w:val="20"/>
          <w:color w:val="auto"/>
        </w:rPr>
      </w:pPr>
      <w:r>
        <w:rPr>
          <w:rFonts w:ascii="Arial" w:cs="Arial" w:eastAsia="Arial" w:hAnsi="Arial"/>
          <w:sz w:val="16"/>
          <w:szCs w:val="16"/>
          <w:color w:val="auto"/>
        </w:rPr>
        <w:t>As of December 31, 2013, total unrecognized compensation costs related to unvested stock options was $5,609,851, which is expected to be recognized as expense over a weighted average period of approximately 5.48 years.</w:t>
      </w:r>
    </w:p>
    <w:p>
      <w:pPr>
        <w:spacing w:after="0" w:line="181" w:lineRule="exact"/>
        <w:rPr>
          <w:sz w:val="20"/>
          <w:szCs w:val="20"/>
          <w:color w:val="auto"/>
        </w:rPr>
      </w:pPr>
    </w:p>
    <w:p>
      <w:pPr>
        <w:ind w:right="100" w:firstLine="567"/>
        <w:spacing w:after="0" w:line="267" w:lineRule="auto"/>
        <w:rPr>
          <w:sz w:val="20"/>
          <w:szCs w:val="20"/>
          <w:color w:val="auto"/>
        </w:rPr>
      </w:pPr>
      <w:r>
        <w:rPr>
          <w:rFonts w:ascii="Arial" w:cs="Arial" w:eastAsia="Arial" w:hAnsi="Arial"/>
          <w:sz w:val="16"/>
          <w:szCs w:val="16"/>
          <w:color w:val="auto"/>
        </w:rPr>
        <w:t>For all applicable periods, the value of each employee or director stock option was estimated on the date of grant using the Black-Scholes Merton model for the purpose of the pro forma financial disclosures in accordance with a new accounting pronouncement.</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weighted-average estimated fair value of stock options granted during the years ended December 31, 2013 and 2012 was $4.13 per share in both years, using the Black-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Scholes Merton model with the following weighted-average assumptions: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20" w:type="dxa"/>
            <w:vAlign w:val="bottom"/>
          </w:tcPr>
          <w:p>
            <w:pPr>
              <w:spacing w:after="0"/>
              <w:rPr>
                <w:sz w:val="16"/>
                <w:szCs w:val="16"/>
                <w:color w:val="auto"/>
              </w:rPr>
            </w:pPr>
          </w:p>
        </w:tc>
        <w:tc>
          <w:tcPr>
            <w:tcW w:w="1780" w:type="dxa"/>
            <w:vAlign w:val="bottom"/>
            <w:gridSpan w:val="3"/>
          </w:tcPr>
          <w:p>
            <w:pPr>
              <w:jc w:val="center"/>
              <w:ind w:left="741"/>
              <w:spacing w:after="0"/>
              <w:rPr>
                <w:sz w:val="20"/>
                <w:szCs w:val="20"/>
                <w:color w:val="auto"/>
              </w:rPr>
            </w:pPr>
            <w:r>
              <w:rPr>
                <w:rFonts w:ascii="Arial" w:cs="Arial" w:eastAsia="Arial" w:hAnsi="Arial"/>
                <w:sz w:val="16"/>
                <w:szCs w:val="16"/>
                <w:b w:val="1"/>
                <w:bCs w:val="1"/>
                <w:color w:val="auto"/>
                <w:w w:val="90"/>
              </w:rPr>
              <w:t>Year Ended</w:t>
            </w:r>
          </w:p>
        </w:tc>
        <w:tc>
          <w:tcPr>
            <w:tcW w:w="840" w:type="dxa"/>
            <w:vAlign w:val="bottom"/>
          </w:tcPr>
          <w:p>
            <w:pPr>
              <w:spacing w:after="0"/>
              <w:rPr>
                <w:sz w:val="16"/>
                <w:szCs w:val="16"/>
                <w:color w:val="auto"/>
              </w:rPr>
            </w:pPr>
          </w:p>
        </w:tc>
      </w:tr>
      <w:tr>
        <w:trPr>
          <w:trHeight w:val="209"/>
        </w:trPr>
        <w:tc>
          <w:tcPr>
            <w:tcW w:w="8820" w:type="dxa"/>
            <w:vAlign w:val="bottom"/>
          </w:tcPr>
          <w:p>
            <w:pPr>
              <w:spacing w:after="0"/>
              <w:rPr>
                <w:sz w:val="18"/>
                <w:szCs w:val="18"/>
                <w:color w:val="auto"/>
              </w:rPr>
            </w:pPr>
          </w:p>
        </w:tc>
        <w:tc>
          <w:tcPr>
            <w:tcW w:w="1780" w:type="dxa"/>
            <w:vAlign w:val="bottom"/>
            <w:tcBorders>
              <w:bottom w:val="single" w:sz="8" w:color="auto"/>
            </w:tcBorders>
            <w:gridSpan w:val="3"/>
          </w:tcPr>
          <w:p>
            <w:pPr>
              <w:jc w:val="center"/>
              <w:ind w:left="741"/>
              <w:spacing w:after="0"/>
              <w:rPr>
                <w:sz w:val="20"/>
                <w:szCs w:val="20"/>
                <w:color w:val="auto"/>
              </w:rPr>
            </w:pPr>
            <w:r>
              <w:rPr>
                <w:rFonts w:ascii="Arial" w:cs="Arial" w:eastAsia="Arial" w:hAnsi="Arial"/>
                <w:sz w:val="16"/>
                <w:szCs w:val="16"/>
                <w:b w:val="1"/>
                <w:bCs w:val="1"/>
                <w:color w:val="auto"/>
                <w:w w:val="88"/>
              </w:rPr>
              <w:t>December 31,</w:t>
            </w:r>
          </w:p>
        </w:tc>
        <w:tc>
          <w:tcPr>
            <w:tcW w:w="840" w:type="dxa"/>
            <w:vAlign w:val="bottom"/>
            <w:tcBorders>
              <w:bottom w:val="single" w:sz="8" w:color="auto"/>
            </w:tcBorders>
          </w:tcPr>
          <w:p>
            <w:pPr>
              <w:spacing w:after="0"/>
              <w:rPr>
                <w:sz w:val="18"/>
                <w:szCs w:val="18"/>
                <w:color w:val="auto"/>
              </w:rPr>
            </w:pPr>
          </w:p>
        </w:tc>
      </w:tr>
      <w:tr>
        <w:trPr>
          <w:trHeight w:val="193"/>
        </w:trPr>
        <w:tc>
          <w:tcPr>
            <w:tcW w:w="8820" w:type="dxa"/>
            <w:vAlign w:val="bottom"/>
          </w:tcPr>
          <w:p>
            <w:pPr>
              <w:spacing w:after="0"/>
              <w:rPr>
                <w:sz w:val="16"/>
                <w:szCs w:val="16"/>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2012</w:t>
            </w:r>
          </w:p>
        </w:tc>
      </w:tr>
      <w:tr>
        <w:trPr>
          <w:trHeight w:val="189"/>
        </w:trPr>
        <w:tc>
          <w:tcPr>
            <w:tcW w:w="8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Expected life (in years)</w:t>
            </w:r>
          </w:p>
        </w:tc>
        <w:tc>
          <w:tcPr>
            <w:tcW w:w="12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6.68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6.35</w:t>
            </w:r>
          </w:p>
        </w:tc>
      </w:tr>
      <w:tr>
        <w:trPr>
          <w:trHeight w:val="189"/>
        </w:trPr>
        <w:tc>
          <w:tcPr>
            <w:tcW w:w="8820" w:type="dxa"/>
            <w:vAlign w:val="bottom"/>
          </w:tcPr>
          <w:p>
            <w:pPr>
              <w:spacing w:after="0"/>
              <w:rPr>
                <w:sz w:val="20"/>
                <w:szCs w:val="20"/>
                <w:color w:val="auto"/>
              </w:rPr>
            </w:pPr>
            <w:r>
              <w:rPr>
                <w:rFonts w:ascii="Arial" w:cs="Arial" w:eastAsia="Arial" w:hAnsi="Arial"/>
                <w:sz w:val="16"/>
                <w:szCs w:val="16"/>
                <w:color w:val="auto"/>
              </w:rPr>
              <w:t>Risk-free interest rates</w:t>
            </w:r>
          </w:p>
        </w:tc>
        <w:tc>
          <w:tcPr>
            <w:tcW w:w="1260" w:type="dxa"/>
            <w:vAlign w:val="bottom"/>
          </w:tcPr>
          <w:p>
            <w:pPr>
              <w:jc w:val="right"/>
              <w:ind w:right="241"/>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241"/>
              <w:spacing w:after="0"/>
              <w:rPr>
                <w:sz w:val="20"/>
                <w:szCs w:val="20"/>
                <w:color w:val="auto"/>
              </w:rPr>
            </w:pPr>
            <w:r>
              <w:rPr>
                <w:rFonts w:ascii="Arial" w:cs="Arial" w:eastAsia="Arial" w:hAnsi="Arial"/>
                <w:sz w:val="16"/>
                <w:szCs w:val="16"/>
                <w:color w:val="auto"/>
              </w:rPr>
              <w:t>1.06%</w:t>
            </w:r>
          </w:p>
        </w:tc>
      </w:tr>
      <w:tr>
        <w:trPr>
          <w:trHeight w:val="189"/>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Volatility</w:t>
            </w:r>
          </w:p>
        </w:tc>
        <w:tc>
          <w:tcPr>
            <w:tcW w:w="12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95.22%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92"/>
              </w:rPr>
              <w:t>98.88%</w:t>
            </w:r>
          </w:p>
        </w:tc>
      </w:tr>
      <w:tr>
        <w:trPr>
          <w:trHeight w:val="200"/>
        </w:trPr>
        <w:tc>
          <w:tcPr>
            <w:tcW w:w="8820" w:type="dxa"/>
            <w:vAlign w:val="bottom"/>
          </w:tcPr>
          <w:p>
            <w:pPr>
              <w:spacing w:after="0"/>
              <w:rPr>
                <w:sz w:val="20"/>
                <w:szCs w:val="20"/>
                <w:color w:val="auto"/>
              </w:rPr>
            </w:pPr>
            <w:r>
              <w:rPr>
                <w:rFonts w:ascii="Arial" w:cs="Arial" w:eastAsia="Arial" w:hAnsi="Arial"/>
                <w:sz w:val="16"/>
                <w:szCs w:val="16"/>
                <w:color w:val="auto"/>
              </w:rPr>
              <w:t>Dividend yield</w:t>
            </w:r>
          </w:p>
        </w:tc>
        <w:tc>
          <w:tcPr>
            <w:tcW w:w="1260" w:type="dxa"/>
            <w:vAlign w:val="bottom"/>
          </w:tcPr>
          <w:p>
            <w:pPr>
              <w:jc w:val="right"/>
              <w:ind w:right="241"/>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241"/>
              <w:spacing w:after="0"/>
              <w:rPr>
                <w:sz w:val="20"/>
                <w:szCs w:val="20"/>
                <w:color w:val="auto"/>
              </w:rPr>
            </w:pPr>
            <w:r>
              <w:rPr>
                <w:rFonts w:ascii="Arial" w:cs="Arial" w:eastAsia="Arial" w:hAnsi="Arial"/>
                <w:sz w:val="16"/>
                <w:szCs w:val="16"/>
                <w:color w:val="auto"/>
              </w:rPr>
              <w:t>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Option Information</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all option activity under the 2002 Plan and the 2012 Plan for the years ended December 31, 2013, 2012, and 2011,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1"/>
              <w:spacing w:after="0"/>
              <w:rPr>
                <w:sz w:val="20"/>
                <w:szCs w:val="20"/>
                <w:color w:val="auto"/>
              </w:rPr>
            </w:pPr>
            <w:r>
              <w:rPr>
                <w:rFonts w:ascii="Arial" w:cs="Arial" w:eastAsia="Arial" w:hAnsi="Arial"/>
                <w:sz w:val="16"/>
                <w:szCs w:val="16"/>
                <w:b w:val="1"/>
                <w:bCs w:val="1"/>
                <w:color w:val="auto"/>
                <w:w w:val="88"/>
              </w:rPr>
              <w:t>Weighted</w:t>
            </w:r>
          </w:p>
        </w:tc>
      </w:tr>
      <w:tr>
        <w:trPr>
          <w:trHeight w:val="189"/>
        </w:trPr>
        <w:tc>
          <w:tcPr>
            <w:tcW w:w="42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Options</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21"/>
              <w:spacing w:after="0"/>
              <w:rPr>
                <w:sz w:val="20"/>
                <w:szCs w:val="20"/>
                <w:color w:val="auto"/>
              </w:rPr>
            </w:pPr>
            <w:r>
              <w:rPr>
                <w:rFonts w:ascii="Arial" w:cs="Arial" w:eastAsia="Arial" w:hAnsi="Arial"/>
                <w:sz w:val="16"/>
                <w:szCs w:val="16"/>
                <w:b w:val="1"/>
                <w:bCs w:val="1"/>
                <w:color w:val="auto"/>
                <w:w w:val="85"/>
              </w:rPr>
              <w:t>Average</w:t>
            </w:r>
          </w:p>
        </w:tc>
      </w:tr>
      <w:tr>
        <w:trPr>
          <w:trHeight w:val="189"/>
        </w:trPr>
        <w:tc>
          <w:tcPr>
            <w:tcW w:w="42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Available for</w:t>
            </w: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Options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1"/>
              <w:spacing w:after="0"/>
              <w:rPr>
                <w:sz w:val="20"/>
                <w:szCs w:val="20"/>
                <w:color w:val="auto"/>
              </w:rPr>
            </w:pPr>
            <w:r>
              <w:rPr>
                <w:rFonts w:ascii="Arial" w:cs="Arial" w:eastAsia="Arial" w:hAnsi="Arial"/>
                <w:sz w:val="16"/>
                <w:szCs w:val="16"/>
                <w:b w:val="1"/>
                <w:bCs w:val="1"/>
                <w:color w:val="auto"/>
                <w:w w:val="85"/>
              </w:rPr>
              <w:t>Exercise</w:t>
            </w:r>
          </w:p>
        </w:tc>
      </w:tr>
      <w:tr>
        <w:trPr>
          <w:trHeight w:val="209"/>
        </w:trPr>
        <w:tc>
          <w:tcPr>
            <w:tcW w:w="4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Grant</w:t>
            </w:r>
          </w:p>
        </w:tc>
        <w:tc>
          <w:tcPr>
            <w:tcW w:w="12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Outstanding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21"/>
              <w:spacing w:after="0"/>
              <w:rPr>
                <w:sz w:val="20"/>
                <w:szCs w:val="20"/>
                <w:color w:val="auto"/>
              </w:rPr>
            </w:pPr>
            <w:r>
              <w:rPr>
                <w:rFonts w:ascii="Arial" w:cs="Arial" w:eastAsia="Arial" w:hAnsi="Arial"/>
                <w:sz w:val="16"/>
                <w:szCs w:val="16"/>
                <w:b w:val="1"/>
                <w:bCs w:val="1"/>
                <w:color w:val="auto"/>
                <w:w w:val="86"/>
              </w:rPr>
              <w:t>Price</w:t>
            </w:r>
          </w:p>
        </w:tc>
      </w:tr>
      <w:tr>
        <w:trPr>
          <w:trHeight w:val="189"/>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January 31, 2011</w:t>
            </w:r>
          </w:p>
        </w:tc>
        <w:tc>
          <w:tcPr>
            <w:tcW w:w="318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1,842,168</w:t>
            </w:r>
          </w:p>
        </w:tc>
        <w:tc>
          <w:tcPr>
            <w:tcW w:w="2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3,320,590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1.13</w:t>
            </w: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Granted under 2002 Plan</w:t>
            </w:r>
          </w:p>
        </w:tc>
        <w:tc>
          <w:tcPr>
            <w:tcW w:w="4580" w:type="dxa"/>
            <w:vAlign w:val="bottom"/>
            <w:gridSpan w:val="3"/>
          </w:tcPr>
          <w:p>
            <w:pPr>
              <w:jc w:val="right"/>
              <w:ind w:right="200"/>
              <w:spacing w:after="0"/>
              <w:rPr>
                <w:sz w:val="20"/>
                <w:szCs w:val="20"/>
                <w:color w:val="auto"/>
              </w:rPr>
            </w:pPr>
            <w:r>
              <w:rPr>
                <w:rFonts w:ascii="Arial" w:cs="Arial" w:eastAsia="Arial" w:hAnsi="Arial"/>
                <w:sz w:val="16"/>
                <w:szCs w:val="16"/>
                <w:color w:val="auto"/>
              </w:rPr>
              <w:t>(560,443)</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560,443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81"/>
              <w:spacing w:after="0"/>
              <w:rPr>
                <w:sz w:val="20"/>
                <w:szCs w:val="20"/>
                <w:color w:val="auto"/>
              </w:rPr>
            </w:pPr>
            <w:r>
              <w:rPr>
                <w:rFonts w:ascii="Arial" w:cs="Arial" w:eastAsia="Arial" w:hAnsi="Arial"/>
                <w:sz w:val="16"/>
                <w:szCs w:val="16"/>
                <w:color w:val="auto"/>
              </w:rPr>
              <w:t>4.89</w:t>
            </w:r>
          </w:p>
        </w:tc>
      </w:tr>
      <w:tr>
        <w:trPr>
          <w:trHeight w:val="189"/>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(450,660)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0.50</w:t>
            </w:r>
          </w:p>
        </w:tc>
      </w:tr>
      <w:tr>
        <w:trPr>
          <w:trHeight w:val="216"/>
        </w:trPr>
        <w:tc>
          <w:tcPr>
            <w:tcW w:w="4260" w:type="dxa"/>
            <w:vAlign w:val="bottom"/>
          </w:tcPr>
          <w:p>
            <w:pPr>
              <w:spacing w:after="0"/>
              <w:rPr>
                <w:sz w:val="20"/>
                <w:szCs w:val="20"/>
                <w:color w:val="auto"/>
              </w:rPr>
            </w:pPr>
            <w:r>
              <w:rPr>
                <w:rFonts w:ascii="Arial" w:cs="Arial" w:eastAsia="Arial" w:hAnsi="Arial"/>
                <w:sz w:val="16"/>
                <w:szCs w:val="16"/>
                <w:color w:val="auto"/>
              </w:rPr>
              <w:t>Forfeited/expired</w:t>
            </w:r>
          </w:p>
        </w:tc>
        <w:tc>
          <w:tcPr>
            <w:tcW w:w="4580" w:type="dxa"/>
            <w:vAlign w:val="bottom"/>
            <w:gridSpan w:val="3"/>
          </w:tcPr>
          <w:p>
            <w:pPr>
              <w:jc w:val="right"/>
              <w:ind w:right="240"/>
              <w:spacing w:after="0"/>
              <w:rPr>
                <w:sz w:val="20"/>
                <w:szCs w:val="20"/>
                <w:color w:val="auto"/>
              </w:rPr>
            </w:pPr>
            <w:r>
              <w:rPr>
                <w:rFonts w:ascii="Arial" w:cs="Arial" w:eastAsia="Arial" w:hAnsi="Arial"/>
                <w:sz w:val="16"/>
                <w:szCs w:val="16"/>
                <w:color w:val="auto"/>
              </w:rPr>
              <w:t>21,468</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(21,468)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81"/>
              <w:spacing w:after="0"/>
              <w:rPr>
                <w:sz w:val="20"/>
                <w:szCs w:val="20"/>
                <w:color w:val="auto"/>
              </w:rPr>
            </w:pPr>
            <w:r>
              <w:rPr>
                <w:rFonts w:ascii="Arial" w:cs="Arial" w:eastAsia="Arial" w:hAnsi="Arial"/>
                <w:sz w:val="16"/>
                <w:szCs w:val="16"/>
                <w:color w:val="auto"/>
              </w:rPr>
              <w:t>5.60</w:t>
            </w:r>
          </w:p>
        </w:tc>
      </w:tr>
      <w:tr>
        <w:trPr>
          <w:trHeight w:val="189"/>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December 31, 2011</w:t>
            </w:r>
          </w:p>
        </w:tc>
        <w:tc>
          <w:tcPr>
            <w:tcW w:w="318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1,303,193</w:t>
            </w:r>
          </w:p>
        </w:tc>
        <w:tc>
          <w:tcPr>
            <w:tcW w:w="2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3,408,905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2.18</w:t>
            </w: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Granted under 2002 Plan</w:t>
            </w:r>
          </w:p>
        </w:tc>
        <w:tc>
          <w:tcPr>
            <w:tcW w:w="4580" w:type="dxa"/>
            <w:vAlign w:val="bottom"/>
            <w:gridSpan w:val="3"/>
          </w:tcPr>
          <w:p>
            <w:pPr>
              <w:jc w:val="right"/>
              <w:ind w:right="200"/>
              <w:spacing w:after="0"/>
              <w:rPr>
                <w:sz w:val="20"/>
                <w:szCs w:val="20"/>
                <w:color w:val="auto"/>
              </w:rPr>
            </w:pPr>
            <w:r>
              <w:rPr>
                <w:rFonts w:ascii="Arial" w:cs="Arial" w:eastAsia="Arial" w:hAnsi="Arial"/>
                <w:sz w:val="16"/>
                <w:szCs w:val="16"/>
                <w:color w:val="auto"/>
              </w:rPr>
              <w:t>(280,000)</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280,000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81"/>
              <w:spacing w:after="0"/>
              <w:rPr>
                <w:sz w:val="20"/>
                <w:szCs w:val="20"/>
                <w:color w:val="auto"/>
              </w:rPr>
            </w:pPr>
            <w:r>
              <w:rPr>
                <w:rFonts w:ascii="Arial" w:cs="Arial" w:eastAsia="Arial" w:hAnsi="Arial"/>
                <w:sz w:val="16"/>
                <w:szCs w:val="16"/>
                <w:color w:val="auto"/>
              </w:rPr>
              <w:t>4.75</w:t>
            </w:r>
          </w:p>
        </w:tc>
      </w:tr>
      <w:tr>
        <w:trPr>
          <w:trHeight w:val="189"/>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Granted under 2012 Plan</w:t>
            </w:r>
          </w:p>
        </w:tc>
        <w:tc>
          <w:tcPr>
            <w:tcW w:w="45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(255,000)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255,000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3.45</w:t>
            </w: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Exercised</w:t>
            </w:r>
          </w:p>
        </w:tc>
        <w:tc>
          <w:tcPr>
            <w:tcW w:w="4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(98,541)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81"/>
              <w:spacing w:after="0"/>
              <w:rPr>
                <w:sz w:val="20"/>
                <w:szCs w:val="20"/>
                <w:color w:val="auto"/>
              </w:rPr>
            </w:pPr>
            <w:r>
              <w:rPr>
                <w:rFonts w:ascii="Arial" w:cs="Arial" w:eastAsia="Arial" w:hAnsi="Arial"/>
                <w:sz w:val="16"/>
                <w:szCs w:val="16"/>
                <w:color w:val="auto"/>
              </w:rPr>
              <w:t>2.91</w:t>
            </w:r>
          </w:p>
        </w:tc>
      </w:tr>
      <w:tr>
        <w:trPr>
          <w:trHeight w:val="189"/>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Forfeited/expired under 2002 Plan</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(164,063)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5.60</w:t>
            </w:r>
          </w:p>
        </w:tc>
      </w:tr>
      <w:tr>
        <w:trPr>
          <w:trHeight w:val="189"/>
        </w:trPr>
        <w:tc>
          <w:tcPr>
            <w:tcW w:w="4260" w:type="dxa"/>
            <w:vAlign w:val="bottom"/>
          </w:tcPr>
          <w:p>
            <w:pPr>
              <w:spacing w:after="0" w:line="189" w:lineRule="exact"/>
              <w:rPr>
                <w:sz w:val="20"/>
                <w:szCs w:val="20"/>
                <w:color w:val="auto"/>
              </w:rPr>
            </w:pPr>
            <w:r>
              <w:rPr>
                <w:rFonts w:ascii="Arial" w:cs="Arial" w:eastAsia="Arial" w:hAnsi="Arial"/>
                <w:sz w:val="13"/>
                <w:szCs w:val="13"/>
                <w:color w:val="auto"/>
              </w:rPr>
              <w:t xml:space="preserve">Added by 2012 Plan </w:t>
            </w:r>
            <w:r>
              <w:rPr>
                <w:rFonts w:ascii="Arial" w:cs="Arial" w:eastAsia="Arial" w:hAnsi="Arial"/>
                <w:sz w:val="21"/>
                <w:szCs w:val="21"/>
                <w:color w:val="auto"/>
                <w:vertAlign w:val="superscript"/>
              </w:rPr>
              <w:t>(1)</w:t>
            </w:r>
          </w:p>
        </w:tc>
        <w:tc>
          <w:tcPr>
            <w:tcW w:w="4340" w:type="dxa"/>
            <w:vAlign w:val="bottom"/>
            <w:gridSpan w:val="2"/>
          </w:tcPr>
          <w:p>
            <w:pPr>
              <w:jc w:val="right"/>
              <w:spacing w:after="0"/>
              <w:rPr>
                <w:sz w:val="20"/>
                <w:szCs w:val="20"/>
                <w:color w:val="auto"/>
              </w:rPr>
            </w:pPr>
            <w:r>
              <w:rPr>
                <w:rFonts w:ascii="Arial" w:cs="Arial" w:eastAsia="Arial" w:hAnsi="Arial"/>
                <w:sz w:val="16"/>
                <w:szCs w:val="16"/>
                <w:color w:val="auto"/>
              </w:rPr>
              <w:t>4,000,000</w:t>
            </w:r>
          </w:p>
        </w:tc>
        <w:tc>
          <w:tcPr>
            <w:tcW w:w="24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81"/>
              <w:spacing w:after="0"/>
              <w:rPr>
                <w:sz w:val="20"/>
                <w:szCs w:val="20"/>
                <w:color w:val="auto"/>
              </w:rPr>
            </w:pPr>
            <w:r>
              <w:rPr>
                <w:rFonts w:ascii="Arial" w:cs="Arial" w:eastAsia="Arial" w:hAnsi="Arial"/>
                <w:sz w:val="16"/>
                <w:szCs w:val="16"/>
                <w:color w:val="auto"/>
              </w:rPr>
              <w:t>-</w:t>
            </w:r>
          </w:p>
        </w:tc>
      </w:tr>
      <w:tr>
        <w:trPr>
          <w:trHeight w:val="213"/>
        </w:trPr>
        <w:tc>
          <w:tcPr>
            <w:tcW w:w="4260" w:type="dxa"/>
            <w:vAlign w:val="bottom"/>
            <w:shd w:val="clear" w:color="auto" w:fill="CCEEFF"/>
          </w:tcPr>
          <w:p>
            <w:pPr>
              <w:spacing w:after="0" w:line="212" w:lineRule="exact"/>
              <w:rPr>
                <w:sz w:val="20"/>
                <w:szCs w:val="20"/>
                <w:color w:val="auto"/>
              </w:rPr>
            </w:pPr>
            <w:r>
              <w:rPr>
                <w:rFonts w:ascii="Arial" w:cs="Arial" w:eastAsia="Arial" w:hAnsi="Arial"/>
                <w:sz w:val="15"/>
                <w:szCs w:val="15"/>
                <w:color w:val="auto"/>
              </w:rPr>
              <w:t xml:space="preserve">Reduce options ungranted under 2002 Plan </w:t>
            </w:r>
            <w:r>
              <w:rPr>
                <w:rFonts w:ascii="Arial" w:cs="Arial" w:eastAsia="Arial" w:hAnsi="Arial"/>
                <w:sz w:val="24"/>
                <w:szCs w:val="24"/>
                <w:color w:val="auto"/>
                <w:vertAlign w:val="superscript"/>
              </w:rPr>
              <w:t>(2)</w:t>
            </w:r>
          </w:p>
        </w:tc>
        <w:tc>
          <w:tcPr>
            <w:tcW w:w="3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(1,023,193)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r>
      <w:tr>
        <w:trPr>
          <w:trHeight w:val="24"/>
        </w:trPr>
        <w:tc>
          <w:tcPr>
            <w:tcW w:w="426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December 31, 2012</w:t>
            </w:r>
          </w:p>
        </w:tc>
        <w:tc>
          <w:tcPr>
            <w:tcW w:w="3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3,745,000</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3,681,301</w:t>
            </w:r>
          </w:p>
        </w:tc>
        <w:tc>
          <w:tcPr>
            <w:tcW w:w="140" w:type="dxa"/>
            <w:vAlign w:val="bottom"/>
          </w:tcPr>
          <w:p>
            <w:pPr>
              <w:spacing w:after="0"/>
              <w:rPr>
                <w:sz w:val="16"/>
                <w:szCs w:val="16"/>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81"/>
              <w:spacing w:after="0"/>
              <w:rPr>
                <w:sz w:val="20"/>
                <w:szCs w:val="20"/>
                <w:color w:val="auto"/>
              </w:rPr>
            </w:pPr>
            <w:r>
              <w:rPr>
                <w:rFonts w:ascii="Arial" w:cs="Arial" w:eastAsia="Arial" w:hAnsi="Arial"/>
                <w:sz w:val="16"/>
                <w:szCs w:val="16"/>
                <w:color w:val="auto"/>
              </w:rPr>
              <w:t>1.96</w:t>
            </w:r>
          </w:p>
        </w:tc>
      </w:tr>
      <w:tr>
        <w:trPr>
          <w:trHeight w:val="189"/>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Granted under 2012 Plan</w:t>
            </w:r>
          </w:p>
        </w:tc>
        <w:tc>
          <w:tcPr>
            <w:tcW w:w="45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(1,585,000)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1,585,000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4.13</w:t>
            </w:r>
          </w:p>
        </w:tc>
      </w:tr>
      <w:tr>
        <w:trPr>
          <w:trHeight w:val="189"/>
        </w:trPr>
        <w:tc>
          <w:tcPr>
            <w:tcW w:w="4260" w:type="dxa"/>
            <w:vAlign w:val="bottom"/>
          </w:tcPr>
          <w:p>
            <w:pPr>
              <w:spacing w:after="0"/>
              <w:rPr>
                <w:sz w:val="20"/>
                <w:szCs w:val="20"/>
                <w:color w:val="auto"/>
              </w:rPr>
            </w:pPr>
            <w:r>
              <w:rPr>
                <w:rFonts w:ascii="Arial" w:cs="Arial" w:eastAsia="Arial" w:hAnsi="Arial"/>
                <w:sz w:val="16"/>
                <w:szCs w:val="16"/>
                <w:color w:val="auto"/>
              </w:rPr>
              <w:t>Exercised</w:t>
            </w:r>
          </w:p>
        </w:tc>
        <w:tc>
          <w:tcPr>
            <w:tcW w:w="4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81"/>
              <w:spacing w:after="0"/>
              <w:rPr>
                <w:sz w:val="20"/>
                <w:szCs w:val="20"/>
                <w:color w:val="auto"/>
              </w:rPr>
            </w:pPr>
            <w:r>
              <w:rPr>
                <w:rFonts w:ascii="Arial" w:cs="Arial" w:eastAsia="Arial" w:hAnsi="Arial"/>
                <w:sz w:val="16"/>
                <w:szCs w:val="16"/>
                <w:color w:val="auto"/>
              </w:rPr>
              <w:t>2.30</w:t>
            </w:r>
          </w:p>
        </w:tc>
      </w:tr>
      <w:tr>
        <w:trPr>
          <w:trHeight w:val="189"/>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Forfeited/expired under 2002 Plan</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(524,166)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4.01</w:t>
            </w:r>
          </w:p>
        </w:tc>
      </w:tr>
      <w:tr>
        <w:trPr>
          <w:trHeight w:val="212"/>
        </w:trPr>
        <w:tc>
          <w:tcPr>
            <w:tcW w:w="4260" w:type="dxa"/>
            <w:vAlign w:val="bottom"/>
          </w:tcPr>
          <w:p>
            <w:pPr>
              <w:spacing w:after="0"/>
              <w:rPr>
                <w:sz w:val="20"/>
                <w:szCs w:val="20"/>
                <w:color w:val="auto"/>
              </w:rPr>
            </w:pPr>
            <w:r>
              <w:rPr>
                <w:rFonts w:ascii="Arial" w:cs="Arial" w:eastAsia="Arial" w:hAnsi="Arial"/>
                <w:sz w:val="16"/>
                <w:szCs w:val="16"/>
                <w:color w:val="auto"/>
              </w:rPr>
              <w:t>Forfeited/expired under 2012 Plan</w:t>
            </w:r>
          </w:p>
        </w:tc>
        <w:tc>
          <w:tcPr>
            <w:tcW w:w="3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155,000</w:t>
            </w: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(155,000)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81"/>
              <w:spacing w:after="0"/>
              <w:rPr>
                <w:sz w:val="20"/>
                <w:szCs w:val="20"/>
                <w:color w:val="auto"/>
              </w:rPr>
            </w:pPr>
            <w:r>
              <w:rPr>
                <w:rFonts w:ascii="Arial" w:cs="Arial" w:eastAsia="Arial" w:hAnsi="Arial"/>
                <w:sz w:val="16"/>
                <w:szCs w:val="16"/>
                <w:color w:val="auto"/>
              </w:rPr>
              <w:t>4.18</w:t>
            </w:r>
          </w:p>
        </w:tc>
      </w:tr>
      <w:tr>
        <w:trPr>
          <w:trHeight w:val="24"/>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r>
        <w:trPr>
          <w:trHeight w:val="276"/>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December 31, 2013</w:t>
            </w:r>
          </w:p>
        </w:tc>
        <w:tc>
          <w:tcPr>
            <w:tcW w:w="3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2,315,000</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4,567,135</w:t>
            </w:r>
          </w:p>
        </w:tc>
        <w:tc>
          <w:tcPr>
            <w:tcW w:w="14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2.71</w:t>
            </w:r>
          </w:p>
        </w:tc>
      </w:tr>
      <w:tr>
        <w:trPr>
          <w:trHeight w:val="510"/>
        </w:trPr>
        <w:tc>
          <w:tcPr>
            <w:tcW w:w="4260" w:type="dxa"/>
            <w:vAlign w:val="bottom"/>
            <w:tcBorders>
              <w:top w:val="single" w:sz="8" w:color="CCEEFF"/>
            </w:tcBorders>
          </w:tcPr>
          <w:p>
            <w:pPr>
              <w:spacing w:after="0"/>
              <w:rPr>
                <w:sz w:val="24"/>
                <w:szCs w:val="24"/>
                <w:color w:val="auto"/>
              </w:rPr>
            </w:pPr>
          </w:p>
        </w:tc>
        <w:tc>
          <w:tcPr>
            <w:tcW w:w="3180" w:type="dxa"/>
            <w:vAlign w:val="bottom"/>
            <w:tcBorders>
              <w:top w:val="single" w:sz="8" w:color="CCEEFF"/>
            </w:tcBorders>
          </w:tcPr>
          <w:p>
            <w:pPr>
              <w:jc w:val="right"/>
              <w:ind w:right="1563"/>
              <w:spacing w:after="0"/>
              <w:rPr>
                <w:sz w:val="20"/>
                <w:szCs w:val="20"/>
                <w:color w:val="auto"/>
              </w:rPr>
            </w:pPr>
            <w:r>
              <w:rPr>
                <w:rFonts w:ascii="Arial" w:cs="Arial" w:eastAsia="Arial" w:hAnsi="Arial"/>
                <w:sz w:val="13"/>
                <w:szCs w:val="13"/>
                <w:color w:val="auto"/>
              </w:rPr>
              <w:t>118</w:t>
            </w: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37"/>
        </w:trPr>
        <w:tc>
          <w:tcPr>
            <w:tcW w:w="426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08" w:right="219" w:bottom="1440" w:gutter="0" w:footer="0" w:header="0"/>
        </w:sectPr>
      </w:pPr>
    </w:p>
    <w:bookmarkStart w:id="118" w:name="page119"/>
    <w:bookmarkEnd w:id="118"/>
    <w:p>
      <w:pPr>
        <w:ind w:left="5"/>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7" w:lineRule="exact"/>
        <w:rPr>
          <w:sz w:val="20"/>
          <w:szCs w:val="20"/>
          <w:color w:val="auto"/>
        </w:rPr>
      </w:pPr>
    </w:p>
    <w:p>
      <w:pPr>
        <w:ind w:left="285" w:right="140" w:hanging="285"/>
        <w:spacing w:after="0" w:line="253" w:lineRule="auto"/>
        <w:tabs>
          <w:tab w:leader="none" w:pos="285" w:val="left"/>
        </w:tabs>
        <w:numPr>
          <w:ilvl w:val="0"/>
          <w:numId w:val="47"/>
        </w:numPr>
        <w:rPr>
          <w:rFonts w:ascii="Arial" w:cs="Arial" w:eastAsia="Arial" w:hAnsi="Arial"/>
          <w:sz w:val="16"/>
          <w:szCs w:val="16"/>
          <w:color w:val="auto"/>
        </w:rPr>
      </w:pPr>
      <w:r>
        <w:rPr>
          <w:rFonts w:ascii="Arial" w:cs="Arial" w:eastAsia="Arial" w:hAnsi="Arial"/>
          <w:sz w:val="16"/>
          <w:szCs w:val="16"/>
          <w:color w:val="auto"/>
        </w:rPr>
        <w:t>During December 2012, the 2012 Equity Incentive Plan was approved by the BioTime Board of Directors making 4,000,000 common shares available for the grant of options. This plan was approved by the shareholders during October 2013.</w:t>
      </w:r>
    </w:p>
    <w:p>
      <w:pPr>
        <w:spacing w:after="0" w:line="1" w:lineRule="exact"/>
        <w:rPr>
          <w:rFonts w:ascii="Arial" w:cs="Arial" w:eastAsia="Arial" w:hAnsi="Arial"/>
          <w:sz w:val="16"/>
          <w:szCs w:val="16"/>
          <w:color w:val="auto"/>
        </w:rPr>
      </w:pPr>
    </w:p>
    <w:p>
      <w:pPr>
        <w:ind w:left="285" w:hanging="285"/>
        <w:spacing w:after="0"/>
        <w:tabs>
          <w:tab w:leader="none" w:pos="285" w:val="left"/>
        </w:tabs>
        <w:numPr>
          <w:ilvl w:val="0"/>
          <w:numId w:val="47"/>
        </w:numPr>
        <w:rPr>
          <w:rFonts w:ascii="Arial" w:cs="Arial" w:eastAsia="Arial" w:hAnsi="Arial"/>
          <w:sz w:val="16"/>
          <w:szCs w:val="16"/>
          <w:color w:val="auto"/>
        </w:rPr>
      </w:pPr>
      <w:r>
        <w:rPr>
          <w:rFonts w:ascii="Arial" w:cs="Arial" w:eastAsia="Arial" w:hAnsi="Arial"/>
          <w:sz w:val="16"/>
          <w:szCs w:val="16"/>
          <w:color w:val="auto"/>
        </w:rPr>
        <w:t>During September 2012, the 2002 Plan expired.</w:t>
      </w:r>
    </w:p>
    <w:p>
      <w:pPr>
        <w:spacing w:after="0" w:line="207" w:lineRule="exact"/>
        <w:rPr>
          <w:sz w:val="20"/>
          <w:szCs w:val="20"/>
          <w:color w:val="auto"/>
        </w:rPr>
      </w:pPr>
    </w:p>
    <w:p>
      <w:pPr>
        <w:ind w:left="565"/>
        <w:spacing w:after="0"/>
        <w:rPr>
          <w:sz w:val="20"/>
          <w:szCs w:val="20"/>
          <w:color w:val="auto"/>
        </w:rPr>
      </w:pPr>
      <w:r>
        <w:rPr>
          <w:rFonts w:ascii="Arial" w:cs="Arial" w:eastAsia="Arial" w:hAnsi="Arial"/>
          <w:sz w:val="16"/>
          <w:szCs w:val="16"/>
          <w:color w:val="auto"/>
        </w:rPr>
        <w:t>Additional information regarding options outstanding as of December 31, 2013 is as follows:</w:t>
      </w:r>
    </w:p>
    <w:p>
      <w:pPr>
        <w:spacing w:after="0" w:line="214" w:lineRule="exact"/>
        <w:rPr>
          <w:sz w:val="20"/>
          <w:szCs w:val="20"/>
          <w:color w:val="auto"/>
        </w:rPr>
      </w:pPr>
    </w:p>
    <w:tbl>
      <w:tblPr>
        <w:tblLayout w:type="fixed"/>
        <w:tblInd w:w="5" w:type="dxa"/>
        <w:tblCellMar>
          <w:top w:w="0" w:type="dxa"/>
          <w:left w:w="0" w:type="dxa"/>
          <w:bottom w:w="0" w:type="dxa"/>
          <w:right w:w="0" w:type="dxa"/>
        </w:tblCellMar>
      </w:tblPr>
      <w:tr>
        <w:trPr>
          <w:trHeight w:val="209"/>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Borders>
              <w:bottom w:val="single" w:sz="8" w:color="auto"/>
            </w:tcBorders>
            <w:gridSpan w:val="4"/>
          </w:tcPr>
          <w:p>
            <w:pPr>
              <w:jc w:val="right"/>
              <w:ind w:right="1121"/>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Pr>
          <w:p>
            <w:pPr>
              <w:spacing w:after="0"/>
              <w:rPr>
                <w:sz w:val="18"/>
                <w:szCs w:val="18"/>
                <w:color w:val="auto"/>
              </w:rPr>
            </w:pPr>
          </w:p>
        </w:tc>
        <w:tc>
          <w:tcPr>
            <w:tcW w:w="3700" w:type="dxa"/>
            <w:vAlign w:val="bottom"/>
            <w:tcBorders>
              <w:bottom w:val="single" w:sz="8" w:color="auto"/>
            </w:tcBorders>
            <w:gridSpan w:val="4"/>
          </w:tcPr>
          <w:p>
            <w:pPr>
              <w:jc w:val="right"/>
              <w:ind w:right="1101"/>
              <w:spacing w:after="0"/>
              <w:rPr>
                <w:sz w:val="20"/>
                <w:szCs w:val="20"/>
                <w:color w:val="auto"/>
              </w:rPr>
            </w:pPr>
            <w:r>
              <w:rPr>
                <w:rFonts w:ascii="Arial" w:cs="Arial" w:eastAsia="Arial" w:hAnsi="Arial"/>
                <w:sz w:val="16"/>
                <w:szCs w:val="16"/>
                <w:b w:val="1"/>
                <w:bCs w:val="1"/>
                <w:color w:val="auto"/>
              </w:rPr>
              <w:t>Options Exercisable</w:t>
            </w:r>
          </w:p>
        </w:tc>
        <w:tc>
          <w:tcPr>
            <w:tcW w:w="140" w:type="dxa"/>
            <w:vAlign w:val="bottom"/>
          </w:tcPr>
          <w:p>
            <w:pPr>
              <w:spacing w:after="0"/>
              <w:rPr>
                <w:sz w:val="18"/>
                <w:szCs w:val="18"/>
                <w:color w:val="auto"/>
              </w:rPr>
            </w:pPr>
          </w:p>
        </w:tc>
      </w:tr>
      <w:tr>
        <w:trPr>
          <w:trHeight w:val="362"/>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 Avg.</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9"/>
        </w:trPr>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6"/>
              </w:rPr>
              <w:t>Range of Exercise</w:t>
            </w:r>
          </w:p>
        </w:tc>
        <w:tc>
          <w:tcPr>
            <w:tcW w:w="120" w:type="dxa"/>
            <w:vAlign w:val="bottom"/>
          </w:tcPr>
          <w:p>
            <w:pPr>
              <w:spacing w:after="0"/>
              <w:rPr>
                <w:sz w:val="16"/>
                <w:szCs w:val="16"/>
                <w:color w:val="auto"/>
              </w:rPr>
            </w:pPr>
          </w:p>
        </w:tc>
        <w:tc>
          <w:tcPr>
            <w:tcW w:w="1920" w:type="dxa"/>
            <w:vAlign w:val="bottom"/>
            <w:gridSpan w:val="2"/>
          </w:tcPr>
          <w:p>
            <w:pPr>
              <w:ind w:left="620"/>
              <w:spacing w:after="0"/>
              <w:rPr>
                <w:sz w:val="20"/>
                <w:szCs w:val="20"/>
                <w:color w:val="auto"/>
              </w:rPr>
            </w:pPr>
            <w:r>
              <w:rPr>
                <w:rFonts w:ascii="Arial" w:cs="Arial" w:eastAsia="Arial" w:hAnsi="Arial"/>
                <w:sz w:val="16"/>
                <w:szCs w:val="16"/>
                <w:b w:val="1"/>
                <w:bCs w:val="1"/>
                <w:color w:val="auto"/>
              </w:rPr>
              <w:t>Number</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301"/>
              <w:spacing w:after="0"/>
              <w:rPr>
                <w:sz w:val="20"/>
                <w:szCs w:val="20"/>
                <w:color w:val="auto"/>
              </w:rPr>
            </w:pPr>
            <w:r>
              <w:rPr>
                <w:rFonts w:ascii="Arial" w:cs="Arial" w:eastAsia="Arial" w:hAnsi="Arial"/>
                <w:sz w:val="16"/>
                <w:szCs w:val="16"/>
                <w:b w:val="1"/>
                <w:bCs w:val="1"/>
                <w:color w:val="auto"/>
                <w:w w:val="98"/>
              </w:rPr>
              <w:t>Weighted Avg.</w:t>
            </w:r>
          </w:p>
        </w:tc>
        <w:tc>
          <w:tcPr>
            <w:tcW w:w="120" w:type="dxa"/>
            <w:vAlign w:val="bottom"/>
          </w:tcPr>
          <w:p>
            <w:pPr>
              <w:spacing w:after="0"/>
              <w:rPr>
                <w:sz w:val="16"/>
                <w:szCs w:val="16"/>
                <w:color w:val="auto"/>
              </w:rPr>
            </w:pPr>
          </w:p>
        </w:tc>
        <w:tc>
          <w:tcPr>
            <w:tcW w:w="1840" w:type="dxa"/>
            <w:vAlign w:val="bottom"/>
          </w:tcPr>
          <w:p>
            <w:pPr>
              <w:ind w:left="64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301"/>
              <w:spacing w:after="0"/>
              <w:rPr>
                <w:sz w:val="20"/>
                <w:szCs w:val="20"/>
                <w:color w:val="auto"/>
              </w:rPr>
            </w:pPr>
            <w:r>
              <w:rPr>
                <w:rFonts w:ascii="Arial" w:cs="Arial" w:eastAsia="Arial" w:hAnsi="Arial"/>
                <w:sz w:val="16"/>
                <w:szCs w:val="16"/>
                <w:b w:val="1"/>
                <w:bCs w:val="1"/>
                <w:color w:val="auto"/>
                <w:w w:val="98"/>
              </w:rPr>
              <w:t>Weighted Avg.</w:t>
            </w:r>
          </w:p>
        </w:tc>
        <w:tc>
          <w:tcPr>
            <w:tcW w:w="140" w:type="dxa"/>
            <w:vAlign w:val="bottom"/>
          </w:tcPr>
          <w:p>
            <w:pPr>
              <w:spacing w:after="0"/>
              <w:rPr>
                <w:sz w:val="16"/>
                <w:szCs w:val="16"/>
                <w:color w:val="auto"/>
              </w:rPr>
            </w:pPr>
          </w:p>
        </w:tc>
      </w:tr>
      <w:tr>
        <w:trPr>
          <w:trHeight w:val="209"/>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Prices</w:t>
            </w:r>
          </w:p>
        </w:tc>
        <w:tc>
          <w:tcPr>
            <w:tcW w:w="120" w:type="dxa"/>
            <w:vAlign w:val="bottom"/>
          </w:tcPr>
          <w:p>
            <w:pPr>
              <w:spacing w:after="0"/>
              <w:rPr>
                <w:sz w:val="18"/>
                <w:szCs w:val="18"/>
                <w:color w:val="auto"/>
              </w:rPr>
            </w:pPr>
          </w:p>
        </w:tc>
        <w:tc>
          <w:tcPr>
            <w:tcW w:w="18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Contractual Life (years)</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Pr>
          <w:p>
            <w:pPr>
              <w:spacing w:after="0"/>
              <w:rPr>
                <w:sz w:val="18"/>
                <w:szCs w:val="18"/>
                <w:color w:val="auto"/>
              </w:rPr>
            </w:pPr>
          </w:p>
        </w:tc>
        <w:tc>
          <w:tcPr>
            <w:tcW w:w="184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Exercisable</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Exercise Price</w:t>
            </w:r>
          </w:p>
        </w:tc>
        <w:tc>
          <w:tcPr>
            <w:tcW w:w="140" w:type="dxa"/>
            <w:vAlign w:val="bottom"/>
          </w:tcPr>
          <w:p>
            <w:pPr>
              <w:spacing w:after="0"/>
              <w:rPr>
                <w:sz w:val="18"/>
                <w:szCs w:val="18"/>
                <w:color w:val="auto"/>
              </w:rPr>
            </w:pPr>
          </w:p>
        </w:tc>
      </w:tr>
      <w:tr>
        <w:trPr>
          <w:trHeight w:val="189"/>
        </w:trPr>
        <w:tc>
          <w:tcPr>
            <w:tcW w:w="1620" w:type="dxa"/>
            <w:vAlign w:val="bottom"/>
          </w:tcPr>
          <w:p>
            <w:pPr>
              <w:spacing w:after="0"/>
              <w:rPr>
                <w:sz w:val="16"/>
                <w:szCs w:val="16"/>
                <w:color w:val="auto"/>
              </w:rPr>
            </w:pPr>
          </w:p>
        </w:tc>
        <w:tc>
          <w:tcPr>
            <w:tcW w:w="19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60" w:type="dxa"/>
            <w:vAlign w:val="bottom"/>
            <w:gridSpan w:val="2"/>
          </w:tcPr>
          <w:p>
            <w:pPr>
              <w:spacing w:after="0"/>
              <w:rPr>
                <w:sz w:val="16"/>
                <w:szCs w:val="16"/>
                <w:color w:val="auto"/>
              </w:rPr>
            </w:pPr>
          </w:p>
        </w:tc>
        <w:tc>
          <w:tcPr>
            <w:tcW w:w="1500" w:type="dxa"/>
            <w:vAlign w:val="bottom"/>
          </w:tcPr>
          <w:p>
            <w:pPr>
              <w:spacing w:after="0"/>
              <w:rPr>
                <w:sz w:val="16"/>
                <w:szCs w:val="16"/>
                <w:color w:val="auto"/>
              </w:rPr>
            </w:pPr>
          </w:p>
        </w:tc>
        <w:tc>
          <w:tcPr>
            <w:tcW w:w="1960" w:type="dxa"/>
            <w:vAlign w:val="bottom"/>
            <w:gridSpan w:val="2"/>
          </w:tcPr>
          <w:p>
            <w:pPr>
              <w:spacing w:after="0"/>
              <w:rPr>
                <w:sz w:val="16"/>
                <w:szCs w:val="16"/>
                <w:color w:val="auto"/>
              </w:rPr>
            </w:pPr>
          </w:p>
        </w:tc>
        <w:tc>
          <w:tcPr>
            <w:tcW w:w="360" w:type="dxa"/>
            <w:vAlign w:val="bottom"/>
            <w:gridSpan w:val="2"/>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$0.50</w:t>
            </w:r>
          </w:p>
        </w:tc>
        <w:tc>
          <w:tcPr>
            <w:tcW w:w="1940" w:type="dxa"/>
            <w:vAlign w:val="bottom"/>
            <w:gridSpan w:val="2"/>
            <w:shd w:val="clear" w:color="auto" w:fill="CCEEFF"/>
          </w:tcPr>
          <w:p>
            <w:pPr>
              <w:jc w:val="right"/>
              <w:ind w:right="621"/>
              <w:spacing w:after="0"/>
              <w:rPr>
                <w:sz w:val="20"/>
                <w:szCs w:val="20"/>
                <w:color w:val="auto"/>
              </w:rPr>
            </w:pPr>
            <w:r>
              <w:rPr>
                <w:rFonts w:ascii="Arial" w:cs="Arial" w:eastAsia="Arial" w:hAnsi="Arial"/>
                <w:sz w:val="16"/>
                <w:szCs w:val="16"/>
                <w:color w:val="auto"/>
              </w:rPr>
              <w:t>1,970,400</w:t>
            </w: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rPr>
              <w:t>0.77</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rPr>
              <w:t>0.50</w:t>
            </w:r>
          </w:p>
        </w:tc>
        <w:tc>
          <w:tcPr>
            <w:tcW w:w="1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1,970,400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rPr>
              <w:t>0.50</w:t>
            </w:r>
          </w:p>
        </w:tc>
        <w:tc>
          <w:tcPr>
            <w:tcW w:w="140" w:type="dxa"/>
            <w:vAlign w:val="bottom"/>
            <w:shd w:val="clear" w:color="auto" w:fill="CCEEFF"/>
          </w:tcPr>
          <w:p>
            <w:pPr>
              <w:spacing w:after="0"/>
              <w:rPr>
                <w:sz w:val="16"/>
                <w:szCs w:val="16"/>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6"/>
                <w:szCs w:val="16"/>
                <w:color w:val="auto"/>
                <w:w w:val="88"/>
              </w:rPr>
              <w:t>2.30-8.58</w:t>
            </w:r>
          </w:p>
        </w:tc>
        <w:tc>
          <w:tcPr>
            <w:tcW w:w="120" w:type="dxa"/>
            <w:vAlign w:val="bottom"/>
          </w:tcPr>
          <w:p>
            <w:pPr>
              <w:spacing w:after="0"/>
              <w:rPr>
                <w:sz w:val="18"/>
                <w:szCs w:val="18"/>
                <w:color w:val="auto"/>
              </w:rPr>
            </w:pPr>
          </w:p>
        </w:tc>
        <w:tc>
          <w:tcPr>
            <w:tcW w:w="182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2,596,735</w:t>
            </w:r>
          </w:p>
        </w:tc>
        <w:tc>
          <w:tcPr>
            <w:tcW w:w="100" w:type="dxa"/>
            <w:vAlign w:val="bottom"/>
          </w:tcPr>
          <w:p>
            <w:pPr>
              <w:spacing w:after="0"/>
              <w:rPr>
                <w:sz w:val="18"/>
                <w:szCs w:val="18"/>
                <w:color w:val="auto"/>
              </w:rPr>
            </w:pPr>
          </w:p>
        </w:tc>
        <w:tc>
          <w:tcPr>
            <w:tcW w:w="1860" w:type="dxa"/>
            <w:vAlign w:val="bottom"/>
          </w:tcPr>
          <w:p>
            <w:pPr>
              <w:jc w:val="right"/>
              <w:ind w:right="601"/>
              <w:spacing w:after="0"/>
              <w:rPr>
                <w:sz w:val="20"/>
                <w:szCs w:val="20"/>
                <w:color w:val="auto"/>
              </w:rPr>
            </w:pPr>
            <w:r>
              <w:rPr>
                <w:rFonts w:ascii="Arial" w:cs="Arial" w:eastAsia="Arial" w:hAnsi="Arial"/>
                <w:sz w:val="16"/>
                <w:szCs w:val="16"/>
                <w:color w:val="auto"/>
              </w:rPr>
              <w:t>4.86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601"/>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18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1,277,262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601"/>
              <w:spacing w:after="0"/>
              <w:rPr>
                <w:sz w:val="20"/>
                <w:szCs w:val="20"/>
                <w:color w:val="auto"/>
              </w:rPr>
            </w:pPr>
            <w:r>
              <w:rPr>
                <w:rFonts w:ascii="Arial" w:cs="Arial" w:eastAsia="Arial" w:hAnsi="Arial"/>
                <w:sz w:val="16"/>
                <w:szCs w:val="16"/>
                <w:color w:val="auto"/>
              </w:rPr>
              <w:t>4.54</w:t>
            </w:r>
          </w:p>
        </w:tc>
        <w:tc>
          <w:tcPr>
            <w:tcW w:w="140" w:type="dxa"/>
            <w:vAlign w:val="bottom"/>
          </w:tcPr>
          <w:p>
            <w:pPr>
              <w:spacing w:after="0"/>
              <w:rPr>
                <w:sz w:val="18"/>
                <w:szCs w:val="18"/>
                <w:color w:val="auto"/>
              </w:rPr>
            </w:pPr>
          </w:p>
        </w:tc>
      </w:tr>
      <w:tr>
        <w:trPr>
          <w:trHeight w:val="276"/>
        </w:trPr>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$0.50-$8.58</w:t>
            </w:r>
          </w:p>
        </w:tc>
        <w:tc>
          <w:tcPr>
            <w:tcW w:w="1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color w:val="auto"/>
              </w:rPr>
              <w:t>4,567,135</w:t>
            </w: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ind w:right="601"/>
              <w:spacing w:after="0"/>
              <w:rPr>
                <w:sz w:val="20"/>
                <w:szCs w:val="20"/>
                <w:color w:val="auto"/>
              </w:rPr>
            </w:pPr>
            <w:r>
              <w:rPr>
                <w:rFonts w:ascii="Arial" w:cs="Arial" w:eastAsia="Arial" w:hAnsi="Arial"/>
                <w:sz w:val="16"/>
                <w:szCs w:val="16"/>
                <w:color w:val="auto"/>
              </w:rPr>
              <w:t>3.10</w:t>
            </w:r>
          </w:p>
        </w:tc>
        <w:tc>
          <w:tcPr>
            <w:tcW w:w="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601"/>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3,247,662</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601"/>
              <w:spacing w:after="0"/>
              <w:rPr>
                <w:sz w:val="20"/>
                <w:szCs w:val="20"/>
                <w:color w:val="auto"/>
              </w:rPr>
            </w:pPr>
            <w:r>
              <w:rPr>
                <w:rFonts w:ascii="Arial" w:cs="Arial" w:eastAsia="Arial" w:hAnsi="Arial"/>
                <w:sz w:val="16"/>
                <w:szCs w:val="16"/>
                <w:color w:val="auto"/>
              </w:rPr>
              <w:t>2.09</w:t>
            </w:r>
          </w:p>
        </w:tc>
        <w:tc>
          <w:tcPr>
            <w:tcW w:w="140" w:type="dxa"/>
            <w:vAlign w:val="bottom"/>
            <w:tcBorders>
              <w:bottom w:val="single" w:sz="8" w:color="CCEEFF"/>
            </w:tcBorders>
            <w:shd w:val="clear" w:color="auto" w:fill="CCEEFF"/>
          </w:tcPr>
          <w:p>
            <w:pPr>
              <w:spacing w:after="0"/>
              <w:rPr>
                <w:sz w:val="24"/>
                <w:szCs w:val="24"/>
                <w:color w:val="auto"/>
              </w:rPr>
            </w:pPr>
          </w:p>
        </w:tc>
      </w:tr>
    </w:tbl>
    <w:p>
      <w:pPr>
        <w:spacing w:after="0" w:line="200"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Subsidiary Stock Option Plans</w:t>
      </w:r>
    </w:p>
    <w:p>
      <w:pPr>
        <w:spacing w:after="0" w:line="218" w:lineRule="exact"/>
        <w:rPr>
          <w:sz w:val="20"/>
          <w:szCs w:val="20"/>
          <w:color w:val="auto"/>
        </w:rPr>
      </w:pPr>
    </w:p>
    <w:p>
      <w:pPr>
        <w:ind w:left="5" w:right="160" w:firstLine="567"/>
        <w:spacing w:after="0" w:line="267" w:lineRule="auto"/>
        <w:rPr>
          <w:sz w:val="20"/>
          <w:szCs w:val="20"/>
          <w:color w:val="auto"/>
        </w:rPr>
      </w:pPr>
      <w:r>
        <w:rPr>
          <w:rFonts w:ascii="Arial" w:cs="Arial" w:eastAsia="Arial" w:hAnsi="Arial"/>
          <w:sz w:val="16"/>
          <w:szCs w:val="16"/>
          <w:color w:val="auto"/>
        </w:rPr>
        <w:t>During 2013 Asterias adopted an Equity Incentive Plan that has substantially the same operative provisions as BioTime’s 2012 Plan except that it permits the sale or grant of up to 4,500,000 shares of Asterias common stock.</w:t>
      </w:r>
    </w:p>
    <w:p>
      <w:pPr>
        <w:spacing w:after="0" w:line="181" w:lineRule="exact"/>
        <w:rPr>
          <w:sz w:val="20"/>
          <w:szCs w:val="20"/>
          <w:color w:val="auto"/>
        </w:rPr>
      </w:pPr>
    </w:p>
    <w:p>
      <w:pPr>
        <w:ind w:left="5" w:right="160" w:firstLine="567"/>
        <w:spacing w:after="0" w:line="253" w:lineRule="auto"/>
        <w:rPr>
          <w:sz w:val="20"/>
          <w:szCs w:val="20"/>
          <w:color w:val="auto"/>
        </w:rPr>
      </w:pPr>
      <w:r>
        <w:rPr>
          <w:rFonts w:ascii="Arial" w:cs="Arial" w:eastAsia="Arial" w:hAnsi="Arial"/>
          <w:sz w:val="16"/>
          <w:szCs w:val="16"/>
          <w:color w:val="auto"/>
        </w:rPr>
        <w:t>During 2011, BioTime’s subsidiary, LifeMap Sciences adopted a stock option plan that has substantially the same operative provisions as the BioTime 2002 Stock Option Plan. The LifeMap Sciences stock option plan authorized the sale of up to 8,000,000 shares of its common stock through the exercise of stock options or under restricted stock purchase agreements. During 2012, the LifeMap Sciences stock option plan was amended to reflect a 1 for 4 reverse stock split and a change in plan. As a result, the total number of shares that may be issued under the plan was adjusted to 1,842,168.</w:t>
      </w:r>
    </w:p>
    <w:p>
      <w:pPr>
        <w:spacing w:after="0" w:line="193" w:lineRule="exact"/>
        <w:rPr>
          <w:sz w:val="20"/>
          <w:szCs w:val="20"/>
          <w:color w:val="auto"/>
        </w:rPr>
      </w:pPr>
    </w:p>
    <w:p>
      <w:pPr>
        <w:ind w:left="5" w:right="120" w:firstLine="567"/>
        <w:spacing w:after="0" w:line="251" w:lineRule="auto"/>
        <w:rPr>
          <w:sz w:val="20"/>
          <w:szCs w:val="20"/>
          <w:color w:val="auto"/>
        </w:rPr>
      </w:pPr>
      <w:r>
        <w:rPr>
          <w:rFonts w:ascii="Arial" w:cs="Arial" w:eastAsia="Arial" w:hAnsi="Arial"/>
          <w:sz w:val="16"/>
          <w:szCs w:val="16"/>
          <w:color w:val="auto"/>
        </w:rPr>
        <w:t>During 2010, BioTime’s subsidiaries OncoCyte, OrthoCyte, ReCyte Therapeutics, and BioTime Asia adopted stock option plans that have substantially the same operative provisions as the BioTime 2002 Stock Option Plan. The OncoCyte, OrthoCyte and ReCyte Therapeutics stock option plans each authorize the sale of up to 4,000,000 shares of the applicable subsidiary’s common stock through the exercise of stock options or under restricted stock purchase agreements. The BioTime Asia stock option plan authorizes the sale of up to 1,600 ordinary shares through the exercise of stock options or under restricted stock purchase agreements. Cell Cure Neurosciences' option plan authorizes the sale of 14,100 ordinary shares through the exercise of stock options.</w:t>
      </w:r>
    </w:p>
    <w:p>
      <w:pPr>
        <w:spacing w:after="0" w:line="192" w:lineRule="exact"/>
        <w:rPr>
          <w:sz w:val="20"/>
          <w:szCs w:val="20"/>
          <w:color w:val="auto"/>
        </w:rPr>
      </w:pPr>
    </w:p>
    <w:tbl>
      <w:tblPr>
        <w:tblLayout w:type="fixed"/>
        <w:tblInd w:w="5" w:type="dxa"/>
        <w:tblCellMar>
          <w:top w:w="0" w:type="dxa"/>
          <w:left w:w="0" w:type="dxa"/>
          <w:bottom w:w="0" w:type="dxa"/>
          <w:right w:w="0" w:type="dxa"/>
        </w:tblCellMar>
      </w:tblPr>
      <w:tr>
        <w:trPr>
          <w:trHeight w:val="209"/>
        </w:trPr>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820" w:type="dxa"/>
            <w:vAlign w:val="bottom"/>
            <w:tcBorders>
              <w:bottom w:val="single" w:sz="8" w:color="auto"/>
            </w:tcBorders>
            <w:gridSpan w:val="4"/>
          </w:tcPr>
          <w:p>
            <w:pPr>
              <w:ind w:left="1200"/>
              <w:spacing w:after="0"/>
              <w:rPr>
                <w:sz w:val="20"/>
                <w:szCs w:val="20"/>
                <w:color w:val="auto"/>
              </w:rPr>
            </w:pPr>
            <w:r>
              <w:rPr>
                <w:rFonts w:ascii="Arial" w:cs="Arial" w:eastAsia="Arial" w:hAnsi="Arial"/>
                <w:sz w:val="16"/>
                <w:szCs w:val="16"/>
                <w:b w:val="1"/>
                <w:bCs w:val="1"/>
                <w:color w:val="auto"/>
              </w:rPr>
              <w:t>Options Outstanding</w:t>
            </w:r>
          </w:p>
        </w:tc>
        <w:tc>
          <w:tcPr>
            <w:tcW w:w="200" w:type="dxa"/>
            <w:vAlign w:val="bottom"/>
          </w:tcPr>
          <w:p>
            <w:pPr>
              <w:spacing w:after="0"/>
              <w:rPr>
                <w:sz w:val="18"/>
                <w:szCs w:val="18"/>
                <w:color w:val="auto"/>
              </w:rPr>
            </w:pPr>
          </w:p>
        </w:tc>
        <w:tc>
          <w:tcPr>
            <w:tcW w:w="3640" w:type="dxa"/>
            <w:vAlign w:val="bottom"/>
            <w:tcBorders>
              <w:bottom w:val="single" w:sz="8" w:color="auto"/>
            </w:tcBorders>
            <w:gridSpan w:val="4"/>
          </w:tcPr>
          <w:p>
            <w:pPr>
              <w:ind w:left="1140"/>
              <w:spacing w:after="0"/>
              <w:rPr>
                <w:sz w:val="20"/>
                <w:szCs w:val="20"/>
                <w:color w:val="auto"/>
              </w:rPr>
            </w:pPr>
            <w:r>
              <w:rPr>
                <w:rFonts w:ascii="Arial" w:cs="Arial" w:eastAsia="Arial" w:hAnsi="Arial"/>
                <w:sz w:val="16"/>
                <w:szCs w:val="16"/>
                <w:b w:val="1"/>
                <w:bCs w:val="1"/>
                <w:color w:val="auto"/>
              </w:rPr>
              <w:t>Options Exercisable</w:t>
            </w:r>
          </w:p>
        </w:tc>
        <w:tc>
          <w:tcPr>
            <w:tcW w:w="80" w:type="dxa"/>
            <w:vAlign w:val="bottom"/>
          </w:tcPr>
          <w:p>
            <w:pPr>
              <w:spacing w:after="0"/>
              <w:rPr>
                <w:sz w:val="18"/>
                <w:szCs w:val="18"/>
                <w:color w:val="auto"/>
              </w:rPr>
            </w:pPr>
          </w:p>
        </w:tc>
      </w:tr>
      <w:tr>
        <w:trPr>
          <w:trHeight w:val="362"/>
        </w:trPr>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 Avg.</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6"/>
              </w:rPr>
              <w:t>Range of Exercise</w:t>
            </w:r>
          </w:p>
        </w:tc>
        <w:tc>
          <w:tcPr>
            <w:tcW w:w="240" w:type="dxa"/>
            <w:vAlign w:val="bottom"/>
          </w:tcPr>
          <w:p>
            <w:pPr>
              <w:spacing w:after="0"/>
              <w:rPr>
                <w:sz w:val="16"/>
                <w:szCs w:val="16"/>
                <w:color w:val="auto"/>
              </w:rPr>
            </w:pPr>
          </w:p>
        </w:tc>
        <w:tc>
          <w:tcPr>
            <w:tcW w:w="1860" w:type="dxa"/>
            <w:vAlign w:val="bottom"/>
          </w:tcPr>
          <w:p>
            <w:pPr>
              <w:jc w:val="right"/>
              <w:ind w:right="581"/>
              <w:spacing w:after="0"/>
              <w:rPr>
                <w:sz w:val="20"/>
                <w:szCs w:val="20"/>
                <w:color w:val="auto"/>
              </w:rPr>
            </w:pPr>
            <w:r>
              <w:rPr>
                <w:rFonts w:ascii="Arial" w:cs="Arial" w:eastAsia="Arial" w:hAnsi="Arial"/>
                <w:sz w:val="16"/>
                <w:szCs w:val="16"/>
                <w:b w:val="1"/>
                <w:bCs w:val="1"/>
                <w:color w:val="auto"/>
              </w:rPr>
              <w:t>Number</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ind w:left="160"/>
              <w:spacing w:after="0"/>
              <w:rPr>
                <w:sz w:val="20"/>
                <w:szCs w:val="20"/>
                <w:color w:val="auto"/>
              </w:rPr>
            </w:pPr>
            <w:r>
              <w:rPr>
                <w:rFonts w:ascii="Arial" w:cs="Arial" w:eastAsia="Arial" w:hAnsi="Arial"/>
                <w:sz w:val="16"/>
                <w:szCs w:val="16"/>
                <w:b w:val="1"/>
                <w:bCs w:val="1"/>
                <w:color w:val="auto"/>
              </w:rPr>
              <w:t>Weighted Avg.</w:t>
            </w:r>
          </w:p>
        </w:tc>
        <w:tc>
          <w:tcPr>
            <w:tcW w:w="200" w:type="dxa"/>
            <w:vAlign w:val="bottom"/>
          </w:tcPr>
          <w:p>
            <w:pPr>
              <w:spacing w:after="0"/>
              <w:rPr>
                <w:sz w:val="16"/>
                <w:szCs w:val="16"/>
                <w:color w:val="auto"/>
              </w:rPr>
            </w:pPr>
          </w:p>
        </w:tc>
        <w:tc>
          <w:tcPr>
            <w:tcW w:w="1820" w:type="dxa"/>
            <w:vAlign w:val="bottom"/>
          </w:tcPr>
          <w:p>
            <w:pPr>
              <w:jc w:val="right"/>
              <w:ind w:right="541"/>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ind w:left="160"/>
              <w:spacing w:after="0"/>
              <w:rPr>
                <w:sz w:val="20"/>
                <w:szCs w:val="20"/>
                <w:color w:val="auto"/>
              </w:rPr>
            </w:pPr>
            <w:r>
              <w:rPr>
                <w:rFonts w:ascii="Arial" w:cs="Arial" w:eastAsia="Arial" w:hAnsi="Arial"/>
                <w:sz w:val="16"/>
                <w:szCs w:val="16"/>
                <w:b w:val="1"/>
                <w:bCs w:val="1"/>
                <w:color w:val="auto"/>
              </w:rPr>
              <w:t>Weighted Avg.</w:t>
            </w:r>
          </w:p>
        </w:tc>
        <w:tc>
          <w:tcPr>
            <w:tcW w:w="80" w:type="dxa"/>
            <w:vAlign w:val="bottom"/>
          </w:tcPr>
          <w:p>
            <w:pPr>
              <w:spacing w:after="0"/>
              <w:rPr>
                <w:sz w:val="16"/>
                <w:szCs w:val="16"/>
                <w:color w:val="auto"/>
              </w:rPr>
            </w:pPr>
          </w:p>
        </w:tc>
      </w:tr>
      <w:tr>
        <w:trPr>
          <w:trHeight w:val="209"/>
        </w:trPr>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Prices</w:t>
            </w:r>
          </w:p>
        </w:tc>
        <w:tc>
          <w:tcPr>
            <w:tcW w:w="240" w:type="dxa"/>
            <w:vAlign w:val="bottom"/>
          </w:tcPr>
          <w:p>
            <w:pPr>
              <w:spacing w:after="0"/>
              <w:rPr>
                <w:sz w:val="18"/>
                <w:szCs w:val="18"/>
                <w:color w:val="auto"/>
              </w:rPr>
            </w:pPr>
          </w:p>
        </w:tc>
        <w:tc>
          <w:tcPr>
            <w:tcW w:w="186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Outstanding</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Contractual Life (years)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Exercise Price</w:t>
            </w:r>
          </w:p>
        </w:tc>
        <w:tc>
          <w:tcPr>
            <w:tcW w:w="200" w:type="dxa"/>
            <w:vAlign w:val="bottom"/>
          </w:tcPr>
          <w:p>
            <w:pPr>
              <w:spacing w:after="0"/>
              <w:rPr>
                <w:sz w:val="18"/>
                <w:szCs w:val="18"/>
                <w:color w:val="auto"/>
              </w:rPr>
            </w:pPr>
          </w:p>
        </w:tc>
        <w:tc>
          <w:tcPr>
            <w:tcW w:w="18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Exercisable</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Exercise Price</w:t>
            </w:r>
          </w:p>
        </w:tc>
        <w:tc>
          <w:tcPr>
            <w:tcW w:w="80" w:type="dxa"/>
            <w:vAlign w:val="bottom"/>
          </w:tcPr>
          <w:p>
            <w:pPr>
              <w:spacing w:after="0"/>
              <w:rPr>
                <w:sz w:val="18"/>
                <w:szCs w:val="18"/>
                <w:color w:val="auto"/>
              </w:rPr>
            </w:pPr>
          </w:p>
        </w:tc>
      </w:tr>
      <w:tr>
        <w:trPr>
          <w:trHeight w:val="189"/>
        </w:trPr>
        <w:tc>
          <w:tcPr>
            <w:tcW w:w="1600" w:type="dxa"/>
            <w:vAlign w:val="bottom"/>
          </w:tcPr>
          <w:p>
            <w:pPr>
              <w:spacing w:after="0"/>
              <w:rPr>
                <w:sz w:val="16"/>
                <w:szCs w:val="16"/>
                <w:color w:val="auto"/>
              </w:rPr>
            </w:pPr>
          </w:p>
        </w:tc>
        <w:tc>
          <w:tcPr>
            <w:tcW w:w="2100" w:type="dxa"/>
            <w:vAlign w:val="bottom"/>
            <w:gridSpan w:val="2"/>
          </w:tcPr>
          <w:p>
            <w:pPr>
              <w:spacing w:after="0"/>
              <w:rPr>
                <w:sz w:val="16"/>
                <w:szCs w:val="16"/>
                <w:color w:val="auto"/>
              </w:rPr>
            </w:pPr>
          </w:p>
        </w:tc>
        <w:tc>
          <w:tcPr>
            <w:tcW w:w="188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1500" w:type="dxa"/>
            <w:vAlign w:val="bottom"/>
          </w:tcPr>
          <w:p>
            <w:pPr>
              <w:spacing w:after="0"/>
              <w:rPr>
                <w:sz w:val="16"/>
                <w:szCs w:val="16"/>
                <w:color w:val="auto"/>
              </w:rPr>
            </w:pPr>
          </w:p>
        </w:tc>
        <w:tc>
          <w:tcPr>
            <w:tcW w:w="2020" w:type="dxa"/>
            <w:vAlign w:val="bottom"/>
            <w:gridSpan w:val="2"/>
          </w:tcPr>
          <w:p>
            <w:pPr>
              <w:spacing w:after="0"/>
              <w:rPr>
                <w:sz w:val="16"/>
                <w:szCs w:val="16"/>
                <w:color w:val="auto"/>
              </w:rPr>
            </w:pPr>
          </w:p>
        </w:tc>
        <w:tc>
          <w:tcPr>
            <w:tcW w:w="320" w:type="dxa"/>
            <w:vAlign w:val="bottom"/>
            <w:gridSpan w:val="2"/>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$0.003-$0.75</w:t>
            </w:r>
          </w:p>
        </w:tc>
        <w:tc>
          <w:tcPr>
            <w:tcW w:w="2100" w:type="dxa"/>
            <w:vAlign w:val="bottom"/>
            <w:gridSpan w:val="2"/>
            <w:shd w:val="clear" w:color="auto" w:fill="CCEEFF"/>
          </w:tcPr>
          <w:p>
            <w:pPr>
              <w:jc w:val="right"/>
              <w:ind w:right="621"/>
              <w:spacing w:after="0"/>
              <w:rPr>
                <w:sz w:val="20"/>
                <w:szCs w:val="20"/>
                <w:color w:val="auto"/>
              </w:rPr>
            </w:pPr>
            <w:r>
              <w:rPr>
                <w:rFonts w:ascii="Arial" w:cs="Arial" w:eastAsia="Arial" w:hAnsi="Arial"/>
                <w:sz w:val="16"/>
                <w:szCs w:val="16"/>
                <w:color w:val="auto"/>
              </w:rPr>
              <w:t>5,256,226</w:t>
            </w:r>
          </w:p>
        </w:tc>
        <w:tc>
          <w:tcPr>
            <w:tcW w:w="188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rPr>
              <w:t>5.96</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center"/>
              <w:ind w:right="21"/>
              <w:spacing w:after="0"/>
              <w:rPr>
                <w:sz w:val="20"/>
                <w:szCs w:val="20"/>
                <w:color w:val="auto"/>
              </w:rPr>
            </w:pPr>
            <w:r>
              <w:rPr>
                <w:rFonts w:ascii="Arial" w:cs="Arial" w:eastAsia="Arial" w:hAnsi="Arial"/>
                <w:sz w:val="16"/>
                <w:szCs w:val="16"/>
                <w:color w:val="auto"/>
                <w:w w:val="89"/>
              </w:rPr>
              <w:t>0.36</w:t>
            </w:r>
          </w:p>
        </w:tc>
        <w:tc>
          <w:tcPr>
            <w:tcW w:w="2020" w:type="dxa"/>
            <w:vAlign w:val="bottom"/>
            <w:gridSpan w:val="2"/>
            <w:shd w:val="clear" w:color="auto" w:fill="CCEEFF"/>
          </w:tcPr>
          <w:p>
            <w:pPr>
              <w:jc w:val="right"/>
              <w:ind w:right="601"/>
              <w:spacing w:after="0"/>
              <w:rPr>
                <w:sz w:val="20"/>
                <w:szCs w:val="20"/>
                <w:color w:val="auto"/>
              </w:rPr>
            </w:pPr>
            <w:r>
              <w:rPr>
                <w:rFonts w:ascii="Arial" w:cs="Arial" w:eastAsia="Arial" w:hAnsi="Arial"/>
                <w:sz w:val="16"/>
                <w:szCs w:val="16"/>
                <w:color w:val="auto"/>
              </w:rPr>
              <w:t>4,089,035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center"/>
              <w:ind w:right="21"/>
              <w:spacing w:after="0"/>
              <w:rPr>
                <w:sz w:val="20"/>
                <w:szCs w:val="20"/>
                <w:color w:val="auto"/>
              </w:rPr>
            </w:pPr>
            <w:r>
              <w:rPr>
                <w:rFonts w:ascii="Arial" w:cs="Arial" w:eastAsia="Arial" w:hAnsi="Arial"/>
                <w:sz w:val="16"/>
                <w:szCs w:val="16"/>
                <w:color w:val="auto"/>
                <w:w w:val="89"/>
              </w:rPr>
              <w:t>0.35</w:t>
            </w:r>
          </w:p>
        </w:tc>
        <w:tc>
          <w:tcPr>
            <w:tcW w:w="80" w:type="dxa"/>
            <w:vAlign w:val="bottom"/>
            <w:shd w:val="clear" w:color="auto" w:fill="CCEEFF"/>
          </w:tcPr>
          <w:p>
            <w:pPr>
              <w:spacing w:after="0"/>
              <w:rPr>
                <w:sz w:val="16"/>
                <w:szCs w:val="16"/>
                <w:color w:val="auto"/>
              </w:rPr>
            </w:pPr>
          </w:p>
        </w:tc>
      </w:tr>
      <w:tr>
        <w:trPr>
          <w:trHeight w:val="189"/>
        </w:trPr>
        <w:tc>
          <w:tcPr>
            <w:tcW w:w="1600" w:type="dxa"/>
            <w:vAlign w:val="bottom"/>
          </w:tcPr>
          <w:p>
            <w:pPr>
              <w:jc w:val="center"/>
              <w:spacing w:after="0"/>
              <w:rPr>
                <w:sz w:val="20"/>
                <w:szCs w:val="20"/>
                <w:color w:val="auto"/>
              </w:rPr>
            </w:pPr>
            <w:r>
              <w:rPr>
                <w:rFonts w:ascii="Arial" w:cs="Arial" w:eastAsia="Arial" w:hAnsi="Arial"/>
                <w:sz w:val="16"/>
                <w:szCs w:val="16"/>
                <w:color w:val="auto"/>
                <w:w w:val="88"/>
              </w:rPr>
              <w:t>1.00-1.75</w:t>
            </w:r>
          </w:p>
        </w:tc>
        <w:tc>
          <w:tcPr>
            <w:tcW w:w="2100" w:type="dxa"/>
            <w:vAlign w:val="bottom"/>
            <w:gridSpan w:val="2"/>
          </w:tcPr>
          <w:p>
            <w:pPr>
              <w:jc w:val="right"/>
              <w:ind w:right="621"/>
              <w:spacing w:after="0"/>
              <w:rPr>
                <w:sz w:val="20"/>
                <w:szCs w:val="20"/>
                <w:color w:val="auto"/>
              </w:rPr>
            </w:pPr>
            <w:r>
              <w:rPr>
                <w:rFonts w:ascii="Arial" w:cs="Arial" w:eastAsia="Arial" w:hAnsi="Arial"/>
                <w:sz w:val="16"/>
                <w:szCs w:val="16"/>
                <w:color w:val="auto"/>
              </w:rPr>
              <w:t>2,072,342</w:t>
            </w:r>
          </w:p>
        </w:tc>
        <w:tc>
          <w:tcPr>
            <w:tcW w:w="1880" w:type="dxa"/>
            <w:vAlign w:val="bottom"/>
          </w:tcPr>
          <w:p>
            <w:pPr>
              <w:jc w:val="right"/>
              <w:ind w:right="601"/>
              <w:spacing w:after="0"/>
              <w:rPr>
                <w:sz w:val="20"/>
                <w:szCs w:val="20"/>
                <w:color w:val="auto"/>
              </w:rPr>
            </w:pPr>
            <w:r>
              <w:rPr>
                <w:rFonts w:ascii="Arial" w:cs="Arial" w:eastAsia="Arial" w:hAnsi="Arial"/>
                <w:sz w:val="16"/>
                <w:szCs w:val="16"/>
                <w:color w:val="auto"/>
              </w:rPr>
              <w:t>5.86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center"/>
              <w:ind w:right="21"/>
              <w:spacing w:after="0"/>
              <w:rPr>
                <w:sz w:val="20"/>
                <w:szCs w:val="20"/>
                <w:color w:val="auto"/>
              </w:rPr>
            </w:pPr>
            <w:r>
              <w:rPr>
                <w:rFonts w:ascii="Arial" w:cs="Arial" w:eastAsia="Arial" w:hAnsi="Arial"/>
                <w:sz w:val="16"/>
                <w:szCs w:val="16"/>
                <w:color w:val="auto"/>
                <w:w w:val="89"/>
              </w:rPr>
              <w:t>1.57</w:t>
            </w:r>
          </w:p>
        </w:tc>
        <w:tc>
          <w:tcPr>
            <w:tcW w:w="2020" w:type="dxa"/>
            <w:vAlign w:val="bottom"/>
            <w:gridSpan w:val="2"/>
          </w:tcPr>
          <w:p>
            <w:pPr>
              <w:jc w:val="right"/>
              <w:ind w:right="601"/>
              <w:spacing w:after="0"/>
              <w:rPr>
                <w:sz w:val="20"/>
                <w:szCs w:val="20"/>
                <w:color w:val="auto"/>
              </w:rPr>
            </w:pPr>
            <w:r>
              <w:rPr>
                <w:rFonts w:ascii="Arial" w:cs="Arial" w:eastAsia="Arial" w:hAnsi="Arial"/>
                <w:sz w:val="16"/>
                <w:szCs w:val="16"/>
                <w:color w:val="auto"/>
              </w:rPr>
              <w:t>571,073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center"/>
              <w:ind w:right="21"/>
              <w:spacing w:after="0"/>
              <w:rPr>
                <w:sz w:val="20"/>
                <w:szCs w:val="20"/>
                <w:color w:val="auto"/>
              </w:rPr>
            </w:pPr>
            <w:r>
              <w:rPr>
                <w:rFonts w:ascii="Arial" w:cs="Arial" w:eastAsia="Arial" w:hAnsi="Arial"/>
                <w:sz w:val="16"/>
                <w:szCs w:val="16"/>
                <w:color w:val="auto"/>
                <w:w w:val="89"/>
              </w:rPr>
              <w:t>1.43</w:t>
            </w:r>
          </w:p>
        </w:tc>
        <w:tc>
          <w:tcPr>
            <w:tcW w:w="80" w:type="dxa"/>
            <w:vAlign w:val="bottom"/>
          </w:tcPr>
          <w:p>
            <w:pPr>
              <w:spacing w:after="0"/>
              <w:rPr>
                <w:sz w:val="16"/>
                <w:szCs w:val="16"/>
                <w:color w:val="auto"/>
              </w:rPr>
            </w:pPr>
          </w:p>
        </w:tc>
      </w:tr>
      <w:tr>
        <w:trPr>
          <w:trHeight w:val="189"/>
        </w:trPr>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2.05-2.34</w:t>
            </w:r>
          </w:p>
        </w:tc>
        <w:tc>
          <w:tcPr>
            <w:tcW w:w="2100" w:type="dxa"/>
            <w:vAlign w:val="bottom"/>
            <w:gridSpan w:val="2"/>
            <w:shd w:val="clear" w:color="auto" w:fill="CCEEFF"/>
          </w:tcPr>
          <w:p>
            <w:pPr>
              <w:jc w:val="right"/>
              <w:ind w:right="621"/>
              <w:spacing w:after="0"/>
              <w:rPr>
                <w:sz w:val="20"/>
                <w:szCs w:val="20"/>
                <w:color w:val="auto"/>
              </w:rPr>
            </w:pPr>
            <w:r>
              <w:rPr>
                <w:rFonts w:ascii="Arial" w:cs="Arial" w:eastAsia="Arial" w:hAnsi="Arial"/>
                <w:sz w:val="16"/>
                <w:szCs w:val="16"/>
                <w:color w:val="auto"/>
              </w:rPr>
              <w:t>4,080,000</w:t>
            </w:r>
          </w:p>
        </w:tc>
        <w:tc>
          <w:tcPr>
            <w:tcW w:w="188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rPr>
              <w:t>6.39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center"/>
              <w:ind w:right="21"/>
              <w:spacing w:after="0"/>
              <w:rPr>
                <w:sz w:val="20"/>
                <w:szCs w:val="20"/>
                <w:color w:val="auto"/>
              </w:rPr>
            </w:pPr>
            <w:r>
              <w:rPr>
                <w:rFonts w:ascii="Arial" w:cs="Arial" w:eastAsia="Arial" w:hAnsi="Arial"/>
                <w:sz w:val="16"/>
                <w:szCs w:val="16"/>
                <w:color w:val="auto"/>
                <w:w w:val="89"/>
              </w:rPr>
              <w:t>2.25</w:t>
            </w:r>
          </w:p>
        </w:tc>
        <w:tc>
          <w:tcPr>
            <w:tcW w:w="2020" w:type="dxa"/>
            <w:vAlign w:val="bottom"/>
            <w:gridSpan w:val="2"/>
            <w:shd w:val="clear" w:color="auto" w:fill="CCEEFF"/>
          </w:tcPr>
          <w:p>
            <w:pPr>
              <w:jc w:val="right"/>
              <w:ind w:right="601"/>
              <w:spacing w:after="0"/>
              <w:rPr>
                <w:sz w:val="20"/>
                <w:szCs w:val="20"/>
                <w:color w:val="auto"/>
              </w:rPr>
            </w:pPr>
            <w:r>
              <w:rPr>
                <w:rFonts w:ascii="Arial" w:cs="Arial" w:eastAsia="Arial" w:hAnsi="Arial"/>
                <w:sz w:val="16"/>
                <w:szCs w:val="16"/>
                <w:color w:val="auto"/>
              </w:rPr>
              <w:t>1,294,062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center"/>
              <w:ind w:right="21"/>
              <w:spacing w:after="0"/>
              <w:rPr>
                <w:sz w:val="20"/>
                <w:szCs w:val="20"/>
                <w:color w:val="auto"/>
              </w:rPr>
            </w:pPr>
            <w:r>
              <w:rPr>
                <w:rFonts w:ascii="Arial" w:cs="Arial" w:eastAsia="Arial" w:hAnsi="Arial"/>
                <w:sz w:val="16"/>
                <w:szCs w:val="16"/>
                <w:color w:val="auto"/>
                <w:w w:val="89"/>
              </w:rPr>
              <w:t>2.16</w:t>
            </w:r>
          </w:p>
        </w:tc>
        <w:tc>
          <w:tcPr>
            <w:tcW w:w="80" w:type="dxa"/>
            <w:vAlign w:val="bottom"/>
            <w:shd w:val="clear" w:color="auto" w:fill="CCEEFF"/>
          </w:tcPr>
          <w:p>
            <w:pPr>
              <w:spacing w:after="0"/>
              <w:rPr>
                <w:sz w:val="16"/>
                <w:szCs w:val="16"/>
                <w:color w:val="auto"/>
              </w:rPr>
            </w:pPr>
          </w:p>
        </w:tc>
      </w:tr>
      <w:tr>
        <w:trPr>
          <w:trHeight w:val="216"/>
        </w:trPr>
        <w:tc>
          <w:tcPr>
            <w:tcW w:w="1600" w:type="dxa"/>
            <w:vAlign w:val="bottom"/>
          </w:tcPr>
          <w:p>
            <w:pPr>
              <w:jc w:val="center"/>
              <w:spacing w:after="0"/>
              <w:rPr>
                <w:sz w:val="20"/>
                <w:szCs w:val="20"/>
                <w:color w:val="auto"/>
              </w:rPr>
            </w:pPr>
            <w:r>
              <w:rPr>
                <w:rFonts w:ascii="Arial" w:cs="Arial" w:eastAsia="Arial" w:hAnsi="Arial"/>
                <w:sz w:val="16"/>
                <w:szCs w:val="16"/>
                <w:color w:val="auto"/>
                <w:w w:val="88"/>
              </w:rPr>
              <w:t>27.00-42.02</w:t>
            </w:r>
          </w:p>
        </w:tc>
        <w:tc>
          <w:tcPr>
            <w:tcW w:w="240" w:type="dxa"/>
            <w:vAlign w:val="bottom"/>
          </w:tcPr>
          <w:p>
            <w:pPr>
              <w:spacing w:after="0"/>
              <w:rPr>
                <w:sz w:val="18"/>
                <w:szCs w:val="18"/>
                <w:color w:val="auto"/>
              </w:rPr>
            </w:pPr>
          </w:p>
        </w:tc>
        <w:tc>
          <w:tcPr>
            <w:tcW w:w="186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7,840</w:t>
            </w:r>
          </w:p>
        </w:tc>
        <w:tc>
          <w:tcPr>
            <w:tcW w:w="1880" w:type="dxa"/>
            <w:vAlign w:val="bottom"/>
          </w:tcPr>
          <w:p>
            <w:pPr>
              <w:jc w:val="right"/>
              <w:ind w:right="601"/>
              <w:spacing w:after="0"/>
              <w:rPr>
                <w:sz w:val="20"/>
                <w:szCs w:val="20"/>
                <w:color w:val="auto"/>
              </w:rPr>
            </w:pPr>
            <w:r>
              <w:rPr>
                <w:rFonts w:ascii="Arial" w:cs="Arial" w:eastAsia="Arial" w:hAnsi="Arial"/>
                <w:sz w:val="16"/>
                <w:szCs w:val="16"/>
                <w:color w:val="auto"/>
              </w:rPr>
              <w:t>6.80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41"/>
              <w:spacing w:after="0"/>
              <w:rPr>
                <w:sz w:val="20"/>
                <w:szCs w:val="20"/>
                <w:color w:val="auto"/>
              </w:rPr>
            </w:pPr>
            <w:r>
              <w:rPr>
                <w:rFonts w:ascii="Arial" w:cs="Arial" w:eastAsia="Arial" w:hAnsi="Arial"/>
                <w:sz w:val="16"/>
                <w:szCs w:val="16"/>
                <w:color w:val="auto"/>
                <w:w w:val="84"/>
              </w:rPr>
              <w:t>37.35</w:t>
            </w:r>
          </w:p>
        </w:tc>
        <w:tc>
          <w:tcPr>
            <w:tcW w:w="200" w:type="dxa"/>
            <w:vAlign w:val="bottom"/>
          </w:tcPr>
          <w:p>
            <w:pPr>
              <w:spacing w:after="0"/>
              <w:rPr>
                <w:sz w:val="18"/>
                <w:szCs w:val="18"/>
                <w:color w:val="auto"/>
              </w:rPr>
            </w:pPr>
          </w:p>
        </w:tc>
        <w:tc>
          <w:tcPr>
            <w:tcW w:w="182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rPr>
              <w:t>7,840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21"/>
              <w:spacing w:after="0"/>
              <w:rPr>
                <w:sz w:val="20"/>
                <w:szCs w:val="20"/>
                <w:color w:val="auto"/>
              </w:rPr>
            </w:pPr>
            <w:r>
              <w:rPr>
                <w:rFonts w:ascii="Arial" w:cs="Arial" w:eastAsia="Arial" w:hAnsi="Arial"/>
                <w:sz w:val="16"/>
                <w:szCs w:val="16"/>
                <w:color w:val="auto"/>
                <w:w w:val="89"/>
              </w:rPr>
              <w:t>37.35</w:t>
            </w:r>
          </w:p>
        </w:tc>
        <w:tc>
          <w:tcPr>
            <w:tcW w:w="80" w:type="dxa"/>
            <w:vAlign w:val="bottom"/>
          </w:tcPr>
          <w:p>
            <w:pPr>
              <w:spacing w:after="0"/>
              <w:rPr>
                <w:sz w:val="18"/>
                <w:szCs w:val="18"/>
                <w:color w:val="auto"/>
              </w:rPr>
            </w:pPr>
          </w:p>
        </w:tc>
      </w:tr>
      <w:tr>
        <w:trPr>
          <w:trHeight w:val="276"/>
        </w:trPr>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$0.003-$42.02</w:t>
            </w: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6"/>
                <w:szCs w:val="16"/>
                <w:color w:val="auto"/>
              </w:rPr>
              <w:t>11,416,408</w:t>
            </w:r>
          </w:p>
        </w:tc>
        <w:tc>
          <w:tcPr>
            <w:tcW w:w="1880" w:type="dxa"/>
            <w:vAlign w:val="bottom"/>
            <w:tcBorders>
              <w:bottom w:val="single" w:sz="8" w:color="CCEEFF"/>
            </w:tcBorders>
            <w:shd w:val="clear" w:color="auto" w:fill="CCEEFF"/>
          </w:tcPr>
          <w:p>
            <w:pPr>
              <w:jc w:val="right"/>
              <w:ind w:right="601"/>
              <w:spacing w:after="0"/>
              <w:rPr>
                <w:sz w:val="20"/>
                <w:szCs w:val="20"/>
                <w:color w:val="auto"/>
              </w:rPr>
            </w:pPr>
            <w:r>
              <w:rPr>
                <w:rFonts w:ascii="Arial" w:cs="Arial" w:eastAsia="Arial" w:hAnsi="Arial"/>
                <w:sz w:val="16"/>
                <w:szCs w:val="16"/>
                <w:color w:val="auto"/>
              </w:rPr>
              <w:t>6.10</w:t>
            </w: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center"/>
              <w:ind w:right="21"/>
              <w:spacing w:after="0"/>
              <w:rPr>
                <w:sz w:val="20"/>
                <w:szCs w:val="20"/>
                <w:color w:val="auto"/>
              </w:rPr>
            </w:pPr>
            <w:r>
              <w:rPr>
                <w:rFonts w:ascii="Arial" w:cs="Arial" w:eastAsia="Arial" w:hAnsi="Arial"/>
                <w:sz w:val="16"/>
                <w:szCs w:val="16"/>
                <w:color w:val="auto"/>
                <w:w w:val="89"/>
              </w:rPr>
              <w:t>1.28</w:t>
            </w: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rPr>
              <w:t>5,962,010</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center"/>
              <w:ind w:right="21"/>
              <w:spacing w:after="0"/>
              <w:rPr>
                <w:sz w:val="20"/>
                <w:szCs w:val="20"/>
                <w:color w:val="auto"/>
              </w:rPr>
            </w:pPr>
            <w:r>
              <w:rPr>
                <w:rFonts w:ascii="Arial" w:cs="Arial" w:eastAsia="Arial" w:hAnsi="Arial"/>
                <w:sz w:val="16"/>
                <w:szCs w:val="16"/>
                <w:color w:val="auto"/>
                <w:w w:val="89"/>
              </w:rPr>
              <w:t>0.89</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200" w:lineRule="exact"/>
        <w:rPr>
          <w:sz w:val="20"/>
          <w:szCs w:val="20"/>
          <w:color w:val="auto"/>
        </w:rPr>
      </w:pPr>
    </w:p>
    <w:p>
      <w:pPr>
        <w:ind w:left="5" w:right="80" w:firstLine="567"/>
        <w:spacing w:after="0" w:line="301" w:lineRule="auto"/>
        <w:rPr>
          <w:sz w:val="20"/>
          <w:szCs w:val="20"/>
          <w:color w:val="auto"/>
        </w:rPr>
      </w:pPr>
      <w:r>
        <w:rPr>
          <w:rFonts w:ascii="Arial" w:cs="Arial" w:eastAsia="Arial" w:hAnsi="Arial"/>
          <w:sz w:val="15"/>
          <w:szCs w:val="15"/>
          <w:color w:val="auto"/>
        </w:rPr>
        <w:t>The table above does not include the 50,000 options granted during 2013 under the Asterias Equity Incentive Plan for which the exercise prices had not been determined as of December 31, 2013. There were no other options granted under the other subsidiary stock option plans during the year ended December 31, 2013.</w:t>
      </w:r>
    </w:p>
    <w:p>
      <w:pPr>
        <w:spacing w:after="0" w:line="108"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119" w:name="page120"/>
    <w:bookmarkEnd w:id="11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Cell Targeting, Inc. Asset Purchase</w:t>
      </w:r>
    </w:p>
    <w:p>
      <w:pPr>
        <w:spacing w:after="0" w:line="222" w:lineRule="exact"/>
        <w:rPr>
          <w:sz w:val="20"/>
          <w:szCs w:val="20"/>
          <w:color w:val="auto"/>
        </w:rPr>
      </w:pPr>
    </w:p>
    <w:p>
      <w:pPr>
        <w:ind w:right="140" w:firstLine="567"/>
        <w:spacing w:after="0" w:line="253" w:lineRule="auto"/>
        <w:rPr>
          <w:sz w:val="20"/>
          <w:szCs w:val="20"/>
          <w:color w:val="auto"/>
        </w:rPr>
      </w:pPr>
      <w:r>
        <w:rPr>
          <w:rFonts w:ascii="Arial" w:cs="Arial" w:eastAsia="Arial" w:hAnsi="Arial"/>
          <w:sz w:val="16"/>
          <w:szCs w:val="16"/>
          <w:color w:val="auto"/>
        </w:rPr>
        <w:t>On January 28, 2011, BioTime acquired substantially all of the assets of Cell Targeting, Inc. (“CTI”), a company that was engaged in research in regenerative medicine. The assets acquired consist primarily of patents, patent applications, and licenses to use certain patents. BioTime issued 261,959 of common shares and paid CTI $250,000 in cash to acquire the assets. The assets will be used by OncoCyte, which is developing cellular therapeutics for the treatment of cancer using vascular progenitor cells engineered to destroy malignant tumors.</w:t>
      </w:r>
    </w:p>
    <w:p>
      <w:pPr>
        <w:spacing w:after="0" w:line="193" w:lineRule="exact"/>
        <w:rPr>
          <w:sz w:val="20"/>
          <w:szCs w:val="20"/>
          <w:color w:val="auto"/>
        </w:rPr>
      </w:pPr>
    </w:p>
    <w:p>
      <w:pPr>
        <w:ind w:right="160" w:firstLine="567"/>
        <w:spacing w:after="0" w:line="251" w:lineRule="auto"/>
        <w:rPr>
          <w:sz w:val="20"/>
          <w:szCs w:val="20"/>
          <w:color w:val="auto"/>
        </w:rPr>
      </w:pPr>
      <w:r>
        <w:rPr>
          <w:rFonts w:ascii="Arial" w:cs="Arial" w:eastAsia="Arial" w:hAnsi="Arial"/>
          <w:sz w:val="16"/>
          <w:szCs w:val="16"/>
          <w:color w:val="auto"/>
        </w:rPr>
        <w:t>The asset purchase is being accounted for as a business combination under the acquisition method of accounting. This means that even though BioTime did not directly assume and will not directly pay CTI’s debts or other liabilities, for financial accounting purposes CTI’s financial statements as of January 28, 2011, the date of the acquisition, are being consolidated with those of BioTime. In accordance with ASC 805, the total purchase consideration is allocated to the net tangible and identifiable intangible assets acquired and the CTI liabilities outstanding based on the estimated fair value of the assets and the amount of the liabilities as of January 28, 2011. BioTime amortizes intangible assets over their useful lives, which BioTime estimates to be 10 years.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180" w:type="dxa"/>
            <w:vAlign w:val="bottom"/>
          </w:tcPr>
          <w:p>
            <w:pPr>
              <w:ind w:left="560"/>
              <w:spacing w:after="0"/>
              <w:rPr>
                <w:sz w:val="20"/>
                <w:szCs w:val="20"/>
                <w:color w:val="auto"/>
              </w:rPr>
            </w:pPr>
            <w:r>
              <w:rPr>
                <w:rFonts w:ascii="Arial" w:cs="Arial" w:eastAsia="Arial" w:hAnsi="Arial"/>
                <w:sz w:val="16"/>
                <w:szCs w:val="16"/>
                <w:color w:val="auto"/>
              </w:rPr>
              <w:t>The total purchase price of $2,550,000 is being allocated as indicated as follows: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02"/>
        </w:trPr>
        <w:tc>
          <w:tcPr>
            <w:tcW w:w="10180" w:type="dxa"/>
            <w:vAlign w:val="bottom"/>
          </w:tcPr>
          <w:p>
            <w:pPr>
              <w:spacing w:after="0"/>
              <w:rPr>
                <w:sz w:val="20"/>
                <w:szCs w:val="20"/>
                <w:color w:val="auto"/>
              </w:rPr>
            </w:pPr>
            <w:r>
              <w:rPr>
                <w:rFonts w:ascii="Arial" w:cs="Arial" w:eastAsia="Arial" w:hAnsi="Arial"/>
                <w:sz w:val="16"/>
                <w:szCs w:val="16"/>
                <w:color w:val="auto"/>
              </w:rPr>
              <w:t>Components of the purchase price: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10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BioTime common shares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2,300,000</w:t>
            </w:r>
          </w:p>
        </w:tc>
        <w:tc>
          <w:tcPr>
            <w:tcW w:w="120" w:type="dxa"/>
            <w:vAlign w:val="bottom"/>
            <w:shd w:val="clear" w:color="auto" w:fill="CCEEFF"/>
          </w:tcPr>
          <w:p>
            <w:pPr>
              <w:spacing w:after="0"/>
              <w:rPr>
                <w:sz w:val="16"/>
                <w:szCs w:val="16"/>
                <w:color w:val="auto"/>
              </w:rPr>
            </w:pPr>
          </w:p>
        </w:tc>
      </w:tr>
      <w:tr>
        <w:trPr>
          <w:trHeight w:val="193"/>
        </w:trPr>
        <w:tc>
          <w:tcPr>
            <w:tcW w:w="10180" w:type="dxa"/>
            <w:vAlign w:val="bottom"/>
          </w:tcPr>
          <w:p>
            <w:pPr>
              <w:ind w:left="100"/>
              <w:spacing w:after="0"/>
              <w:rPr>
                <w:sz w:val="20"/>
                <w:szCs w:val="20"/>
                <w:color w:val="auto"/>
              </w:rPr>
            </w:pPr>
            <w:r>
              <w:rPr>
                <w:rFonts w:ascii="Arial" w:cs="Arial" w:eastAsia="Arial" w:hAnsi="Arial"/>
                <w:sz w:val="16"/>
                <w:szCs w:val="16"/>
                <w:color w:val="auto"/>
              </w:rPr>
              <w:t>Cash</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16"/>
                <w:szCs w:val="16"/>
                <w:color w:val="auto"/>
              </w:rPr>
            </w:pPr>
          </w:p>
        </w:tc>
      </w:tr>
      <w:tr>
        <w:trPr>
          <w:trHeight w:val="229"/>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purchase price</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2,550,000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76"/>
        </w:trPr>
        <w:tc>
          <w:tcPr>
            <w:tcW w:w="10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10180" w:type="dxa"/>
            <w:vAlign w:val="bottom"/>
            <w:shd w:val="clear" w:color="auto" w:fill="CCEEFF"/>
          </w:tcPr>
          <w:p>
            <w:pPr>
              <w:spacing w:after="0"/>
              <w:rPr>
                <w:sz w:val="20"/>
                <w:szCs w:val="20"/>
                <w:color w:val="auto"/>
              </w:rPr>
            </w:pPr>
            <w:r>
              <w:rPr>
                <w:rFonts w:ascii="Arial" w:cs="Arial" w:eastAsia="Arial" w:hAnsi="Arial"/>
                <w:sz w:val="16"/>
                <w:szCs w:val="16"/>
                <w:color w:val="auto"/>
              </w:rPr>
              <w:t>Preliminary allocation of purchase price:</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10180" w:type="dxa"/>
            <w:vAlign w:val="bottom"/>
          </w:tcPr>
          <w:p>
            <w:pPr>
              <w:spacing w:after="0"/>
              <w:rPr>
                <w:sz w:val="20"/>
                <w:szCs w:val="20"/>
                <w:color w:val="auto"/>
              </w:rPr>
            </w:pPr>
            <w:r>
              <w:rPr>
                <w:rFonts w:ascii="Arial" w:cs="Arial" w:eastAsia="Arial" w:hAnsi="Arial"/>
                <w:sz w:val="16"/>
                <w:szCs w:val="16"/>
                <w:color w:val="auto"/>
              </w:rPr>
              <w:t>Assets acquired and liabilities assumed:</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10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w:t>
            </w:r>
          </w:p>
        </w:tc>
        <w:tc>
          <w:tcPr>
            <w:tcW w:w="120" w:type="dxa"/>
            <w:vAlign w:val="bottom"/>
            <w:shd w:val="clear" w:color="auto" w:fill="CCEEFF"/>
          </w:tcPr>
          <w:p>
            <w:pPr>
              <w:spacing w:after="0"/>
              <w:rPr>
                <w:sz w:val="16"/>
                <w:szCs w:val="16"/>
                <w:color w:val="auto"/>
              </w:rPr>
            </w:pPr>
          </w:p>
        </w:tc>
      </w:tr>
      <w:tr>
        <w:trPr>
          <w:trHeight w:val="189"/>
        </w:trPr>
        <w:tc>
          <w:tcPr>
            <w:tcW w:w="10180" w:type="dxa"/>
            <w:vAlign w:val="bottom"/>
          </w:tcPr>
          <w:p>
            <w:pPr>
              <w:ind w:left="10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2,443</w:t>
            </w:r>
          </w:p>
        </w:tc>
        <w:tc>
          <w:tcPr>
            <w:tcW w:w="120" w:type="dxa"/>
            <w:vAlign w:val="bottom"/>
          </w:tcPr>
          <w:p>
            <w:pPr>
              <w:spacing w:after="0"/>
              <w:rPr>
                <w:sz w:val="16"/>
                <w:szCs w:val="16"/>
                <w:color w:val="auto"/>
              </w:rPr>
            </w:pPr>
          </w:p>
        </w:tc>
      </w:tr>
      <w:tr>
        <w:trPr>
          <w:trHeight w:val="189"/>
        </w:trPr>
        <w:tc>
          <w:tcPr>
            <w:tcW w:w="10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Due from sellers</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593,353</w:t>
            </w:r>
          </w:p>
        </w:tc>
        <w:tc>
          <w:tcPr>
            <w:tcW w:w="120" w:type="dxa"/>
            <w:vAlign w:val="bottom"/>
            <w:shd w:val="clear" w:color="auto" w:fill="CCEEFF"/>
          </w:tcPr>
          <w:p>
            <w:pPr>
              <w:spacing w:after="0"/>
              <w:rPr>
                <w:sz w:val="16"/>
                <w:szCs w:val="16"/>
                <w:color w:val="auto"/>
              </w:rPr>
            </w:pPr>
          </w:p>
        </w:tc>
      </w:tr>
      <w:tr>
        <w:trPr>
          <w:trHeight w:val="189"/>
        </w:trPr>
        <w:tc>
          <w:tcPr>
            <w:tcW w:w="10180" w:type="dxa"/>
            <w:vAlign w:val="bottom"/>
          </w:tcPr>
          <w:p>
            <w:pPr>
              <w:ind w:left="100"/>
              <w:spacing w:after="0"/>
              <w:rPr>
                <w:sz w:val="20"/>
                <w:szCs w:val="20"/>
                <w:color w:val="auto"/>
              </w:rPr>
            </w:pPr>
            <w:r>
              <w:rPr>
                <w:rFonts w:ascii="Arial" w:cs="Arial" w:eastAsia="Arial" w:hAnsi="Arial"/>
                <w:sz w:val="16"/>
                <w:szCs w:val="16"/>
                <w:color w:val="auto"/>
              </w:rPr>
              <w:t>Intangible assets</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2,419,287</w:t>
            </w:r>
          </w:p>
        </w:tc>
        <w:tc>
          <w:tcPr>
            <w:tcW w:w="120" w:type="dxa"/>
            <w:vAlign w:val="bottom"/>
          </w:tcPr>
          <w:p>
            <w:pPr>
              <w:spacing w:after="0"/>
              <w:rPr>
                <w:sz w:val="16"/>
                <w:szCs w:val="16"/>
                <w:color w:val="auto"/>
              </w:rPr>
            </w:pPr>
          </w:p>
        </w:tc>
      </w:tr>
      <w:tr>
        <w:trPr>
          <w:trHeight w:val="193"/>
        </w:trPr>
        <w:tc>
          <w:tcPr>
            <w:tcW w:w="10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(468,233)</w:t>
            </w:r>
          </w:p>
        </w:tc>
      </w:tr>
      <w:tr>
        <w:trPr>
          <w:trHeight w:val="189"/>
        </w:trPr>
        <w:tc>
          <w:tcPr>
            <w:tcW w:w="101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Net assets acquired</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2,550,000</w:t>
            </w:r>
          </w:p>
        </w:tc>
        <w:tc>
          <w:tcPr>
            <w:tcW w:w="120" w:type="dxa"/>
            <w:vAlign w:val="bottom"/>
            <w:tcBorders>
              <w:top w:val="single" w:sz="8" w:color="CCEEFF"/>
            </w:tcBorders>
          </w:tcPr>
          <w:p>
            <w:pPr>
              <w:spacing w:after="0"/>
              <w:rPr>
                <w:sz w:val="16"/>
                <w:szCs w:val="16"/>
                <w:color w:val="auto"/>
              </w:rPr>
            </w:pPr>
          </w:p>
        </w:tc>
      </w:tr>
      <w:tr>
        <w:trPr>
          <w:trHeight w:val="20"/>
        </w:trPr>
        <w:tc>
          <w:tcPr>
            <w:tcW w:w="10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ind w:right="280" w:firstLine="567"/>
        <w:spacing w:after="0" w:line="267" w:lineRule="auto"/>
        <w:rPr>
          <w:sz w:val="20"/>
          <w:szCs w:val="20"/>
          <w:color w:val="auto"/>
        </w:rPr>
      </w:pPr>
      <w:r>
        <w:rPr>
          <w:rFonts w:ascii="Arial" w:cs="Arial" w:eastAsia="Arial" w:hAnsi="Arial"/>
          <w:sz w:val="16"/>
          <w:szCs w:val="16"/>
          <w:color w:val="auto"/>
        </w:rPr>
        <w:t>The fair value of the shares issued was $8.78, the average closing price per share of BioTime common shares as reported on the NYSE MKT for the twenty (20) trading days immediately preceding the third trading day prior to the closing date, January 28, 2011.</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20" w:name="page121"/>
    <w:bookmarkEnd w:id="12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Merger with Glycosan BioSystems, Inc.</w:t>
      </w:r>
    </w:p>
    <w:p>
      <w:pPr>
        <w:spacing w:after="0" w:line="222" w:lineRule="exact"/>
        <w:rPr>
          <w:sz w:val="20"/>
          <w:szCs w:val="20"/>
          <w:color w:val="auto"/>
        </w:rPr>
      </w:pPr>
    </w:p>
    <w:p>
      <w:pPr>
        <w:ind w:right="80" w:firstLine="567"/>
        <w:spacing w:after="0" w:line="276" w:lineRule="auto"/>
        <w:rPr>
          <w:sz w:val="20"/>
          <w:szCs w:val="20"/>
          <w:color w:val="auto"/>
        </w:rPr>
      </w:pPr>
      <w:r>
        <w:rPr>
          <w:rFonts w:ascii="Arial" w:cs="Arial" w:eastAsia="Arial" w:hAnsi="Arial"/>
          <w:sz w:val="15"/>
          <w:szCs w:val="15"/>
          <w:color w:val="auto"/>
        </w:rPr>
        <w:t>On March 21, 2011, BioTime completed the acquisition of Glycosan BioSystems, Inc. (“Glycosan”) through a merger of Glycosan into OrthoCyte. Through the merger, OrthoCyte acquired all of Glycosan's assets, including manufacturing equipment, inventory, and technology licenses, and assumed Glycosan's obligations, which at March 18, 2011 totaled approximately $252,000 and primarily consisted of trade payables, accrued salaries, legal fees, and repayment of amounts advanced to Glycosan. BioTime issued 332,903 common shares and 206,613 warrants to purchase BioTime common shares in connection with the merger.</w:t>
      </w:r>
    </w:p>
    <w:p>
      <w:pPr>
        <w:spacing w:after="0" w:line="176" w:lineRule="exact"/>
        <w:rPr>
          <w:sz w:val="20"/>
          <w:szCs w:val="20"/>
          <w:color w:val="auto"/>
        </w:rPr>
      </w:pPr>
    </w:p>
    <w:p>
      <w:pPr>
        <w:ind w:firstLine="567"/>
        <w:spacing w:after="0" w:line="301" w:lineRule="auto"/>
        <w:rPr>
          <w:sz w:val="20"/>
          <w:szCs w:val="20"/>
          <w:color w:val="auto"/>
        </w:rPr>
      </w:pPr>
      <w:r>
        <w:rPr>
          <w:rFonts w:ascii="Arial" w:cs="Arial" w:eastAsia="Arial" w:hAnsi="Arial"/>
          <w:sz w:val="14"/>
          <w:szCs w:val="14"/>
          <w:color w:val="auto"/>
        </w:rPr>
        <w:t>The merger is being accounted for under the acquisition method of accounting. In accordance with ASC 805, the total purchase consideration is allocated to the net tangible and identifiable intangible assets acquired and liabilities assumed based on their estimated fair values as of March 21, 2011. BioTime amortizes intangibles over their useful lives, which BioTime estimates to be 10 years. In accordance with ASC 805, BioTime does not amortize goodwill. The purchase price was allocated using the information currently available, and may be adjusted after obtaining more information regarding, among other things, asset valuations, liabilities assumed, and revisions of preliminary estimates.</w:t>
      </w:r>
    </w:p>
    <w:p>
      <w:pPr>
        <w:sectPr>
          <w:pgSz w:w="11900" w:h="16838" w:orient="portrait"/>
          <w:cols w:equalWidth="0" w:num="1">
            <w:col w:w="11420"/>
          </w:cols>
          <w:pgMar w:left="240" w:top="124" w:right="239" w:bottom="1440" w:gutter="0" w:footer="0" w:header="0"/>
        </w:sectPr>
      </w:pPr>
    </w:p>
    <w:p>
      <w:pPr>
        <w:spacing w:after="0" w:line="16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total purchase price for the merger of $3,554,879 is being allocated as indicated:</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Components of the purchase price:</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BioTime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63765"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BioTime warrants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263765" cy="1498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14986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263765"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Assets acquired and liabilities assumed:</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63765"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Other current assets</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63765"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Intangible assets</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63765" cy="135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135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 w:hanging="519"/>
        <w:spacing w:after="0"/>
        <w:tabs>
          <w:tab w:leader="none" w:pos="5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2,600,000</w:t>
      </w:r>
    </w:p>
    <w:p>
      <w:pPr>
        <w:spacing w:after="0" w:line="27" w:lineRule="exact"/>
        <w:rPr>
          <w:rFonts w:ascii="Arial" w:cs="Arial" w:eastAsia="Arial" w:hAnsi="Arial"/>
          <w:sz w:val="15"/>
          <w:szCs w:val="15"/>
          <w:color w:val="auto"/>
        </w:rPr>
      </w:pPr>
    </w:p>
    <w:p>
      <w:pPr>
        <w:ind w:left="640"/>
        <w:spacing w:after="0"/>
        <w:rPr>
          <w:rFonts w:ascii="Arial" w:cs="Arial" w:eastAsia="Arial" w:hAnsi="Arial"/>
          <w:sz w:val="15"/>
          <w:szCs w:val="15"/>
          <w:color w:val="auto"/>
        </w:rPr>
      </w:pPr>
      <w:r>
        <w:rPr>
          <w:rFonts w:ascii="Arial" w:cs="Arial" w:eastAsia="Arial" w:hAnsi="Arial"/>
          <w:sz w:val="15"/>
          <w:szCs w:val="15"/>
          <w:color w:val="auto"/>
        </w:rPr>
        <w:t>954,879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2771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710" cy="15240"/>
                    </a:xfrm>
                    <a:prstGeom prst="rect">
                      <a:avLst/>
                    </a:prstGeom>
                    <a:noFill/>
                  </pic:spPr>
                </pic:pic>
              </a:graphicData>
            </a:graphic>
          </wp:anchor>
        </w:drawing>
      </w:r>
    </w:p>
    <w:p>
      <w:pPr>
        <w:spacing w:after="0" w:line="9" w:lineRule="exact"/>
        <w:rPr>
          <w:sz w:val="20"/>
          <w:szCs w:val="20"/>
          <w:color w:val="auto"/>
        </w:rPr>
      </w:pPr>
    </w:p>
    <w:p>
      <w:pPr>
        <w:ind w:left="520" w:hanging="519"/>
        <w:spacing w:after="0"/>
        <w:tabs>
          <w:tab w:leader="none" w:pos="5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3,554,879</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00" w:hanging="799"/>
        <w:spacing w:after="0"/>
        <w:tabs>
          <w:tab w:leader="none" w:pos="8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5,908</w:t>
      </w:r>
    </w:p>
    <w:p>
      <w:pPr>
        <w:spacing w:after="0" w:line="27"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5"/>
          <w:szCs w:val="15"/>
          <w:color w:val="auto"/>
        </w:rPr>
        <w:t>64,520</w:t>
      </w:r>
    </w:p>
    <w:p>
      <w:pPr>
        <w:spacing w:after="0" w:line="16" w:lineRule="exact"/>
        <w:rPr>
          <w:rFonts w:ascii="Arial" w:cs="Arial" w:eastAsia="Arial" w:hAnsi="Arial"/>
          <w:sz w:val="15"/>
          <w:szCs w:val="15"/>
          <w:color w:val="auto"/>
        </w:rPr>
      </w:pPr>
    </w:p>
    <w:p>
      <w:pPr>
        <w:ind w:left="720"/>
        <w:spacing w:after="0"/>
        <w:rPr>
          <w:rFonts w:ascii="Arial" w:cs="Arial" w:eastAsia="Arial" w:hAnsi="Arial"/>
          <w:sz w:val="15"/>
          <w:szCs w:val="15"/>
          <w:color w:val="auto"/>
        </w:rPr>
      </w:pPr>
      <w:r>
        <w:rPr>
          <w:rFonts w:ascii="Arial" w:cs="Arial" w:eastAsia="Arial" w:hAnsi="Arial"/>
          <w:sz w:val="15"/>
          <w:szCs w:val="15"/>
          <w:color w:val="auto"/>
        </w:rPr>
        <w:t>81,183</w:t>
      </w:r>
    </w:p>
    <w:p>
      <w:pPr>
        <w:spacing w:after="0" w:line="17"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3,592,039</w:t>
      </w:r>
    </w:p>
    <w:p>
      <w:pPr>
        <w:spacing w:after="0" w:line="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(188,771)</w:t>
      </w:r>
    </w:p>
    <w:p>
      <w:pPr>
        <w:spacing w:after="0" w:line="17" w:lineRule="exact"/>
        <w:rPr>
          <w:sz w:val="20"/>
          <w:szCs w:val="20"/>
          <w:color w:val="auto"/>
        </w:rPr>
      </w:pPr>
    </w:p>
    <w:p>
      <w:pPr>
        <w:ind w:left="520" w:hanging="519"/>
        <w:spacing w:after="0"/>
        <w:tabs>
          <w:tab w:leader="none" w:pos="5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3,554,879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277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71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41275</wp:posOffset>
            </wp:positionV>
            <wp:extent cx="72771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710" cy="762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460" w:space="720"/>
            <w:col w:w="1240"/>
          </w:cols>
          <w:pgMar w:left="240" w:top="124" w:right="239" w:bottom="1440" w:gutter="0" w:footer="0" w:header="0"/>
          <w:type w:val="continuous"/>
        </w:sectPr>
      </w:pPr>
    </w:p>
    <w:p>
      <w:pPr>
        <w:spacing w:after="0" w:line="65" w:lineRule="exact"/>
        <w:rPr>
          <w:sz w:val="20"/>
          <w:szCs w:val="20"/>
          <w:color w:val="auto"/>
        </w:rPr>
      </w:pPr>
    </w:p>
    <w:p>
      <w:pPr>
        <w:ind w:right="80" w:firstLine="567"/>
        <w:spacing w:after="0" w:line="253" w:lineRule="auto"/>
        <w:rPr>
          <w:sz w:val="20"/>
          <w:szCs w:val="20"/>
          <w:color w:val="auto"/>
        </w:rPr>
      </w:pPr>
      <w:r>
        <w:rPr>
          <w:rFonts w:ascii="Arial" w:cs="Arial" w:eastAsia="Arial" w:hAnsi="Arial"/>
          <w:sz w:val="16"/>
          <w:szCs w:val="16"/>
          <w:color w:val="auto"/>
        </w:rPr>
        <w:t>The fair value of the shares issued was $7.81, the average closing price of BioTime common shares as reported on the NYSE MKT for the 10 trading days immediately preceding February 11, 2011, the date of the Merger Agreement. The fair value of the warrants issued was computed using a Black Scholes Merton option pricing model, which utilized the following assumptions: expected term of three years, which is equal to the contractual life of the warrants; risk-free rate of 1.12%; no expected dividend yield; 109.01% expected volatility; a stock price of $7.56; and an exercise price of $10.</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121" w:name="page122"/>
    <w:bookmarkEnd w:id="12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Merger with XenneX, Inc.</w:t>
      </w:r>
    </w:p>
    <w:p>
      <w:pPr>
        <w:spacing w:after="0" w:line="222" w:lineRule="exact"/>
        <w:rPr>
          <w:sz w:val="20"/>
          <w:szCs w:val="20"/>
          <w:color w:val="auto"/>
        </w:rPr>
      </w:pPr>
    </w:p>
    <w:p>
      <w:pPr>
        <w:ind w:right="20" w:firstLine="567"/>
        <w:spacing w:after="0" w:line="296" w:lineRule="auto"/>
        <w:rPr>
          <w:sz w:val="20"/>
          <w:szCs w:val="20"/>
          <w:color w:val="auto"/>
        </w:rPr>
      </w:pPr>
      <w:r>
        <w:rPr>
          <w:rFonts w:ascii="Arial" w:cs="Arial" w:eastAsia="Arial" w:hAnsi="Arial"/>
          <w:sz w:val="14"/>
          <w:szCs w:val="14"/>
          <w:color w:val="auto"/>
        </w:rPr>
        <w:t>On May 18, 2012, BioTime completed the acquisition of XenneX, Inc. (“XenneX”) through a merger of XenneX into LifeMap Sciences. Through the merger, XenneX stockholders received, in the aggregate, 1,429,380 shares of LifeMap Sciences common stock, which represented approximately 13.70% of the LifeMap Sciences common stock outstanding upon the closing of the transaction. XenneX shareholders also received approximately 448,429 BioTime common shares as part of the transaction. Through the merger, LifeMap Sciences acquired all of XenneX's assets, including cash, accounts receivables, prepaid assets, licenses, and assumed XenneX’s obligations, which at May 18, 2012 totaled approximately $572,826 and primarily consisted of trade payables, deferred subscription revenues, and distributions due to former XenneX shareholders.</w:t>
      </w:r>
    </w:p>
    <w:p>
      <w:pPr>
        <w:spacing w:after="0" w:line="165" w:lineRule="exact"/>
        <w:rPr>
          <w:sz w:val="20"/>
          <w:szCs w:val="20"/>
          <w:color w:val="auto"/>
        </w:rPr>
      </w:pPr>
    </w:p>
    <w:p>
      <w:pPr>
        <w:ind w:firstLine="567"/>
        <w:spacing w:after="0" w:line="301" w:lineRule="auto"/>
        <w:rPr>
          <w:sz w:val="20"/>
          <w:szCs w:val="20"/>
          <w:color w:val="auto"/>
        </w:rPr>
      </w:pPr>
      <w:r>
        <w:rPr>
          <w:rFonts w:ascii="Arial" w:cs="Arial" w:eastAsia="Arial" w:hAnsi="Arial"/>
          <w:sz w:val="14"/>
          <w:szCs w:val="14"/>
          <w:color w:val="auto"/>
        </w:rPr>
        <w:t>The merger is being accounted for under the acquisition method of accounting. In accordance with ASC 805, the total purchase consideration is allocated to the net tangible and identifiable intangible assets acquired and liabilities assumed based on their estimated fair values as of May 18, 2012. BioTime amortizes intangibles over their useful lives, which BioTime estimates to be 10 years. In accordance with ASC 805, BioTime does not amortize goodwill. The purchase price was allocated using the information currently available, and may be adjusted after obtaining more information regarding, among other things, asset valuations, liabilities assumed, and revisions of preliminary estimates.</w:t>
      </w:r>
    </w:p>
    <w:p>
      <w:pPr>
        <w:sectPr>
          <w:pgSz w:w="11900" w:h="16838" w:orient="portrait"/>
          <w:cols w:equalWidth="0" w:num="1">
            <w:col w:w="11420"/>
          </w:cols>
          <w:pgMar w:left="240" w:top="124" w:right="239" w:bottom="1440" w:gutter="0" w:footer="0" w:header="0"/>
        </w:sectPr>
      </w:pPr>
    </w:p>
    <w:p>
      <w:pPr>
        <w:spacing w:after="0" w:line="16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total purchase price of $4,304,099 is being allocated as indicated:</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Components of the purchase price:</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BioTime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63765"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LifeMap Sciences common shares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263765" cy="1498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765" cy="14986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Preliminary allocation of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263765"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Assets acquired and liabilities assumed:</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63765"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Other current assets</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63765" cy="120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Current liabilities</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Cash distributable to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263765" cy="135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765" cy="135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0" w:hanging="519"/>
        <w:spacing w:after="0"/>
        <w:tabs>
          <w:tab w:leader="none" w:pos="5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1,802,684</w:t>
      </w:r>
    </w:p>
    <w:p>
      <w:pPr>
        <w:spacing w:after="0" w:line="27"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5"/>
          <w:szCs w:val="15"/>
          <w:color w:val="auto"/>
        </w:rPr>
        <w:t>2,501,415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2771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710" cy="15240"/>
                    </a:xfrm>
                    <a:prstGeom prst="rect">
                      <a:avLst/>
                    </a:prstGeom>
                    <a:noFill/>
                  </pic:spPr>
                </pic:pic>
              </a:graphicData>
            </a:graphic>
          </wp:anchor>
        </w:drawing>
      </w:r>
    </w:p>
    <w:p>
      <w:pPr>
        <w:spacing w:after="0" w:line="9" w:lineRule="exact"/>
        <w:rPr>
          <w:sz w:val="20"/>
          <w:szCs w:val="20"/>
          <w:color w:val="auto"/>
        </w:rPr>
      </w:pPr>
    </w:p>
    <w:p>
      <w:pPr>
        <w:ind w:left="520" w:hanging="519"/>
        <w:spacing w:after="0"/>
        <w:tabs>
          <w:tab w:leader="none" w:pos="5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4,304,099</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0" w:hanging="639"/>
        <w:spacing w:after="0"/>
        <w:tabs>
          <w:tab w:leader="none" w:pos="6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292,387</w:t>
      </w:r>
    </w:p>
    <w:p>
      <w:pPr>
        <w:spacing w:after="0" w:line="28"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311,118</w:t>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4,273,420</w:t>
      </w:r>
    </w:p>
    <w:p>
      <w:pPr>
        <w:spacing w:after="0" w:line="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(294,572)</w:t>
      </w:r>
    </w:p>
    <w:p>
      <w:pPr>
        <w:spacing w:after="0" w:line="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(278,254)</w:t>
      </w:r>
    </w:p>
    <w:p>
      <w:pPr>
        <w:spacing w:after="0" w:line="17" w:lineRule="exact"/>
        <w:rPr>
          <w:sz w:val="20"/>
          <w:szCs w:val="20"/>
          <w:color w:val="auto"/>
        </w:rPr>
      </w:pPr>
    </w:p>
    <w:p>
      <w:pPr>
        <w:ind w:left="520" w:hanging="519"/>
        <w:spacing w:after="0"/>
        <w:tabs>
          <w:tab w:leader="none" w:pos="5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4,304,099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2771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71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41275</wp:posOffset>
            </wp:positionV>
            <wp:extent cx="72771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710" cy="762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460" w:space="720"/>
            <w:col w:w="1240"/>
          </w:cols>
          <w:pgMar w:left="240" w:top="124" w:right="239" w:bottom="1440" w:gutter="0" w:footer="0" w:header="0"/>
          <w:type w:val="continuous"/>
        </w:sectPr>
      </w:pPr>
    </w:p>
    <w:p>
      <w:pPr>
        <w:spacing w:after="0" w:line="65" w:lineRule="exact"/>
        <w:rPr>
          <w:sz w:val="20"/>
          <w:szCs w:val="20"/>
          <w:color w:val="auto"/>
        </w:rPr>
      </w:pPr>
    </w:p>
    <w:p>
      <w:pPr>
        <w:ind w:right="40" w:firstLine="567"/>
        <w:spacing w:after="0" w:line="257" w:lineRule="auto"/>
        <w:rPr>
          <w:sz w:val="20"/>
          <w:szCs w:val="20"/>
          <w:color w:val="auto"/>
        </w:rPr>
      </w:pPr>
      <w:r>
        <w:rPr>
          <w:rFonts w:ascii="Arial" w:cs="Arial" w:eastAsia="Arial" w:hAnsi="Arial"/>
          <w:sz w:val="16"/>
          <w:szCs w:val="16"/>
          <w:color w:val="auto"/>
        </w:rPr>
        <w:t>The fair value of the BioTime shares issued was $4.02, the closing price as reported on the NYSE MKT on May 18, 2012, the date the merger was finalized. The fair value of the LifeMap Sciences shares issued was $1.75 as determined by negotiation between BioTime, LifeMap Sciences and XenneX and its stockholders and is consistent with an internal valuation analysis completed by BioTime.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122" w:name="page123"/>
    <w:bookmarkEnd w:id="12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Share Exchange and Contribution Agreement</w:t>
      </w:r>
    </w:p>
    <w:p>
      <w:pPr>
        <w:spacing w:after="0" w:line="222" w:lineRule="exact"/>
        <w:rPr>
          <w:sz w:val="20"/>
          <w:szCs w:val="20"/>
          <w:color w:val="auto"/>
        </w:rPr>
      </w:pPr>
    </w:p>
    <w:p>
      <w:pPr>
        <w:ind w:right="220" w:firstLine="567"/>
        <w:spacing w:after="0" w:line="276" w:lineRule="auto"/>
        <w:rPr>
          <w:sz w:val="20"/>
          <w:szCs w:val="20"/>
          <w:color w:val="auto"/>
        </w:rPr>
      </w:pPr>
      <w:r>
        <w:rPr>
          <w:rFonts w:ascii="Arial" w:cs="Arial" w:eastAsia="Arial" w:hAnsi="Arial"/>
          <w:sz w:val="15"/>
          <w:szCs w:val="15"/>
          <w:color w:val="auto"/>
        </w:rPr>
        <w:t>On July 24, 2012, LifeMap Sciences entered into a Share Exchange and Contribution Agreement (the “LifeMap Agreement”) with Alfred D. Kingsley, the chairman of BioTime’s board of directors and a company that he controls, Greenway Partners, L.P. (“Greenway”), pursuant to which Mr. Kingsley and Greenway agreed to contribute to LifeMap Sciences, in the aggregate, BioTime common shares having an aggregate value of not less than $2,000,000 and not more than $3,000,000, determined as provided in the LifeMap Agreement, in exchange for shares of LifeMap Sciences common stock at an initial price of $1.75 per LifeMap Sciences share.</w:t>
      </w:r>
    </w:p>
    <w:p>
      <w:pPr>
        <w:spacing w:after="0" w:line="176" w:lineRule="exact"/>
        <w:rPr>
          <w:sz w:val="20"/>
          <w:szCs w:val="20"/>
          <w:color w:val="auto"/>
        </w:rPr>
      </w:pPr>
    </w:p>
    <w:p>
      <w:pPr>
        <w:ind w:right="20" w:firstLine="567"/>
        <w:spacing w:after="0" w:line="293" w:lineRule="auto"/>
        <w:rPr>
          <w:sz w:val="20"/>
          <w:szCs w:val="20"/>
          <w:color w:val="auto"/>
        </w:rPr>
      </w:pPr>
      <w:r>
        <w:rPr>
          <w:rFonts w:ascii="Arial" w:cs="Arial" w:eastAsia="Arial" w:hAnsi="Arial"/>
          <w:sz w:val="14"/>
          <w:szCs w:val="14"/>
          <w:color w:val="auto"/>
        </w:rPr>
        <w:t>Under the LifeMap Agreement, during July 2012 Mr. Kingsley and Greenway contributed 420,000 BioTime shares to LifeMap Sciences and received in exchange 1,143,864 shares of LifeMap Sciences common stock. During December 2012, Mr. Kingsley and Greenway contributed an additional 172,533 BioTime Shares to LifeMap Sciences and received in exchange 427,566 shares of LifeMap Sciences common stock. The number of shares of LifeMap Sciences common stock issued in exchange for the BioTime shares was determined by multiplying the number of BioTime shares contributed by the highest weighted average closing price per share on the NYSE MKT for any ten trading days during the period from July 1, 2012 through July 31, 2012, in the case of the shares exchanged during July, and during the period August 1, 2012 through December 15, 2012 in the case of the shares exchanged during December, and dividing that amount by $1.75, which was the Exchange Price per share of LifeMap Sciences common stock. See Note 8.</w:t>
      </w:r>
    </w:p>
    <w:p>
      <w:pPr>
        <w:spacing w:after="0" w:line="168" w:lineRule="exact"/>
        <w:rPr>
          <w:sz w:val="20"/>
          <w:szCs w:val="20"/>
          <w:color w:val="auto"/>
        </w:rPr>
      </w:pPr>
    </w:p>
    <w:p>
      <w:pPr>
        <w:ind w:right="240" w:firstLine="567"/>
        <w:spacing w:after="0" w:line="257" w:lineRule="auto"/>
        <w:rPr>
          <w:sz w:val="20"/>
          <w:szCs w:val="20"/>
          <w:color w:val="auto"/>
        </w:rPr>
      </w:pPr>
      <w:r>
        <w:rPr>
          <w:rFonts w:ascii="Arial" w:cs="Arial" w:eastAsia="Arial" w:hAnsi="Arial"/>
          <w:sz w:val="16"/>
          <w:szCs w:val="16"/>
          <w:color w:val="auto"/>
        </w:rPr>
        <w:t>As a result of this investment, and a sale of 142,857 additional shares of LifeMap Sciences for cash, our ownership dropped from 86.30% to 73.20% as of December 31, 2012. As of December 31, 2012, the 513,935 BioTime shares held by LifeMap Sciences are presented as treasury stock at a cost of $2,375,397. There has been no change in ownership during 2013.</w:t>
      </w:r>
    </w:p>
    <w:p>
      <w:pPr>
        <w:spacing w:after="0" w:line="189" w:lineRule="exact"/>
        <w:rPr>
          <w:sz w:val="20"/>
          <w:szCs w:val="20"/>
          <w:color w:val="auto"/>
        </w:rPr>
      </w:pPr>
    </w:p>
    <w:p>
      <w:pPr>
        <w:ind w:right="180" w:firstLine="567"/>
        <w:spacing w:after="0" w:line="267" w:lineRule="auto"/>
        <w:rPr>
          <w:sz w:val="20"/>
          <w:szCs w:val="20"/>
          <w:color w:val="auto"/>
        </w:rPr>
      </w:pPr>
      <w:r>
        <w:rPr>
          <w:rFonts w:ascii="Arial" w:cs="Arial" w:eastAsia="Arial" w:hAnsi="Arial"/>
          <w:sz w:val="16"/>
          <w:szCs w:val="16"/>
          <w:color w:val="auto"/>
        </w:rPr>
        <w:t>BioTime registered the BioTime Shares received by LifeMap Sciences during July 2012, and has agreed to register the additional shares received during December 2012, for sale under the Securities Act.</w:t>
      </w:r>
    </w:p>
    <w:p>
      <w:pPr>
        <w:spacing w:after="0" w:line="181" w:lineRule="exact"/>
        <w:rPr>
          <w:sz w:val="20"/>
          <w:szCs w:val="20"/>
          <w:color w:val="auto"/>
        </w:rPr>
      </w:pPr>
    </w:p>
    <w:p>
      <w:pPr>
        <w:ind w:firstLine="567"/>
        <w:spacing w:after="0" w:line="251" w:lineRule="auto"/>
        <w:rPr>
          <w:sz w:val="20"/>
          <w:szCs w:val="20"/>
          <w:color w:val="auto"/>
        </w:rPr>
      </w:pPr>
      <w:r>
        <w:rPr>
          <w:rFonts w:ascii="Arial" w:cs="Arial" w:eastAsia="Arial" w:hAnsi="Arial"/>
          <w:sz w:val="16"/>
          <w:szCs w:val="16"/>
          <w:color w:val="auto"/>
        </w:rPr>
        <w:t>In accordance with the License and Research Assignment Agreement dated May 14, 2012 between Yeda Research and Development Company, Ltd (“Yeda”) and BioTime in connection with the merger of XenneX, Inc. and LifeMap Sciences Yeda was entitled to receive additional shares of LifeMap Sciences common stock as a result of the issuance of additional shares of common stock by LifeMap Sciences during 2012 to permit Yeda to maintain their 3.75% ownership in the issued and outstanding LifeMap Sciences shares on a fully diluted basis. LifeMap Sciences issued Yeda 66,791 shares of LifeMap Sciences common stock with an estimated fair value of $117,000 under that provision of the License and Research Assignment Agreement.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3" w:name="page124"/>
    <w:bookmarkEnd w:id="12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Asset Contribution Agreement</w:t>
      </w:r>
    </w:p>
    <w:p>
      <w:pPr>
        <w:spacing w:after="0" w:line="222" w:lineRule="exact"/>
        <w:rPr>
          <w:sz w:val="20"/>
          <w:szCs w:val="20"/>
          <w:color w:val="auto"/>
        </w:rPr>
      </w:pPr>
    </w:p>
    <w:p>
      <w:pPr>
        <w:ind w:right="100" w:firstLine="567"/>
        <w:spacing w:after="0" w:line="301" w:lineRule="auto"/>
        <w:rPr>
          <w:sz w:val="20"/>
          <w:szCs w:val="20"/>
          <w:color w:val="auto"/>
        </w:rPr>
      </w:pPr>
      <w:r>
        <w:rPr>
          <w:rFonts w:ascii="Arial" w:cs="Arial" w:eastAsia="Arial" w:hAnsi="Arial"/>
          <w:sz w:val="15"/>
          <w:szCs w:val="15"/>
          <w:color w:val="auto"/>
        </w:rPr>
        <w:t>On January 4, 2013, BioTime and Asterias entered into an Asset Contribution Agreement with Geron Corporation (“Geron”) pursuant to which BioTime and Geron agreed to concurrently contribute certain assets to Asterias in exchange for shares of Asterias common stock. The transaction closed on October 1, 2013.</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 of BioTime Assets</w:t>
      </w:r>
    </w:p>
    <w:p>
      <w:pPr>
        <w:spacing w:after="0" w:line="218" w:lineRule="exact"/>
        <w:rPr>
          <w:sz w:val="20"/>
          <w:szCs w:val="20"/>
          <w:color w:val="auto"/>
        </w:rPr>
      </w:pPr>
    </w:p>
    <w:p>
      <w:pPr>
        <w:ind w:right="20" w:firstLine="567"/>
        <w:spacing w:after="0" w:line="250" w:lineRule="auto"/>
        <w:rPr>
          <w:sz w:val="20"/>
          <w:szCs w:val="20"/>
          <w:color w:val="auto"/>
        </w:rPr>
      </w:pPr>
      <w:r>
        <w:rPr>
          <w:rFonts w:ascii="Arial" w:cs="Arial" w:eastAsia="Arial" w:hAnsi="Arial"/>
          <w:sz w:val="16"/>
          <w:szCs w:val="16"/>
          <w:color w:val="auto"/>
        </w:rPr>
        <w:t>Under the Asset Contribution Agreement, BioTime contributed to Asterias 8,902,077 BioTime common shares registered for re-sale with the SEC; warrants to subscribe for and purchase 8,000,000 additional BioTime common shares (the “BioTime Warrants”) exercisable for a period of five years at a price of $5.00 per share, subject to pro rata adjustment for certain stock splits, reverse stock splits, stock dividends, recapitalizations and other transactions; a 10% common stock interest in BioTime’s subsidiary OrthoCyte; a 6% ordinary stock interest in BioTime’s subsidiary Cell Cure Neurosciences; and a quantity of certain hES cell lines produced under “good manufacturing practices” sufficient to generate master cell banks, and non-exclusive, world-wide, royalty-free licenses to use those cell lines and certain patents pertaining to stem cell differentiation technology for any and all purposes.</w:t>
      </w:r>
    </w:p>
    <w:p>
      <w:pPr>
        <w:spacing w:after="0" w:line="197" w:lineRule="exact"/>
        <w:rPr>
          <w:sz w:val="20"/>
          <w:szCs w:val="20"/>
          <w:color w:val="auto"/>
        </w:rPr>
      </w:pPr>
    </w:p>
    <w:p>
      <w:pPr>
        <w:ind w:right="60" w:firstLine="567"/>
        <w:spacing w:after="0" w:line="253" w:lineRule="auto"/>
        <w:rPr>
          <w:sz w:val="20"/>
          <w:szCs w:val="20"/>
          <w:color w:val="auto"/>
        </w:rPr>
      </w:pPr>
      <w:r>
        <w:rPr>
          <w:rFonts w:ascii="Arial" w:cs="Arial" w:eastAsia="Arial" w:hAnsi="Arial"/>
          <w:sz w:val="16"/>
          <w:szCs w:val="16"/>
          <w:color w:val="auto"/>
        </w:rPr>
        <w:t>In return, Asterias issued to BioTime 21,773,340 shares of its Series B common stock, par value $0.0001 per share (“Series B Shares”), and warrants to purchase 3,150,000 Series B Shares, exercisable for a period of three years from the date of issue at an exercise price of $5.00 per share. In addition, BioTime cancelled a loan of $5,000,000 outstanding from Asterias, related to cash financing provided by BioTime during 2013 prior to the closing of the asset contribution transaction under the Asset Contribution Agreement.</w:t>
      </w:r>
    </w:p>
    <w:p>
      <w:pPr>
        <w:spacing w:after="0" w:line="193" w:lineRule="exact"/>
        <w:rPr>
          <w:sz w:val="20"/>
          <w:szCs w:val="20"/>
          <w:color w:val="auto"/>
        </w:rPr>
      </w:pPr>
    </w:p>
    <w:p>
      <w:pPr>
        <w:jc w:val="both"/>
        <w:ind w:right="140" w:firstLine="567"/>
        <w:spacing w:after="0" w:line="282" w:lineRule="auto"/>
        <w:rPr>
          <w:sz w:val="20"/>
          <w:szCs w:val="20"/>
          <w:color w:val="auto"/>
        </w:rPr>
      </w:pPr>
      <w:r>
        <w:rPr>
          <w:rFonts w:ascii="Arial" w:cs="Arial" w:eastAsia="Arial" w:hAnsi="Arial"/>
          <w:sz w:val="15"/>
          <w:szCs w:val="15"/>
          <w:color w:val="auto"/>
        </w:rPr>
        <w:t>Because Asterias is a subsidiary of BioTime, transfer of assets from BioTime was accounted for as a transaction under common control. Non-monetary assets received by Asterias were recorded at their historical cost basis amounts with BioTime. Monetary assets were recorded at fair value. The difference between the value of assets contributed by BioTime and the fair value of consideration issued to BioTime was recorded as an additional contribution by BioTime, in additional paid-in capital.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180" w:type="dxa"/>
            <w:vAlign w:val="bottom"/>
          </w:tcPr>
          <w:p>
            <w:pPr>
              <w:ind w:left="560"/>
              <w:spacing w:after="0"/>
              <w:rPr>
                <w:sz w:val="20"/>
                <w:szCs w:val="20"/>
                <w:color w:val="auto"/>
              </w:rPr>
            </w:pPr>
            <w:r>
              <w:rPr>
                <w:rFonts w:ascii="Arial" w:cs="Arial" w:eastAsia="Arial" w:hAnsi="Arial"/>
                <w:sz w:val="16"/>
                <w:szCs w:val="16"/>
                <w:color w:val="auto"/>
              </w:rPr>
              <w:t>The assets transferred by BioTime and the related consideration paid were recorded as follows: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02"/>
        </w:trPr>
        <w:tc>
          <w:tcPr>
            <w:tcW w:w="10180" w:type="dxa"/>
            <w:vAlign w:val="bottom"/>
          </w:tcPr>
          <w:p>
            <w:pPr>
              <w:spacing w:after="0"/>
              <w:rPr>
                <w:sz w:val="20"/>
                <w:szCs w:val="20"/>
                <w:color w:val="auto"/>
              </w:rPr>
            </w:pPr>
            <w:r>
              <w:rPr>
                <w:rFonts w:ascii="Arial" w:cs="Arial" w:eastAsia="Arial" w:hAnsi="Arial"/>
                <w:sz w:val="16"/>
                <w:szCs w:val="16"/>
                <w:color w:val="auto"/>
              </w:rPr>
              <w:t>Consideration transferred to BioTime: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10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Asterias Series B shares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52,164,568</w:t>
            </w:r>
          </w:p>
        </w:tc>
        <w:tc>
          <w:tcPr>
            <w:tcW w:w="120" w:type="dxa"/>
            <w:vAlign w:val="bottom"/>
            <w:shd w:val="clear" w:color="auto" w:fill="CCEEFF"/>
          </w:tcPr>
          <w:p>
            <w:pPr>
              <w:spacing w:after="0"/>
              <w:rPr>
                <w:sz w:val="16"/>
                <w:szCs w:val="16"/>
                <w:color w:val="auto"/>
              </w:rPr>
            </w:pPr>
          </w:p>
        </w:tc>
      </w:tr>
      <w:tr>
        <w:trPr>
          <w:trHeight w:val="189"/>
        </w:trPr>
        <w:tc>
          <w:tcPr>
            <w:tcW w:w="10180" w:type="dxa"/>
            <w:vAlign w:val="bottom"/>
          </w:tcPr>
          <w:p>
            <w:pPr>
              <w:ind w:left="100"/>
              <w:spacing w:after="0"/>
              <w:rPr>
                <w:sz w:val="20"/>
                <w:szCs w:val="20"/>
                <w:color w:val="auto"/>
              </w:rPr>
            </w:pPr>
            <w:r>
              <w:rPr>
                <w:rFonts w:ascii="Arial" w:cs="Arial" w:eastAsia="Arial" w:hAnsi="Arial"/>
                <w:sz w:val="16"/>
                <w:szCs w:val="16"/>
                <w:color w:val="auto"/>
              </w:rPr>
              <w:t>Warrants to purchase Asterias Series B shares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2,012,481</w:t>
            </w:r>
          </w:p>
        </w:tc>
        <w:tc>
          <w:tcPr>
            <w:tcW w:w="120" w:type="dxa"/>
            <w:vAlign w:val="bottom"/>
          </w:tcPr>
          <w:p>
            <w:pPr>
              <w:spacing w:after="0"/>
              <w:rPr>
                <w:sz w:val="16"/>
                <w:szCs w:val="16"/>
                <w:color w:val="auto"/>
              </w:rPr>
            </w:pPr>
          </w:p>
        </w:tc>
      </w:tr>
      <w:tr>
        <w:trPr>
          <w:trHeight w:val="229"/>
        </w:trPr>
        <w:tc>
          <w:tcPr>
            <w:tcW w:w="10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Excess of contributed assets’ value over consideration</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4,800,063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76"/>
        </w:trPr>
        <w:tc>
          <w:tcPr>
            <w:tcW w:w="10180" w:type="dxa"/>
            <w:vAlign w:val="bottom"/>
          </w:tcPr>
          <w:p>
            <w:pPr>
              <w:spacing w:after="0" w:line="177" w:lineRule="exact"/>
              <w:rPr>
                <w:sz w:val="20"/>
                <w:szCs w:val="20"/>
                <w:color w:val="auto"/>
              </w:rPr>
            </w:pPr>
            <w:r>
              <w:rPr>
                <w:rFonts w:ascii="Arial" w:cs="Arial" w:eastAsia="Arial" w:hAnsi="Arial"/>
                <w:sz w:val="16"/>
                <w:szCs w:val="16"/>
                <w:color w:val="auto"/>
              </w:rPr>
              <w:t>Total consideration issued</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58,977,112</w:t>
            </w:r>
          </w:p>
        </w:tc>
        <w:tc>
          <w:tcPr>
            <w:tcW w:w="120" w:type="dxa"/>
            <w:vAlign w:val="bottom"/>
          </w:tcPr>
          <w:p>
            <w:pPr>
              <w:spacing w:after="0"/>
              <w:rPr>
                <w:sz w:val="15"/>
                <w:szCs w:val="15"/>
                <w:color w:val="auto"/>
              </w:rPr>
            </w:pPr>
          </w:p>
        </w:tc>
      </w:tr>
      <w:tr>
        <w:trPr>
          <w:trHeight w:val="20"/>
        </w:trPr>
        <w:tc>
          <w:tcPr>
            <w:tcW w:w="10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0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10180" w:type="dxa"/>
            <w:vAlign w:val="bottom"/>
          </w:tcPr>
          <w:p>
            <w:pPr>
              <w:spacing w:after="0"/>
              <w:rPr>
                <w:sz w:val="20"/>
                <w:szCs w:val="20"/>
                <w:color w:val="auto"/>
              </w:rPr>
            </w:pPr>
            <w:r>
              <w:rPr>
                <w:rFonts w:ascii="Arial" w:cs="Arial" w:eastAsia="Arial" w:hAnsi="Arial"/>
                <w:sz w:val="16"/>
                <w:szCs w:val="16"/>
                <w:color w:val="auto"/>
              </w:rPr>
              <w:t>Assets transferred by BioTime: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10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BioTime common shares, at fair value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34,985,163</w:t>
            </w:r>
          </w:p>
        </w:tc>
        <w:tc>
          <w:tcPr>
            <w:tcW w:w="120" w:type="dxa"/>
            <w:vAlign w:val="bottom"/>
            <w:shd w:val="clear" w:color="auto" w:fill="CCEEFF"/>
          </w:tcPr>
          <w:p>
            <w:pPr>
              <w:spacing w:after="0"/>
              <w:rPr>
                <w:sz w:val="16"/>
                <w:szCs w:val="16"/>
                <w:color w:val="auto"/>
              </w:rPr>
            </w:pPr>
          </w:p>
        </w:tc>
      </w:tr>
      <w:tr>
        <w:trPr>
          <w:trHeight w:val="189"/>
        </w:trPr>
        <w:tc>
          <w:tcPr>
            <w:tcW w:w="10180" w:type="dxa"/>
            <w:vAlign w:val="bottom"/>
          </w:tcPr>
          <w:p>
            <w:pPr>
              <w:ind w:left="100"/>
              <w:spacing w:after="0"/>
              <w:rPr>
                <w:sz w:val="20"/>
                <w:szCs w:val="20"/>
                <w:color w:val="auto"/>
              </w:rPr>
            </w:pPr>
            <w:r>
              <w:rPr>
                <w:rFonts w:ascii="Arial" w:cs="Arial" w:eastAsia="Arial" w:hAnsi="Arial"/>
                <w:sz w:val="16"/>
                <w:szCs w:val="16"/>
                <w:color w:val="auto"/>
              </w:rPr>
              <w:t>BioTime Warrants, at fair value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18,276,406</w:t>
            </w:r>
          </w:p>
        </w:tc>
        <w:tc>
          <w:tcPr>
            <w:tcW w:w="120" w:type="dxa"/>
            <w:vAlign w:val="bottom"/>
          </w:tcPr>
          <w:p>
            <w:pPr>
              <w:spacing w:after="0"/>
              <w:rPr>
                <w:sz w:val="16"/>
                <w:szCs w:val="16"/>
                <w:color w:val="auto"/>
              </w:rPr>
            </w:pPr>
          </w:p>
        </w:tc>
      </w:tr>
      <w:tr>
        <w:trPr>
          <w:trHeight w:val="189"/>
        </w:trPr>
        <w:tc>
          <w:tcPr>
            <w:tcW w:w="10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Cancellation of outstanding obligation to BioTime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w:t>
            </w:r>
          </w:p>
        </w:tc>
        <w:tc>
          <w:tcPr>
            <w:tcW w:w="120" w:type="dxa"/>
            <w:vAlign w:val="bottom"/>
            <w:shd w:val="clear" w:color="auto" w:fill="CCEEFF"/>
          </w:tcPr>
          <w:p>
            <w:pPr>
              <w:spacing w:after="0"/>
              <w:rPr>
                <w:sz w:val="16"/>
                <w:szCs w:val="16"/>
                <w:color w:val="auto"/>
              </w:rPr>
            </w:pPr>
          </w:p>
        </w:tc>
      </w:tr>
      <w:tr>
        <w:trPr>
          <w:trHeight w:val="189"/>
        </w:trPr>
        <w:tc>
          <w:tcPr>
            <w:tcW w:w="10180" w:type="dxa"/>
            <w:vAlign w:val="bottom"/>
          </w:tcPr>
          <w:p>
            <w:pPr>
              <w:ind w:left="100"/>
              <w:spacing w:after="0"/>
              <w:rPr>
                <w:sz w:val="20"/>
                <w:szCs w:val="20"/>
                <w:color w:val="auto"/>
              </w:rPr>
            </w:pPr>
            <w:r>
              <w:rPr>
                <w:rFonts w:ascii="Arial" w:cs="Arial" w:eastAsia="Arial" w:hAnsi="Arial"/>
                <w:sz w:val="16"/>
                <w:szCs w:val="16"/>
                <w:color w:val="auto"/>
              </w:rPr>
              <w:t>Investment in affiliates, at cost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415,543</w:t>
            </w:r>
          </w:p>
        </w:tc>
        <w:tc>
          <w:tcPr>
            <w:tcW w:w="120" w:type="dxa"/>
            <w:vAlign w:val="bottom"/>
          </w:tcPr>
          <w:p>
            <w:pPr>
              <w:spacing w:after="0"/>
              <w:rPr>
                <w:sz w:val="16"/>
                <w:szCs w:val="16"/>
                <w:color w:val="auto"/>
              </w:rPr>
            </w:pPr>
          </w:p>
        </w:tc>
      </w:tr>
      <w:tr>
        <w:trPr>
          <w:trHeight w:val="193"/>
        </w:trPr>
        <w:tc>
          <w:tcPr>
            <w:tcW w:w="10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Geron asset acquisition related transaction costs paid by BioTime</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9"/>
        </w:trPr>
        <w:tc>
          <w:tcPr>
            <w:tcW w:w="10180" w:type="dxa"/>
            <w:vAlign w:val="bottom"/>
          </w:tcPr>
          <w:p>
            <w:pPr>
              <w:spacing w:after="0"/>
              <w:rPr>
                <w:sz w:val="20"/>
                <w:szCs w:val="20"/>
                <w:color w:val="auto"/>
              </w:rPr>
            </w:pPr>
            <w:r>
              <w:rPr>
                <w:rFonts w:ascii="Arial" w:cs="Arial" w:eastAsia="Arial" w:hAnsi="Arial"/>
                <w:sz w:val="16"/>
                <w:szCs w:val="16"/>
                <w:color w:val="auto"/>
              </w:rPr>
              <w:t>Total assets transferred</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58,977,112</w:t>
            </w:r>
          </w:p>
        </w:tc>
        <w:tc>
          <w:tcPr>
            <w:tcW w:w="120" w:type="dxa"/>
            <w:vAlign w:val="bottom"/>
          </w:tcPr>
          <w:p>
            <w:pPr>
              <w:spacing w:after="0"/>
              <w:rPr>
                <w:sz w:val="16"/>
                <w:szCs w:val="16"/>
                <w:color w:val="auto"/>
              </w:rPr>
            </w:pPr>
          </w:p>
        </w:tc>
      </w:tr>
      <w:tr>
        <w:trPr>
          <w:trHeight w:val="20"/>
        </w:trPr>
        <w:tc>
          <w:tcPr>
            <w:tcW w:w="10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ind w:right="60" w:firstLine="567"/>
        <w:spacing w:after="0" w:line="250" w:lineRule="auto"/>
        <w:rPr>
          <w:sz w:val="20"/>
          <w:szCs w:val="20"/>
          <w:color w:val="auto"/>
        </w:rPr>
      </w:pPr>
      <w:r>
        <w:rPr>
          <w:rFonts w:ascii="Arial" w:cs="Arial" w:eastAsia="Arial" w:hAnsi="Arial"/>
          <w:sz w:val="16"/>
          <w:szCs w:val="16"/>
          <w:color w:val="auto"/>
        </w:rPr>
        <w:t>The fair value of the Asterias Series B shares issued was estimated at $2.40 based on the Asterias enterprise value as determined on January 4, 2013, at the time the Asset Contribution Agreement was negotiated and executed by its parties, and as adjusted for subsequent changes in fair values of assets the parties agreed to contribute. The fair value of the warrants to purchase Asterias Series B shares was computed using a Black Scholes Merton option pricing model, which utilized the following assumptions: expected term equal to the contractual term of three years, which is equal to the contractual life of the warrants; risk-free rate of 0.63%; 0% expected dividend yield; 69.62% expected volatility based on the average historical common stock volatility of BioTime and Geron, which were used as Asterias’ common stock does not have a trading history; a stock price of $2.40; and an exercise price of $5.00.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24" w:name="page125"/>
    <w:bookmarkEnd w:id="12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80" w:firstLine="567"/>
        <w:spacing w:after="0" w:line="253" w:lineRule="auto"/>
        <w:rPr>
          <w:sz w:val="20"/>
          <w:szCs w:val="20"/>
          <w:color w:val="auto"/>
        </w:rPr>
      </w:pPr>
      <w:r>
        <w:rPr>
          <w:rFonts w:ascii="Arial" w:cs="Arial" w:eastAsia="Arial" w:hAnsi="Arial"/>
          <w:sz w:val="16"/>
          <w:szCs w:val="16"/>
          <w:color w:val="auto"/>
        </w:rPr>
        <w:t>BioTime common shares were valued using $3.93 the closing price per BioTime common shares on the NYSE MKT on October 1, 2013. The fair value of the BioTime Warrants was computed using a Black Scholes Merton option pricing model, which utilized the following assumptions: expected term equal to the contractual term of five years, which is equal to the contractual life of the warrants; risk-free rate of 1.42%; 0% expected dividend yield; 77.63% expected volatility based on historical common stock volatility of BioTime; a stock price of $3.93; and an exercise price of $5.00.</w:t>
      </w:r>
    </w:p>
    <w:p>
      <w:pPr>
        <w:spacing w:after="0" w:line="193"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The investment in affiliates represents a non-monetary asset and was recorded at BioTime’s historical cost because BioTime is a common parent to Asterias and those affiliates.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Geron Assets Acquisition</w:t>
      </w:r>
    </w:p>
    <w:p>
      <w:pPr>
        <w:spacing w:after="0" w:line="218" w:lineRule="exact"/>
        <w:rPr>
          <w:sz w:val="20"/>
          <w:szCs w:val="20"/>
          <w:color w:val="auto"/>
        </w:rPr>
      </w:pPr>
    </w:p>
    <w:p>
      <w:pPr>
        <w:ind w:right="60" w:firstLine="567"/>
        <w:spacing w:after="0" w:line="289" w:lineRule="auto"/>
        <w:rPr>
          <w:sz w:val="20"/>
          <w:szCs w:val="20"/>
          <w:color w:val="auto"/>
        </w:rPr>
      </w:pPr>
      <w:r>
        <w:rPr>
          <w:rFonts w:ascii="Arial" w:cs="Arial" w:eastAsia="Arial" w:hAnsi="Arial"/>
          <w:sz w:val="14"/>
          <w:szCs w:val="14"/>
          <w:color w:val="auto"/>
        </w:rPr>
        <w:t>Under the Asset Contribution Agreement, Geron contributed to Asterias certain patents, patent applications, trade secrets, know-how and other intellectual property rights with respect to the technology of Geron directly related to the research, development and commercialization of certain products and know-how related to hES cells; certain biological materials, reagents, laboratory equipment; as well as clinical trial documentation, files and data, primarily related to GRNOPC1 clinical trials for spinal cord injury and VAC1 clinical trials for acute myelogenous leukemia. Asterias assumed all obligations related to such assets that would be attributable to periods, events or circumstances after the Asset Contribution Agreement closing date, including those related to an appeal filed in the United States District Court in Civil Action No. C12-04813 (the “ViaCyte Appeal”) seeking the reversal of two adverse determinations by the United States Patent and Trademark Office’s Board of Patent Appeals and Interferences with respect to two patent applications in U.S. Patent Interference 105,734, involving US patent 7,510,876 (ViaCyte) and US patent application 11/960,477 (Geron), and U.S. Patent Interference 105,827 involving US patent 7,510,876 (ViaCyte) and US patent application 12/543,875 (Geron). Asterias also assumed the patent interferences upon which the ViaCyte Appeal is based, as well as certain oppositions filed by Geron against certain ViaCyte, Inc. patent filings in Australia and in the European Patent Office.</w:t>
      </w:r>
    </w:p>
    <w:p>
      <w:pPr>
        <w:spacing w:after="0" w:line="170" w:lineRule="exact"/>
        <w:rPr>
          <w:sz w:val="20"/>
          <w:szCs w:val="20"/>
          <w:color w:val="auto"/>
        </w:rPr>
      </w:pPr>
    </w:p>
    <w:p>
      <w:pPr>
        <w:ind w:right="180" w:firstLine="567"/>
        <w:spacing w:after="0" w:line="276" w:lineRule="auto"/>
        <w:rPr>
          <w:sz w:val="20"/>
          <w:szCs w:val="20"/>
          <w:color w:val="auto"/>
        </w:rPr>
      </w:pPr>
      <w:r>
        <w:rPr>
          <w:rFonts w:ascii="Arial" w:cs="Arial" w:eastAsia="Arial" w:hAnsi="Arial"/>
          <w:sz w:val="15"/>
          <w:szCs w:val="15"/>
          <w:color w:val="auto"/>
        </w:rPr>
        <w:t>As consideration for the acquisition of assets from Geron, Asterias issued to Geron 6,537,779 shares of Series A common stock, par value $0.0001 per share (“Series A Shares”), which Geron had agreed to distribute to its stockholders, on a pro rata basis, subject to applicable legal requirements and certain other limitations (the “Series A Distribution”). Asterias is also obligated to distribute to the holders of its Series A Shares the 8,000,000 shares of BioTime Warrants contributed to Asterias by BioTime. Asterias will distribute the BioTime Warrants as promptly as practicable after notice from Geron that the Series A Distribution has been completed</w:t>
      </w:r>
    </w:p>
    <w:p>
      <w:pPr>
        <w:spacing w:after="0" w:line="176" w:lineRule="exact"/>
        <w:rPr>
          <w:sz w:val="20"/>
          <w:szCs w:val="20"/>
          <w:color w:val="auto"/>
        </w:rPr>
      </w:pPr>
    </w:p>
    <w:p>
      <w:pPr>
        <w:ind w:right="100" w:firstLine="567"/>
        <w:spacing w:after="0" w:line="267" w:lineRule="auto"/>
        <w:rPr>
          <w:sz w:val="20"/>
          <w:szCs w:val="20"/>
          <w:color w:val="auto"/>
        </w:rPr>
      </w:pPr>
      <w:r>
        <w:rPr>
          <w:rFonts w:ascii="Arial" w:cs="Arial" w:eastAsia="Arial" w:hAnsi="Arial"/>
          <w:sz w:val="16"/>
          <w:szCs w:val="16"/>
          <w:color w:val="auto"/>
        </w:rPr>
        <w:t>In addition, Asterias agreed to bear certain transaction costs in connection with the Geron asset acquisition. Such transaction costs were allocated to acquisition of assets in the amount of $1,519,904 and issuance of equity in the amount of $541,800.</w:t>
      </w:r>
    </w:p>
    <w:p>
      <w:pPr>
        <w:spacing w:after="0" w:line="181" w:lineRule="exact"/>
        <w:rPr>
          <w:sz w:val="20"/>
          <w:szCs w:val="20"/>
          <w:color w:val="auto"/>
        </w:rPr>
      </w:pPr>
    </w:p>
    <w:p>
      <w:pPr>
        <w:ind w:right="20" w:firstLine="567"/>
        <w:spacing w:after="0" w:line="276" w:lineRule="auto"/>
        <w:rPr>
          <w:sz w:val="20"/>
          <w:szCs w:val="20"/>
          <w:color w:val="auto"/>
        </w:rPr>
      </w:pPr>
      <w:r>
        <w:rPr>
          <w:rFonts w:ascii="Arial" w:cs="Arial" w:eastAsia="Arial" w:hAnsi="Arial"/>
          <w:sz w:val="15"/>
          <w:szCs w:val="15"/>
          <w:color w:val="auto"/>
        </w:rPr>
        <w:t xml:space="preserve">The assets contributed to Asterias by Geron did not include workforce or any processes to be applied to the patents, biological materials, and other assets acquired, and therefore did not constitute a business. Accordingly, the acquisition of the Geron assets has been accounted for as an acquisition of assets in accordance with the relevant provisions of Accounting Standards Codification (ASC) 805-50. Total consideration payable by Asterias, including transaction costs, has been allocated to the assets acquired based on relative fair values of those assets as of the date of the transaction, October 1, 2013, in accordance with ASC 820, </w:t>
      </w:r>
      <w:r>
        <w:rPr>
          <w:rFonts w:ascii="Arial" w:cs="Arial" w:eastAsia="Arial" w:hAnsi="Arial"/>
          <w:sz w:val="15"/>
          <w:szCs w:val="15"/>
          <w:i w:val="1"/>
          <w:iCs w:val="1"/>
          <w:color w:val="auto"/>
        </w:rPr>
        <w:t>Fair Value Measurement</w:t>
      </w:r>
      <w:r>
        <w:rPr>
          <w:rFonts w:ascii="Arial" w:cs="Arial" w:eastAsia="Arial" w:hAnsi="Arial"/>
          <w:sz w:val="15"/>
          <w:szCs w:val="15"/>
          <w:color w:val="auto"/>
        </w:rPr>
        <w: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75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33"/>
        </w:trPr>
        <w:tc>
          <w:tcPr>
            <w:tcW w:w="8400" w:type="dxa"/>
            <w:vAlign w:val="bottom"/>
            <w:gridSpan w:val="2"/>
          </w:tcPr>
          <w:p>
            <w:pPr>
              <w:ind w:left="560"/>
              <w:spacing w:after="0"/>
              <w:rPr>
                <w:sz w:val="20"/>
                <w:szCs w:val="20"/>
                <w:color w:val="auto"/>
              </w:rPr>
            </w:pPr>
            <w:r>
              <w:rPr>
                <w:rFonts w:ascii="Arial" w:cs="Arial" w:eastAsia="Arial" w:hAnsi="Arial"/>
                <w:sz w:val="16"/>
                <w:szCs w:val="16"/>
                <w:color w:val="auto"/>
              </w:rPr>
              <w:t>The assets acquired from Geron and the related consideration were recorded as follows:</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2"/>
        </w:trPr>
        <w:tc>
          <w:tcPr>
            <w:tcW w:w="8400" w:type="dxa"/>
            <w:vAlign w:val="bottom"/>
            <w:gridSpan w:val="2"/>
          </w:tcPr>
          <w:p>
            <w:pPr>
              <w:spacing w:after="0"/>
              <w:rPr>
                <w:sz w:val="20"/>
                <w:szCs w:val="20"/>
                <w:color w:val="auto"/>
              </w:rPr>
            </w:pPr>
            <w:r>
              <w:rPr>
                <w:rFonts w:ascii="Arial" w:cs="Arial" w:eastAsia="Arial" w:hAnsi="Arial"/>
                <w:sz w:val="16"/>
                <w:szCs w:val="16"/>
                <w:color w:val="auto"/>
              </w:rPr>
              <w:t>Consideration paid to Geron:</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8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Asterias Series A shares, net of share issuance costs of $541,800</w:t>
            </w:r>
          </w:p>
        </w:tc>
        <w:tc>
          <w:tcPr>
            <w:tcW w:w="202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15,121,222</w:t>
            </w:r>
          </w:p>
        </w:tc>
        <w:tc>
          <w:tcPr>
            <w:tcW w:w="120" w:type="dxa"/>
            <w:vAlign w:val="bottom"/>
            <w:shd w:val="clear" w:color="auto" w:fill="CCEEFF"/>
          </w:tcPr>
          <w:p>
            <w:pPr>
              <w:spacing w:after="0"/>
              <w:rPr>
                <w:sz w:val="16"/>
                <w:szCs w:val="16"/>
                <w:color w:val="auto"/>
              </w:rPr>
            </w:pPr>
          </w:p>
        </w:tc>
      </w:tr>
      <w:tr>
        <w:trPr>
          <w:trHeight w:val="189"/>
        </w:trPr>
        <w:tc>
          <w:tcPr>
            <w:tcW w:w="8400" w:type="dxa"/>
            <w:vAlign w:val="bottom"/>
            <w:gridSpan w:val="2"/>
          </w:tcPr>
          <w:p>
            <w:pPr>
              <w:ind w:left="100"/>
              <w:spacing w:after="0"/>
              <w:rPr>
                <w:sz w:val="20"/>
                <w:szCs w:val="20"/>
                <w:color w:val="auto"/>
              </w:rPr>
            </w:pPr>
            <w:r>
              <w:rPr>
                <w:rFonts w:ascii="Arial" w:cs="Arial" w:eastAsia="Arial" w:hAnsi="Arial"/>
                <w:sz w:val="16"/>
                <w:szCs w:val="16"/>
                <w:color w:val="auto"/>
              </w:rPr>
              <w:t>Obligation to distribute BioTime Warrants</w:t>
            </w: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18,276,406</w:t>
            </w:r>
          </w:p>
        </w:tc>
        <w:tc>
          <w:tcPr>
            <w:tcW w:w="120" w:type="dxa"/>
            <w:vAlign w:val="bottom"/>
          </w:tcPr>
          <w:p>
            <w:pPr>
              <w:spacing w:after="0"/>
              <w:rPr>
                <w:sz w:val="16"/>
                <w:szCs w:val="16"/>
                <w:color w:val="auto"/>
              </w:rPr>
            </w:pPr>
          </w:p>
        </w:tc>
      </w:tr>
      <w:tr>
        <w:trPr>
          <w:trHeight w:val="216"/>
        </w:trPr>
        <w:tc>
          <w:tcPr>
            <w:tcW w:w="84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Transaction and other costs</w:t>
            </w:r>
          </w:p>
        </w:tc>
        <w:tc>
          <w:tcPr>
            <w:tcW w:w="17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1,519,904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89"/>
        </w:trPr>
        <w:tc>
          <w:tcPr>
            <w:tcW w:w="8400" w:type="dxa"/>
            <w:vAlign w:val="bottom"/>
            <w:gridSpan w:val="2"/>
          </w:tcPr>
          <w:p>
            <w:pPr>
              <w:spacing w:after="0"/>
              <w:rPr>
                <w:sz w:val="20"/>
                <w:szCs w:val="20"/>
                <w:color w:val="auto"/>
              </w:rPr>
            </w:pPr>
            <w:r>
              <w:rPr>
                <w:rFonts w:ascii="Arial" w:cs="Arial" w:eastAsia="Arial" w:hAnsi="Arial"/>
                <w:sz w:val="16"/>
                <w:szCs w:val="16"/>
                <w:color w:val="auto"/>
              </w:rPr>
              <w:t>Total consideration paid</w:t>
            </w:r>
          </w:p>
        </w:tc>
        <w:tc>
          <w:tcPr>
            <w:tcW w:w="202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34,917,532</w:t>
            </w:r>
          </w:p>
        </w:tc>
        <w:tc>
          <w:tcPr>
            <w:tcW w:w="1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840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Assets acquired from Geron (preliminary allocation):</w:t>
            </w:r>
          </w:p>
        </w:tc>
        <w:tc>
          <w:tcPr>
            <w:tcW w:w="1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8400" w:type="dxa"/>
            <w:vAlign w:val="bottom"/>
            <w:gridSpan w:val="2"/>
          </w:tcPr>
          <w:p>
            <w:pPr>
              <w:spacing w:after="0"/>
              <w:rPr>
                <w:sz w:val="20"/>
                <w:szCs w:val="20"/>
                <w:color w:val="auto"/>
              </w:rPr>
            </w:pPr>
            <w:r>
              <w:rPr>
                <w:rFonts w:ascii="Arial" w:cs="Arial" w:eastAsia="Arial" w:hAnsi="Arial"/>
                <w:sz w:val="16"/>
                <w:szCs w:val="16"/>
                <w:color w:val="auto"/>
              </w:rPr>
              <w:t>Patents and other intellectual property rights related to hES cells</w:t>
            </w:r>
          </w:p>
        </w:tc>
        <w:tc>
          <w:tcPr>
            <w:tcW w:w="202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29,017,009</w:t>
            </w:r>
          </w:p>
        </w:tc>
        <w:tc>
          <w:tcPr>
            <w:tcW w:w="120" w:type="dxa"/>
            <w:vAlign w:val="bottom"/>
          </w:tcPr>
          <w:p>
            <w:pPr>
              <w:spacing w:after="0"/>
              <w:rPr>
                <w:sz w:val="16"/>
                <w:szCs w:val="16"/>
                <w:color w:val="auto"/>
              </w:rPr>
            </w:pPr>
          </w:p>
        </w:tc>
      </w:tr>
      <w:tr>
        <w:trPr>
          <w:trHeight w:val="189"/>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liability arising from difference in book versus tax basis on Geron intangible assets acquired</w:t>
            </w:r>
          </w:p>
        </w:tc>
        <w:tc>
          <w:tcPr>
            <w:tcW w:w="1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(11,558,243)</w:t>
            </w:r>
          </w:p>
        </w:tc>
      </w:tr>
      <w:tr>
        <w:trPr>
          <w:trHeight w:val="193"/>
        </w:trPr>
        <w:tc>
          <w:tcPr>
            <w:tcW w:w="8400" w:type="dxa"/>
            <w:vAlign w:val="bottom"/>
            <w:gridSpan w:val="2"/>
          </w:tcPr>
          <w:p>
            <w:pPr>
              <w:spacing w:after="0"/>
              <w:rPr>
                <w:sz w:val="20"/>
                <w:szCs w:val="20"/>
                <w:color w:val="auto"/>
              </w:rPr>
            </w:pPr>
            <w:r>
              <w:rPr>
                <w:rFonts w:ascii="Arial" w:cs="Arial" w:eastAsia="Arial" w:hAnsi="Arial"/>
                <w:sz w:val="16"/>
                <w:szCs w:val="16"/>
                <w:color w:val="auto"/>
              </w:rPr>
              <w:t>IPR&amp;D expensed upon acquisition</w:t>
            </w:r>
          </w:p>
        </w:tc>
        <w:tc>
          <w:tcPr>
            <w:tcW w:w="1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17,458,766</w:t>
            </w:r>
          </w:p>
        </w:tc>
        <w:tc>
          <w:tcPr>
            <w:tcW w:w="120" w:type="dxa"/>
            <w:vAlign w:val="bottom"/>
          </w:tcPr>
          <w:p>
            <w:pPr>
              <w:spacing w:after="0"/>
              <w:rPr>
                <w:sz w:val="16"/>
                <w:szCs w:val="16"/>
                <w:color w:val="auto"/>
              </w:rPr>
            </w:pPr>
          </w:p>
        </w:tc>
      </w:tr>
      <w:tr>
        <w:trPr>
          <w:trHeight w:val="229"/>
        </w:trPr>
        <w:tc>
          <w:tcPr>
            <w:tcW w:w="8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assets and in-process research and development acquired</w:t>
            </w:r>
          </w:p>
        </w:tc>
        <w:tc>
          <w:tcPr>
            <w:tcW w:w="17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34,917,532</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ind w:right="160" w:firstLine="567"/>
        <w:spacing w:after="0" w:line="340" w:lineRule="auto"/>
        <w:rPr>
          <w:sz w:val="20"/>
          <w:szCs w:val="20"/>
          <w:color w:val="auto"/>
        </w:rPr>
      </w:pPr>
      <w:r>
        <w:rPr>
          <w:rFonts w:ascii="Arial" w:cs="Arial" w:eastAsia="Arial" w:hAnsi="Arial"/>
          <w:sz w:val="14"/>
          <w:szCs w:val="14"/>
          <w:color w:val="auto"/>
        </w:rPr>
        <w:t>The fair value of the Asterias Series A shares issued was estimated at $2.40 based on the estimated Asterias enterprise value as determined by parties at the time the Asset Contribution Agreement was negotiated and executed by its parties on January 4, 2013, as adjusted for subsequent changes in fair values of assets the parties agreed to contribute.</w:t>
      </w:r>
    </w:p>
    <w:p>
      <w:pPr>
        <w:spacing w:after="0" w:line="135" w:lineRule="exact"/>
        <w:rPr>
          <w:sz w:val="20"/>
          <w:szCs w:val="20"/>
          <w:color w:val="auto"/>
        </w:rPr>
      </w:pPr>
    </w:p>
    <w:p>
      <w:pPr>
        <w:ind w:right="240" w:firstLine="567"/>
        <w:spacing w:after="0" w:line="282" w:lineRule="auto"/>
        <w:rPr>
          <w:sz w:val="20"/>
          <w:szCs w:val="20"/>
          <w:color w:val="auto"/>
        </w:rPr>
      </w:pPr>
      <w:r>
        <w:rPr>
          <w:rFonts w:ascii="Arial" w:cs="Arial" w:eastAsia="Arial" w:hAnsi="Arial"/>
          <w:sz w:val="15"/>
          <w:szCs w:val="15"/>
          <w:color w:val="auto"/>
        </w:rPr>
        <w:t>The fair value of the obligation to distribute BioTime Warrants equals the fair value of such warrants, which was computed as noted above under “Transfer of BioTime Assets.” Because the fair value of the BioTime Warrants is expected to always be equal to the fair value of the obligation to distribute them at any date on which those values are determined, the remeasurement of those values will not result in a charge or credit on the statement of operations.</w:t>
      </w:r>
    </w:p>
    <w:p>
      <w:pPr>
        <w:spacing w:after="0" w:line="172" w:lineRule="exact"/>
        <w:rPr>
          <w:sz w:val="20"/>
          <w:szCs w:val="20"/>
          <w:color w:val="auto"/>
        </w:rPr>
      </w:pPr>
    </w:p>
    <w:p>
      <w:pPr>
        <w:ind w:right="420" w:firstLine="567"/>
        <w:spacing w:after="0" w:line="267" w:lineRule="auto"/>
        <w:rPr>
          <w:sz w:val="20"/>
          <w:szCs w:val="20"/>
          <w:color w:val="auto"/>
        </w:rPr>
      </w:pPr>
      <w:r>
        <w:rPr>
          <w:rFonts w:ascii="Arial" w:cs="Arial" w:eastAsia="Arial" w:hAnsi="Arial"/>
          <w:sz w:val="16"/>
          <w:szCs w:val="16"/>
          <w:color w:val="auto"/>
        </w:rPr>
        <w:t>The difference between the fair value of assets contributed by Geron and the fair value of consideration issued to Geron was recorded as an additional contribution by Geron, in additional paid-in capital, because the fair value of the assets transferred by Geron was more reliably determined.</w:t>
      </w:r>
    </w:p>
    <w:p>
      <w:pPr>
        <w:spacing w:after="0" w:line="181" w:lineRule="exact"/>
        <w:rPr>
          <w:sz w:val="20"/>
          <w:szCs w:val="20"/>
          <w:color w:val="auto"/>
        </w:rPr>
      </w:pPr>
    </w:p>
    <w:p>
      <w:pPr>
        <w:ind w:right="200" w:firstLine="567"/>
        <w:spacing w:after="0" w:line="282" w:lineRule="auto"/>
        <w:rPr>
          <w:sz w:val="20"/>
          <w:szCs w:val="20"/>
          <w:color w:val="auto"/>
        </w:rPr>
      </w:pPr>
      <w:r>
        <w:rPr>
          <w:rFonts w:ascii="Arial" w:cs="Arial" w:eastAsia="Arial" w:hAnsi="Arial"/>
          <w:sz w:val="15"/>
          <w:szCs w:val="15"/>
          <w:color w:val="auto"/>
        </w:rPr>
        <w:t>Assets acquired from Geron consist primarily of patents and other intellectual property rights related to hES cells which Asterias intends to license to various parties interested in research, development and commercialization of hES cells technologies, and IPR&amp;D, which includes biological materials, reagents, clinical trial documentation, files and data related primarily to certain clinical trials previously conducted by Geron, which Geron discontinued in November 2011.</w:t>
      </w:r>
    </w:p>
    <w:p>
      <w:pPr>
        <w:spacing w:after="0" w:line="172" w:lineRule="exact"/>
        <w:rPr>
          <w:sz w:val="20"/>
          <w:szCs w:val="20"/>
          <w:color w:val="auto"/>
        </w:rPr>
      </w:pPr>
    </w:p>
    <w:p>
      <w:pPr>
        <w:ind w:right="80" w:firstLine="567"/>
        <w:spacing w:after="0" w:line="250" w:lineRule="auto"/>
        <w:rPr>
          <w:sz w:val="20"/>
          <w:szCs w:val="20"/>
          <w:color w:val="auto"/>
        </w:rPr>
      </w:pPr>
      <w:r>
        <w:rPr>
          <w:rFonts w:ascii="Arial" w:cs="Arial" w:eastAsia="Arial" w:hAnsi="Arial"/>
          <w:sz w:val="16"/>
          <w:szCs w:val="16"/>
          <w:color w:val="auto"/>
        </w:rPr>
        <w:t>Intangible assets related to IPR&amp;D represent the value of incomplete research and development projects which the company intends to continue. In accordance with the accounting rules in ASC 805, such assets, when acquired in conjunction with acquisition of a business, are considered to be indefinite-lived until the completion or abandonment of the associated research and development efforts and are capitalized as an asset. If and when development is complete, the associated assets would be deemed finite-lived and would then be amortized based on their respective estimated useful lives at that point in time. However, when acquired in conjunction with an acquisition of assets that do not constitute a business (such as the acquisition of assets from Geron), in accordance with the accounting rules in ASC 805-50, such intangible assets related to IPR&amp;D are expensed upon acquisition.</w:t>
      </w:r>
    </w:p>
    <w:p>
      <w:pPr>
        <w:spacing w:after="0" w:line="197" w:lineRule="exact"/>
        <w:rPr>
          <w:sz w:val="20"/>
          <w:szCs w:val="20"/>
          <w:color w:val="auto"/>
        </w:rPr>
      </w:pPr>
    </w:p>
    <w:p>
      <w:pPr>
        <w:ind w:right="80" w:firstLine="567"/>
        <w:spacing w:after="0" w:line="288" w:lineRule="auto"/>
        <w:rPr>
          <w:sz w:val="20"/>
          <w:szCs w:val="20"/>
          <w:color w:val="auto"/>
        </w:rPr>
      </w:pPr>
      <w:r>
        <w:rPr>
          <w:rFonts w:ascii="Arial" w:cs="Arial" w:eastAsia="Arial" w:hAnsi="Arial"/>
          <w:sz w:val="14"/>
          <w:szCs w:val="14"/>
          <w:color w:val="auto"/>
        </w:rPr>
        <w:t>The values of the acquired assets were estimated at October 1, 2013 based upon a preliminary review of those assets which took into account factors such as the condition of the cells, cell lines and other biological materials being contributed, the stage of development of particular technology and product candidates related to patents, patent applications, and know-how, the intended use of these assets and the priority assigned to the development of product candidates to which those assets relate, and the assessment of the estimated useful lives of patents. The amounts allocated to patents and other intellectual property rights that Asterias intends to license were capitalized as intangible assets and are being amortized over an estimated useful life period of 10 years. The amounts allocated to IPR&amp;D were expensed at the time of acquisition of the related assets in accordance with the requirements of ASC 805-50. The allocation was based on the relative fair value of assets eligible for capitalization and the fair value of assets representing IPR&amp;D before assessing the deferred tax liability arising from the difference in book versus tax basis on Geron intangible assets acquired, which management estimated to be approximately equal. Accordingly, $17,458,766 was capitalized as of December 31, 2013, and $17,458,766 was expensed. These amounts are preliminary as management has not yet completed a detailed assessment and valuation of the acquired assets. Such assessment and valuation is expected to be completed during the quarter ending June 30, 2014. Accordingly, the amounts included in capitalized intangible assets and expensed IPR&amp;D as of December 31, 2013 are subject to adjustments which could be material.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26" w:name="page127"/>
    <w:bookmarkEnd w:id="12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7" w:lineRule="exact"/>
        <w:rPr>
          <w:sz w:val="20"/>
          <w:szCs w:val="20"/>
          <w:color w:val="auto"/>
        </w:rPr>
      </w:pPr>
    </w:p>
    <w:p>
      <w:pPr>
        <w:ind w:right="160" w:firstLine="567"/>
        <w:spacing w:after="0" w:line="267" w:lineRule="auto"/>
        <w:rPr>
          <w:sz w:val="20"/>
          <w:szCs w:val="20"/>
          <w:color w:val="auto"/>
        </w:rPr>
      </w:pPr>
      <w:r>
        <w:rPr>
          <w:rFonts w:ascii="Arial" w:cs="Arial" w:eastAsia="Arial" w:hAnsi="Arial"/>
          <w:sz w:val="16"/>
          <w:szCs w:val="16"/>
          <w:color w:val="auto"/>
        </w:rPr>
        <w:t>Asterias is also obligated to pay Geron royalties on the sale of products, if any, that are commercialized in reliance upon patents acquired from Geron, at the rate of 4% of net sales.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and Warrant Purchase Agreement with Romulus</w:t>
      </w:r>
    </w:p>
    <w:p>
      <w:pPr>
        <w:spacing w:after="0" w:line="218" w:lineRule="exact"/>
        <w:rPr>
          <w:sz w:val="20"/>
          <w:szCs w:val="20"/>
          <w:color w:val="auto"/>
        </w:rPr>
      </w:pPr>
    </w:p>
    <w:p>
      <w:pPr>
        <w:ind w:right="240" w:firstLine="567"/>
        <w:spacing w:after="0" w:line="253" w:lineRule="auto"/>
        <w:rPr>
          <w:sz w:val="20"/>
          <w:szCs w:val="20"/>
          <w:color w:val="auto"/>
        </w:rPr>
      </w:pPr>
      <w:r>
        <w:rPr>
          <w:rFonts w:ascii="Arial" w:cs="Arial" w:eastAsia="Arial" w:hAnsi="Arial"/>
          <w:sz w:val="16"/>
          <w:szCs w:val="16"/>
          <w:color w:val="auto"/>
        </w:rPr>
        <w:t>On January 4, 2013, in connection with entering into the Asset Contribution Agreement, Asterias entered into a Stock and Warrant Purchase Agreement with Romulus Films, Ltd (“Romulus”) pursuant to which Romulus agreed to purchase 2,136,000 Series B Shares and warrants to purchase 350,000 additional Series B Shares for $5,000,000 in cash upon the consummation of the acquisition of assets under the Asset Contribution Agreement. On October 1, 2013, the shares and warrants were issued in exchange for $5,000,000 in cash.</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Commitments and Contingencies</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BioTime had no fixed, non-cancelable contractual obligations as of December 31, 2013, with the exception of office and laboratory facility operating leases.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BioTime Leases</w:t>
      </w:r>
    </w:p>
    <w:p>
      <w:pPr>
        <w:spacing w:after="0" w:line="218" w:lineRule="exact"/>
        <w:rPr>
          <w:sz w:val="20"/>
          <w:szCs w:val="20"/>
          <w:color w:val="auto"/>
        </w:rPr>
      </w:pPr>
    </w:p>
    <w:p>
      <w:pPr>
        <w:jc w:val="both"/>
        <w:ind w:right="240" w:firstLine="567"/>
        <w:spacing w:after="0" w:line="257" w:lineRule="auto"/>
        <w:rPr>
          <w:sz w:val="20"/>
          <w:szCs w:val="20"/>
          <w:color w:val="auto"/>
        </w:rPr>
      </w:pPr>
      <w:r>
        <w:rPr>
          <w:rFonts w:ascii="Arial" w:cs="Arial" w:eastAsia="Arial" w:hAnsi="Arial"/>
          <w:sz w:val="16"/>
          <w:szCs w:val="16"/>
          <w:color w:val="auto"/>
        </w:rPr>
        <w:t>BioTime leases office and research laboratory space in Alameda, California. Base monthly rent is $30,752 from December 2013 and will increase by three percent each year. In addition to the base rent, BioTime pays a pro rata share of real property taxes and certain costs associated to the operation and maintenance of the building in which the leased premises are located.</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BioTime also leases an office and research facility located in La Jolla, California. The lease is for a term one year plus one half month commencing October 15, 2013.</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BioTime pays base rent of $4,330 per month, plus operational costs of maintaining the leased premises.</w:t>
      </w:r>
    </w:p>
    <w:p>
      <w:pPr>
        <w:spacing w:after="0" w:line="207" w:lineRule="exact"/>
        <w:rPr>
          <w:sz w:val="20"/>
          <w:szCs w:val="20"/>
          <w:color w:val="auto"/>
        </w:rPr>
      </w:pPr>
    </w:p>
    <w:p>
      <w:pPr>
        <w:ind w:right="40" w:firstLine="567"/>
        <w:spacing w:after="0" w:line="267" w:lineRule="auto"/>
        <w:rPr>
          <w:sz w:val="20"/>
          <w:szCs w:val="20"/>
          <w:color w:val="auto"/>
        </w:rPr>
      </w:pPr>
      <w:r>
        <w:rPr>
          <w:rFonts w:ascii="Arial" w:cs="Arial" w:eastAsia="Arial" w:hAnsi="Arial"/>
          <w:sz w:val="16"/>
          <w:szCs w:val="16"/>
          <w:color w:val="auto"/>
        </w:rPr>
        <w:t>BioTime also currently pays $5,050 per month for the use of office space in New York City, which is made available to BioTime by one of its directors at his cost for use in conducting meetings and other business affairs.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Asterias Leases</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BioTime leases an office and research facility located in Menlo Park, California for use by Asterias. The lease is for a term of three years commencing January 7, 2013.</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Base rent is $31,786 per month, plus real estate taxes and certain costs of maintaining the leased premises.</w:t>
      </w:r>
    </w:p>
    <w:p>
      <w:pPr>
        <w:spacing w:after="0" w:line="207" w:lineRule="exact"/>
        <w:rPr>
          <w:sz w:val="20"/>
          <w:szCs w:val="20"/>
          <w:color w:val="auto"/>
        </w:rPr>
      </w:pPr>
    </w:p>
    <w:p>
      <w:pPr>
        <w:ind w:firstLine="567"/>
        <w:spacing w:after="0" w:line="290" w:lineRule="auto"/>
        <w:rPr>
          <w:sz w:val="20"/>
          <w:szCs w:val="20"/>
          <w:color w:val="auto"/>
        </w:rPr>
      </w:pPr>
      <w:r>
        <w:rPr>
          <w:rFonts w:ascii="Arial" w:cs="Arial" w:eastAsia="Arial" w:hAnsi="Arial"/>
          <w:sz w:val="14"/>
          <w:szCs w:val="14"/>
          <w:color w:val="auto"/>
        </w:rPr>
        <w:t>Asterias has entered into a lease for an office and research facility located in Fremont, California. The lease is for a term of 96 months and the estimated term commencement date is October 1, 2014. Asterias will pay base monthly rent of $99,000 during the first 12 months commencing on the term commencement date, except that during the first 15 months of the lease term, Asterias will pay base rent on only 22,000 square feet rather than 44,000 square feet provided that Asterias is not in default in performing its obligations under the lease beyond any notice and cure periods. Base monthly rent will increase by approximately 3% annually. In addition to monthly base rent Asterias will pay all real estate taxes, insurance, a management fee in the amount of 3% of base rent, and the cost of maintenance, repair and replacement of the leased premises. During the first 15 months of the lease term, Asterias will pay only 50% of the real estate taxes assessed on the premises provided that Asterias is not in default in performing its obligations under the lease beyond any notice and cure periods. However, if any improvements or alterations to the premises that Asterias constructs or adds are assessed for real property tax purposes at a valuation higher than the valuation of the improvements on the Premises on the date signed the lease, Asterias will pay 100% of the taxes levied on the excess assessed valuation.</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7" w:name="page128"/>
    <w:bookmarkEnd w:id="12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ESI Lease</w:t>
      </w:r>
    </w:p>
    <w:p>
      <w:pPr>
        <w:spacing w:after="0" w:line="218" w:lineRule="exact"/>
        <w:rPr>
          <w:sz w:val="20"/>
          <w:szCs w:val="20"/>
          <w:color w:val="auto"/>
        </w:rPr>
      </w:pPr>
    </w:p>
    <w:p>
      <w:pPr>
        <w:ind w:right="100" w:firstLine="567"/>
        <w:spacing w:after="0" w:line="250" w:lineRule="auto"/>
        <w:rPr>
          <w:sz w:val="20"/>
          <w:szCs w:val="20"/>
          <w:color w:val="auto"/>
        </w:rPr>
      </w:pPr>
      <w:r>
        <w:rPr>
          <w:rFonts w:ascii="Arial" w:cs="Arial" w:eastAsia="Arial" w:hAnsi="Arial"/>
          <w:sz w:val="16"/>
          <w:szCs w:val="16"/>
          <w:color w:val="auto"/>
        </w:rPr>
        <w:t>ESI had leased approximately 125 square meters of laboratory space in Singapore under a lease that expired on February 28, 2014. Base monthly rent under the Singapore laboratory lease was S$11,000 (approximately US$8,700). In addition to base rent, ESI paid a pro rata share of real property taxes and certain costs related to the operation and maintenance of the building in which the leased premises were located. ESI will continue to pursue our ongoing plans to establish new laboratory facilities in Singapore for manufacturing and distribution of ESI BIO research products in Asia.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Cell Cure Lease</w:t>
      </w:r>
    </w:p>
    <w:p>
      <w:pPr>
        <w:spacing w:after="0" w:line="207" w:lineRule="exact"/>
        <w:rPr>
          <w:sz w:val="20"/>
          <w:szCs w:val="20"/>
          <w:color w:val="auto"/>
        </w:rPr>
      </w:pPr>
    </w:p>
    <w:p>
      <w:pPr>
        <w:ind w:right="40" w:firstLine="567"/>
        <w:spacing w:after="0" w:line="276" w:lineRule="auto"/>
        <w:rPr>
          <w:sz w:val="20"/>
          <w:szCs w:val="20"/>
          <w:color w:val="auto"/>
        </w:rPr>
      </w:pPr>
      <w:r>
        <w:rPr>
          <w:rFonts w:ascii="Arial" w:cs="Arial" w:eastAsia="Arial" w:hAnsi="Arial"/>
          <w:sz w:val="15"/>
          <w:szCs w:val="15"/>
          <w:color w:val="auto"/>
        </w:rPr>
        <w:t>Cell Cure Neurosciences leases approximately 290 square meters of office and laboratory space in Hadassah Ein Kerem, in Jerusalem, Israel under a lease that expires on June 1, 2014. Base monthly rent for that facility is approximately ILS 33,000 (approximately US$9,500). In addition to base rent, Cell Cure Neurosciences pays a pro rata share of real property taxes and certain costs related to the operation and maintenance of the building in which the leased premises are located. Cell Cure Neurosciences will be liable for ILS 820,000 (approximately US$236,000) in improvement costs if the company renews the lease agreement for five additional years.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LifeMap Lease</w:t>
      </w:r>
    </w:p>
    <w:p>
      <w:pPr>
        <w:spacing w:after="0" w:line="218" w:lineRule="exact"/>
        <w:rPr>
          <w:sz w:val="20"/>
          <w:szCs w:val="20"/>
          <w:color w:val="auto"/>
        </w:rPr>
      </w:pPr>
    </w:p>
    <w:p>
      <w:pPr>
        <w:ind w:right="80" w:firstLine="567"/>
        <w:spacing w:after="0" w:line="257" w:lineRule="auto"/>
        <w:rPr>
          <w:sz w:val="20"/>
          <w:szCs w:val="20"/>
          <w:color w:val="auto"/>
        </w:rPr>
      </w:pPr>
      <w:r>
        <w:rPr>
          <w:rFonts w:ascii="Arial" w:cs="Arial" w:eastAsia="Arial" w:hAnsi="Arial"/>
          <w:sz w:val="16"/>
          <w:szCs w:val="16"/>
          <w:color w:val="auto"/>
        </w:rPr>
        <w:t>LifeMap Sciences office space in Tel Aviv, Israel under a lease expiring on May 31, 2015. Base monthly rent under the lease from July 2013 is ILS 25,889 (approximately US$7,400) per month. In addition to base rent, LifeMap Sciences pays a pro rata share of real property taxes and certain costs related to the operation and maintenance of the building in which the leased premises are located. LifeMap Sciences also leases several parking spots.</w:t>
      </w:r>
    </w:p>
    <w:p>
      <w:pPr>
        <w:spacing w:after="0" w:line="189" w:lineRule="exact"/>
        <w:rPr>
          <w:sz w:val="20"/>
          <w:szCs w:val="20"/>
          <w:color w:val="auto"/>
        </w:rPr>
      </w:pPr>
    </w:p>
    <w:p>
      <w:pPr>
        <w:ind w:right="60" w:firstLine="567"/>
        <w:spacing w:after="0" w:line="257" w:lineRule="auto"/>
        <w:rPr>
          <w:sz w:val="20"/>
          <w:szCs w:val="20"/>
          <w:color w:val="auto"/>
        </w:rPr>
      </w:pPr>
      <w:r>
        <w:rPr>
          <w:rFonts w:ascii="Arial" w:cs="Arial" w:eastAsia="Arial" w:hAnsi="Arial"/>
          <w:sz w:val="16"/>
          <w:szCs w:val="16"/>
          <w:color w:val="auto"/>
        </w:rPr>
        <w:t>LifeMap Sciences leases approximately office space in Hong Kong under a lease that commenced on December 1, 2013 and expires on November 30, 2015. Base monthly rent under the lease is HK$7,500 (approximately US $970) per month. In addition to base rent, LifeMap pays certain costs related to the operation of the building in which the leased premises are located.</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LifeMap also leases office space in Marshfield, Massachusetts under a lease that expires on September 30, 2015. Base monthly rent under the lease is $1,082 per month.</w:t>
      </w:r>
    </w:p>
    <w:p>
      <w:pPr>
        <w:spacing w:after="0" w:line="241" w:lineRule="exact"/>
        <w:rPr>
          <w:sz w:val="20"/>
          <w:szCs w:val="20"/>
          <w:color w:val="auto"/>
        </w:rPr>
      </w:pPr>
    </w:p>
    <w:p>
      <w:pPr>
        <w:ind w:right="240" w:firstLine="567"/>
        <w:spacing w:after="0" w:line="267" w:lineRule="auto"/>
        <w:rPr>
          <w:sz w:val="20"/>
          <w:szCs w:val="20"/>
          <w:color w:val="auto"/>
        </w:rPr>
      </w:pPr>
      <w:r>
        <w:rPr>
          <w:rFonts w:ascii="Arial" w:cs="Arial" w:eastAsia="Arial" w:hAnsi="Arial"/>
          <w:sz w:val="16"/>
          <w:szCs w:val="16"/>
          <w:color w:val="auto"/>
        </w:rPr>
        <w:t>Rent expenses totaled $1,599,725, $1,178,840, and $1,058,170 for the years ended December 31, 2013, 2012, and 2011, respectively. Remaining minimum annual lease payments under the various operating leases for the year ending after December 31, 2013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6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89"/>
              </w:rPr>
              <w:t>Year Ending</w:t>
            </w:r>
          </w:p>
        </w:tc>
        <w:tc>
          <w:tcPr>
            <w:tcW w:w="10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88"/>
              </w:rPr>
              <w:t>Minimum lease</w:t>
            </w:r>
          </w:p>
        </w:tc>
        <w:tc>
          <w:tcPr>
            <w:tcW w:w="12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33"/>
        </w:trPr>
        <w:tc>
          <w:tcPr>
            <w:tcW w:w="326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December 31,</w:t>
            </w:r>
          </w:p>
        </w:tc>
        <w:tc>
          <w:tcPr>
            <w:tcW w:w="10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payments</w:t>
            </w: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189"/>
        </w:trPr>
        <w:tc>
          <w:tcPr>
            <w:tcW w:w="3260" w:type="dxa"/>
            <w:vAlign w:val="bottom"/>
          </w:tcPr>
          <w:p>
            <w:pPr>
              <w:spacing w:after="0"/>
              <w:rPr>
                <w:sz w:val="16"/>
                <w:szCs w:val="16"/>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2014</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w w:val="89"/>
              </w:rPr>
              <w:t>1,188,316</w:t>
            </w:r>
          </w:p>
        </w:tc>
        <w:tc>
          <w:tcPr>
            <w:tcW w:w="120" w:type="dxa"/>
            <w:vAlign w:val="bottom"/>
            <w:shd w:val="clear" w:color="auto" w:fill="CCEEFF"/>
          </w:tcPr>
          <w:p>
            <w:pPr>
              <w:spacing w:after="0"/>
              <w:rPr>
                <w:sz w:val="16"/>
                <w:szCs w:val="16"/>
                <w:color w:val="auto"/>
              </w:rPr>
            </w:pPr>
          </w:p>
        </w:tc>
        <w:tc>
          <w:tcPr>
            <w:tcW w:w="3260" w:type="dxa"/>
            <w:vAlign w:val="bottom"/>
          </w:tcPr>
          <w:p>
            <w:pPr>
              <w:spacing w:after="0"/>
              <w:rPr>
                <w:sz w:val="16"/>
                <w:szCs w:val="16"/>
                <w:color w:val="auto"/>
              </w:rPr>
            </w:pPr>
          </w:p>
        </w:tc>
      </w:tr>
      <w:tr>
        <w:trPr>
          <w:trHeight w:val="189"/>
        </w:trPr>
        <w:tc>
          <w:tcPr>
            <w:tcW w:w="326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89"/>
              </w:rPr>
              <w:t>2015</w:t>
            </w:r>
          </w:p>
        </w:tc>
        <w:tc>
          <w:tcPr>
            <w:tcW w:w="2520" w:type="dxa"/>
            <w:vAlign w:val="bottom"/>
            <w:gridSpan w:val="2"/>
          </w:tcPr>
          <w:p>
            <w:pPr>
              <w:jc w:val="center"/>
              <w:ind w:left="124"/>
              <w:spacing w:after="0"/>
              <w:rPr>
                <w:sz w:val="20"/>
                <w:szCs w:val="20"/>
                <w:color w:val="auto"/>
              </w:rPr>
            </w:pPr>
            <w:r>
              <w:rPr>
                <w:rFonts w:ascii="Arial" w:cs="Arial" w:eastAsia="Arial" w:hAnsi="Arial"/>
                <w:sz w:val="16"/>
                <w:szCs w:val="16"/>
                <w:color w:val="auto"/>
                <w:w w:val="89"/>
              </w:rPr>
              <w:t>1,973,845</w:t>
            </w:r>
          </w:p>
        </w:tc>
        <w:tc>
          <w:tcPr>
            <w:tcW w:w="12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189"/>
        </w:trPr>
        <w:tc>
          <w:tcPr>
            <w:tcW w:w="3260" w:type="dxa"/>
            <w:vAlign w:val="bottom"/>
          </w:tcPr>
          <w:p>
            <w:pPr>
              <w:spacing w:after="0"/>
              <w:rPr>
                <w:sz w:val="16"/>
                <w:szCs w:val="16"/>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2016</w:t>
            </w:r>
          </w:p>
        </w:tc>
        <w:tc>
          <w:tcPr>
            <w:tcW w:w="2520" w:type="dxa"/>
            <w:vAlign w:val="bottom"/>
            <w:gridSpan w:val="2"/>
            <w:shd w:val="clear" w:color="auto" w:fill="CCEEFF"/>
          </w:tcPr>
          <w:p>
            <w:pPr>
              <w:jc w:val="center"/>
              <w:ind w:left="124"/>
              <w:spacing w:after="0"/>
              <w:rPr>
                <w:sz w:val="20"/>
                <w:szCs w:val="20"/>
                <w:color w:val="auto"/>
              </w:rPr>
            </w:pPr>
            <w:r>
              <w:rPr>
                <w:rFonts w:ascii="Arial" w:cs="Arial" w:eastAsia="Arial" w:hAnsi="Arial"/>
                <w:sz w:val="16"/>
                <w:szCs w:val="16"/>
                <w:color w:val="auto"/>
                <w:w w:val="89"/>
              </w:rPr>
              <w:t>1,266,825</w:t>
            </w:r>
          </w:p>
        </w:tc>
        <w:tc>
          <w:tcPr>
            <w:tcW w:w="120" w:type="dxa"/>
            <w:vAlign w:val="bottom"/>
            <w:shd w:val="clear" w:color="auto" w:fill="CCEEFF"/>
          </w:tcPr>
          <w:p>
            <w:pPr>
              <w:spacing w:after="0"/>
              <w:rPr>
                <w:sz w:val="16"/>
                <w:szCs w:val="16"/>
                <w:color w:val="auto"/>
              </w:rPr>
            </w:pPr>
          </w:p>
        </w:tc>
        <w:tc>
          <w:tcPr>
            <w:tcW w:w="3260" w:type="dxa"/>
            <w:vAlign w:val="bottom"/>
          </w:tcPr>
          <w:p>
            <w:pPr>
              <w:spacing w:after="0"/>
              <w:rPr>
                <w:sz w:val="16"/>
                <w:szCs w:val="16"/>
                <w:color w:val="auto"/>
              </w:rPr>
            </w:pPr>
          </w:p>
        </w:tc>
      </w:tr>
      <w:tr>
        <w:trPr>
          <w:trHeight w:val="189"/>
        </w:trPr>
        <w:tc>
          <w:tcPr>
            <w:tcW w:w="326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2520" w:type="dxa"/>
            <w:vAlign w:val="bottom"/>
            <w:gridSpan w:val="2"/>
          </w:tcPr>
          <w:p>
            <w:pPr>
              <w:jc w:val="center"/>
              <w:ind w:left="124"/>
              <w:spacing w:after="0"/>
              <w:rPr>
                <w:sz w:val="20"/>
                <w:szCs w:val="20"/>
                <w:color w:val="auto"/>
              </w:rPr>
            </w:pPr>
            <w:r>
              <w:rPr>
                <w:rFonts w:ascii="Arial" w:cs="Arial" w:eastAsia="Arial" w:hAnsi="Arial"/>
                <w:sz w:val="16"/>
                <w:szCs w:val="16"/>
                <w:color w:val="auto"/>
                <w:w w:val="89"/>
              </w:rPr>
              <w:t>1,271,160</w:t>
            </w:r>
          </w:p>
        </w:tc>
        <w:tc>
          <w:tcPr>
            <w:tcW w:w="12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189"/>
        </w:trPr>
        <w:tc>
          <w:tcPr>
            <w:tcW w:w="3260" w:type="dxa"/>
            <w:vAlign w:val="bottom"/>
          </w:tcPr>
          <w:p>
            <w:pPr>
              <w:spacing w:after="0"/>
              <w:rPr>
                <w:sz w:val="16"/>
                <w:szCs w:val="16"/>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2018</w:t>
            </w:r>
          </w:p>
        </w:tc>
        <w:tc>
          <w:tcPr>
            <w:tcW w:w="2520" w:type="dxa"/>
            <w:vAlign w:val="bottom"/>
            <w:gridSpan w:val="2"/>
            <w:shd w:val="clear" w:color="auto" w:fill="CCEEFF"/>
          </w:tcPr>
          <w:p>
            <w:pPr>
              <w:jc w:val="center"/>
              <w:ind w:left="124"/>
              <w:spacing w:after="0"/>
              <w:rPr>
                <w:sz w:val="20"/>
                <w:szCs w:val="20"/>
                <w:color w:val="auto"/>
              </w:rPr>
            </w:pPr>
            <w:r>
              <w:rPr>
                <w:rFonts w:ascii="Arial" w:cs="Arial" w:eastAsia="Arial" w:hAnsi="Arial"/>
                <w:sz w:val="16"/>
                <w:szCs w:val="16"/>
                <w:color w:val="auto"/>
                <w:w w:val="89"/>
              </w:rPr>
              <w:t>1,308,120</w:t>
            </w:r>
          </w:p>
        </w:tc>
        <w:tc>
          <w:tcPr>
            <w:tcW w:w="120" w:type="dxa"/>
            <w:vAlign w:val="bottom"/>
            <w:shd w:val="clear" w:color="auto" w:fill="CCEEFF"/>
          </w:tcPr>
          <w:p>
            <w:pPr>
              <w:spacing w:after="0"/>
              <w:rPr>
                <w:sz w:val="16"/>
                <w:szCs w:val="16"/>
                <w:color w:val="auto"/>
              </w:rPr>
            </w:pPr>
          </w:p>
        </w:tc>
        <w:tc>
          <w:tcPr>
            <w:tcW w:w="3260" w:type="dxa"/>
            <w:vAlign w:val="bottom"/>
          </w:tcPr>
          <w:p>
            <w:pPr>
              <w:spacing w:after="0"/>
              <w:rPr>
                <w:sz w:val="16"/>
                <w:szCs w:val="16"/>
                <w:color w:val="auto"/>
              </w:rPr>
            </w:pPr>
          </w:p>
        </w:tc>
      </w:tr>
      <w:tr>
        <w:trPr>
          <w:trHeight w:val="193"/>
        </w:trPr>
        <w:tc>
          <w:tcPr>
            <w:tcW w:w="326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89"/>
              </w:rPr>
              <w:t>Thereafter</w:t>
            </w:r>
          </w:p>
        </w:tc>
        <w:tc>
          <w:tcPr>
            <w:tcW w:w="2520" w:type="dxa"/>
            <w:vAlign w:val="bottom"/>
            <w:gridSpan w:val="2"/>
          </w:tcPr>
          <w:p>
            <w:pPr>
              <w:jc w:val="center"/>
              <w:ind w:left="124"/>
              <w:spacing w:after="0"/>
              <w:rPr>
                <w:sz w:val="20"/>
                <w:szCs w:val="20"/>
                <w:color w:val="auto"/>
              </w:rPr>
            </w:pPr>
            <w:r>
              <w:rPr>
                <w:rFonts w:ascii="Arial" w:cs="Arial" w:eastAsia="Arial" w:hAnsi="Arial"/>
                <w:sz w:val="16"/>
                <w:szCs w:val="16"/>
                <w:color w:val="auto"/>
                <w:w w:val="89"/>
              </w:rPr>
              <w:t>5,262,840</w:t>
            </w:r>
          </w:p>
        </w:tc>
        <w:tc>
          <w:tcPr>
            <w:tcW w:w="12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16"/>
        </w:trPr>
        <w:tc>
          <w:tcPr>
            <w:tcW w:w="326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top w:val="single" w:sz="8" w:color="auto"/>
              <w:bottom w:val="single" w:sz="8" w:color="CCEEFF"/>
            </w:tcBorders>
            <w:shd w:val="clear" w:color="auto" w:fill="CCEEFF"/>
          </w:tcPr>
          <w:p>
            <w:pPr>
              <w:jc w:val="center"/>
              <w:ind w:left="21"/>
              <w:spacing w:after="0"/>
              <w:rPr>
                <w:sz w:val="20"/>
                <w:szCs w:val="20"/>
                <w:color w:val="auto"/>
              </w:rPr>
            </w:pPr>
            <w:r>
              <w:rPr>
                <w:rFonts w:ascii="Arial" w:cs="Arial" w:eastAsia="Arial" w:hAnsi="Arial"/>
                <w:sz w:val="16"/>
                <w:szCs w:val="16"/>
                <w:color w:val="auto"/>
                <w:w w:val="89"/>
              </w:rPr>
              <w:t>12,271,106</w:t>
            </w:r>
          </w:p>
        </w:tc>
        <w:tc>
          <w:tcPr>
            <w:tcW w:w="120" w:type="dxa"/>
            <w:vAlign w:val="bottom"/>
            <w:tcBorders>
              <w:bottom w:val="single" w:sz="8" w:color="CCEEFF"/>
            </w:tcBorders>
            <w:shd w:val="clear" w:color="auto" w:fill="CCEEFF"/>
          </w:tcPr>
          <w:p>
            <w:pPr>
              <w:spacing w:after="0"/>
              <w:rPr>
                <w:sz w:val="18"/>
                <w:szCs w:val="18"/>
                <w:color w:val="auto"/>
              </w:rPr>
            </w:pPr>
          </w:p>
        </w:tc>
        <w:tc>
          <w:tcPr>
            <w:tcW w:w="3260" w:type="dxa"/>
            <w:vAlign w:val="bottom"/>
          </w:tcPr>
          <w:p>
            <w:pPr>
              <w:spacing w:after="0"/>
              <w:rPr>
                <w:sz w:val="18"/>
                <w:szCs w:val="18"/>
                <w:color w:val="auto"/>
              </w:rPr>
            </w:pPr>
          </w:p>
        </w:tc>
      </w:tr>
      <w:tr>
        <w:trPr>
          <w:trHeight w:val="523"/>
        </w:trPr>
        <w:tc>
          <w:tcPr>
            <w:tcW w:w="3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520" w:type="dxa"/>
            <w:vAlign w:val="bottom"/>
            <w:gridSpan w:val="2"/>
          </w:tcPr>
          <w:p>
            <w:pPr>
              <w:jc w:val="right"/>
              <w:ind w:right="2181"/>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37"/>
        </w:trPr>
        <w:tc>
          <w:tcPr>
            <w:tcW w:w="3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4" w:right="21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7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333"/>
        </w:trPr>
        <w:tc>
          <w:tcPr>
            <w:tcW w:w="8060" w:type="dxa"/>
            <w:vAlign w:val="bottom"/>
            <w:gridSpan w:val="2"/>
          </w:tcPr>
          <w:p>
            <w:pPr>
              <w:spacing w:after="0"/>
              <w:rPr>
                <w:sz w:val="20"/>
                <w:szCs w:val="20"/>
                <w:color w:val="auto"/>
              </w:rPr>
            </w:pPr>
            <w:r>
              <w:rPr>
                <w:rFonts w:ascii="Arial" w:cs="Arial" w:eastAsia="Arial" w:hAnsi="Arial"/>
                <w:sz w:val="16"/>
                <w:szCs w:val="16"/>
                <w:b w:val="1"/>
                <w:bCs w:val="1"/>
                <w:color w:val="auto"/>
              </w:rPr>
              <w:t>17. Income Taxes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02"/>
        </w:trPr>
        <w:tc>
          <w:tcPr>
            <w:tcW w:w="8060" w:type="dxa"/>
            <w:vAlign w:val="bottom"/>
            <w:gridSpan w:val="2"/>
          </w:tcPr>
          <w:p>
            <w:pPr>
              <w:ind w:left="560"/>
              <w:spacing w:after="0"/>
              <w:rPr>
                <w:sz w:val="20"/>
                <w:szCs w:val="20"/>
                <w:color w:val="auto"/>
              </w:rPr>
            </w:pPr>
            <w:r>
              <w:rPr>
                <w:rFonts w:ascii="Arial" w:cs="Arial" w:eastAsia="Arial" w:hAnsi="Arial"/>
                <w:sz w:val="16"/>
                <w:szCs w:val="16"/>
                <w:color w:val="auto"/>
                <w:w w:val="99"/>
              </w:rPr>
              <w:t>The primary components of the net deferred tax liabilities at December 31, 2013 and 2012 were as follows: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07"/>
        </w:trPr>
        <w:tc>
          <w:tcPr>
            <w:tcW w:w="8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2012</w:t>
            </w:r>
          </w:p>
        </w:tc>
      </w:tr>
      <w:tr>
        <w:trPr>
          <w:trHeight w:val="188"/>
        </w:trPr>
        <w:tc>
          <w:tcPr>
            <w:tcW w:w="8060" w:type="dxa"/>
            <w:vAlign w:val="bottom"/>
            <w:gridSpan w:val="2"/>
          </w:tcPr>
          <w:p>
            <w:pPr>
              <w:spacing w:after="0"/>
              <w:rPr>
                <w:sz w:val="20"/>
                <w:szCs w:val="20"/>
                <w:color w:val="auto"/>
              </w:rPr>
            </w:pPr>
            <w:r>
              <w:rPr>
                <w:rFonts w:ascii="Arial" w:cs="Arial" w:eastAsia="Arial" w:hAnsi="Arial"/>
                <w:sz w:val="16"/>
                <w:szCs w:val="16"/>
                <w:color w:val="auto"/>
              </w:rPr>
              <w:t>Deferred tax assets/(liabilities):</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operating loss carryforwards</w:t>
            </w:r>
          </w:p>
        </w:tc>
        <w:tc>
          <w:tcPr>
            <w:tcW w:w="920" w:type="dxa"/>
            <w:vAlign w:val="bottom"/>
            <w:gridSpan w:val="2"/>
            <w:shd w:val="clear" w:color="auto" w:fill="CCEEFF"/>
          </w:tcPr>
          <w:p>
            <w:pPr>
              <w:jc w:val="right"/>
              <w:ind w:right="4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46,711,000</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36,111,000</w:t>
            </w:r>
          </w:p>
        </w:tc>
      </w:tr>
      <w:tr>
        <w:trPr>
          <w:trHeight w:val="189"/>
        </w:trPr>
        <w:tc>
          <w:tcPr>
            <w:tcW w:w="8060" w:type="dxa"/>
            <w:vAlign w:val="bottom"/>
            <w:gridSpan w:val="2"/>
          </w:tcPr>
          <w:p>
            <w:pPr>
              <w:spacing w:after="0"/>
              <w:rPr>
                <w:sz w:val="20"/>
                <w:szCs w:val="20"/>
                <w:color w:val="auto"/>
              </w:rPr>
            </w:pPr>
            <w:r>
              <w:rPr>
                <w:rFonts w:ascii="Arial" w:cs="Arial" w:eastAsia="Arial" w:hAnsi="Arial"/>
                <w:sz w:val="16"/>
                <w:szCs w:val="16"/>
                <w:color w:val="auto"/>
              </w:rPr>
              <w:t>Research &amp; development and other credits</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41"/>
              <w:spacing w:after="0"/>
              <w:rPr>
                <w:sz w:val="20"/>
                <w:szCs w:val="20"/>
                <w:color w:val="auto"/>
              </w:rPr>
            </w:pPr>
            <w:r>
              <w:rPr>
                <w:rFonts w:ascii="Arial" w:cs="Arial" w:eastAsia="Arial" w:hAnsi="Arial"/>
                <w:sz w:val="16"/>
                <w:szCs w:val="16"/>
                <w:color w:val="auto"/>
              </w:rPr>
              <w:t>2,329,000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1,856,000</w:t>
            </w:r>
          </w:p>
        </w:tc>
      </w:tr>
      <w:tr>
        <w:trPr>
          <w:trHeight w:val="189"/>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Patents and licenses</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99"/>
              </w:rPr>
              <w:t>(11,934,000)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(1,066,000)</w:t>
            </w:r>
          </w:p>
        </w:tc>
      </w:tr>
      <w:tr>
        <w:trPr>
          <w:trHeight w:val="193"/>
        </w:trPr>
        <w:tc>
          <w:tcPr>
            <w:tcW w:w="8060" w:type="dxa"/>
            <w:vAlign w:val="bottom"/>
            <w:gridSpan w:val="2"/>
          </w:tcPr>
          <w:p>
            <w:pPr>
              <w:spacing w:after="0"/>
              <w:rPr>
                <w:sz w:val="20"/>
                <w:szCs w:val="20"/>
                <w:color w:val="auto"/>
              </w:rPr>
            </w:pPr>
            <w:r>
              <w:rPr>
                <w:rFonts w:ascii="Arial" w:cs="Arial" w:eastAsia="Arial" w:hAnsi="Arial"/>
                <w:sz w:val="16"/>
                <w:szCs w:val="16"/>
                <w:color w:val="auto"/>
              </w:rPr>
              <w:t>Other, net</w:t>
            </w:r>
          </w:p>
        </w:tc>
        <w:tc>
          <w:tcPr>
            <w:tcW w:w="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737,000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r>
      <w:tr>
        <w:trPr>
          <w:trHeight w:val="189"/>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37,843,000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36,901,000</w:t>
            </w:r>
          </w:p>
        </w:tc>
      </w:tr>
      <w:tr>
        <w:trPr>
          <w:trHeight w:val="216"/>
        </w:trPr>
        <w:tc>
          <w:tcPr>
            <w:tcW w:w="8060" w:type="dxa"/>
            <w:vAlign w:val="bottom"/>
            <w:gridSpan w:val="2"/>
          </w:tcPr>
          <w:p>
            <w:pPr>
              <w:spacing w:after="0"/>
              <w:rPr>
                <w:sz w:val="20"/>
                <w:szCs w:val="20"/>
                <w:color w:val="auto"/>
              </w:rPr>
            </w:pPr>
            <w:r>
              <w:rPr>
                <w:rFonts w:ascii="Arial" w:cs="Arial" w:eastAsia="Arial" w:hAnsi="Arial"/>
                <w:sz w:val="16"/>
                <w:szCs w:val="16"/>
                <w:color w:val="auto"/>
              </w:rPr>
              <w:t>Valuation allowance</w:t>
            </w:r>
          </w:p>
        </w:tc>
        <w:tc>
          <w:tcPr>
            <w:tcW w:w="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99"/>
              </w:rPr>
              <w:t>(46,121,000)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96"/>
              </w:rPr>
              <w:t>(36,901,000)</w:t>
            </w:r>
          </w:p>
        </w:tc>
      </w:tr>
      <w:tr>
        <w:trPr>
          <w:trHeight w:val="276"/>
        </w:trPr>
        <w:tc>
          <w:tcPr>
            <w:tcW w:w="8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deferred tax liabilities</w:t>
            </w:r>
          </w:p>
        </w:tc>
        <w:tc>
          <w:tcPr>
            <w:tcW w:w="7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(8,278,000)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Income taxes differed from the amounts computed by applying the U.S. federal income tax of 34% to pretax losses from operations as a result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color w:val="auto"/>
                <w:w w:val="93"/>
              </w:rPr>
              <w:t>Year Ended December 31,</w:t>
            </w:r>
          </w:p>
        </w:tc>
        <w:tc>
          <w:tcPr>
            <w:tcW w:w="920" w:type="dxa"/>
            <w:vAlign w:val="bottom"/>
            <w:tcBorders>
              <w:bottom w:val="single" w:sz="8" w:color="auto"/>
            </w:tcBorders>
          </w:tcPr>
          <w:p>
            <w:pPr>
              <w:spacing w:after="0"/>
              <w:rPr>
                <w:sz w:val="17"/>
                <w:szCs w:val="17"/>
                <w:color w:val="auto"/>
              </w:rPr>
            </w:pPr>
          </w:p>
        </w:tc>
      </w:tr>
      <w:tr>
        <w:trPr>
          <w:trHeight w:val="193"/>
        </w:trPr>
        <w:tc>
          <w:tcPr>
            <w:tcW w:w="7660" w:type="dxa"/>
            <w:vAlign w:val="bottom"/>
          </w:tcPr>
          <w:p>
            <w:pPr>
              <w:spacing w:after="0"/>
              <w:rPr>
                <w:sz w:val="16"/>
                <w:szCs w:val="16"/>
                <w:color w:val="auto"/>
              </w:rPr>
            </w:pPr>
          </w:p>
        </w:tc>
        <w:tc>
          <w:tcPr>
            <w:tcW w:w="920" w:type="dxa"/>
            <w:vAlign w:val="bottom"/>
            <w:tcBorders>
              <w:bottom w:val="single" w:sz="8" w:color="auto"/>
            </w:tcBorders>
          </w:tcPr>
          <w:p>
            <w:pPr>
              <w:jc w:val="center"/>
              <w:ind w:left="201"/>
              <w:spacing w:after="0"/>
              <w:rPr>
                <w:sz w:val="20"/>
                <w:szCs w:val="20"/>
                <w:color w:val="auto"/>
              </w:rPr>
            </w:pPr>
            <w:r>
              <w:rPr>
                <w:rFonts w:ascii="Arial" w:cs="Arial" w:eastAsia="Arial" w:hAnsi="Arial"/>
                <w:sz w:val="16"/>
                <w:szCs w:val="16"/>
                <w:b w:val="1"/>
                <w:bCs w:val="1"/>
                <w:color w:val="auto"/>
                <w:w w:val="89"/>
              </w:rPr>
              <w:t>2013</w:t>
            </w: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81"/>
              <w:spacing w:after="0"/>
              <w:rPr>
                <w:sz w:val="20"/>
                <w:szCs w:val="20"/>
                <w:color w:val="auto"/>
              </w:rPr>
            </w:pPr>
            <w:r>
              <w:rPr>
                <w:rFonts w:ascii="Arial" w:cs="Arial" w:eastAsia="Arial" w:hAnsi="Arial"/>
                <w:sz w:val="16"/>
                <w:szCs w:val="16"/>
                <w:b w:val="1"/>
                <w:bCs w:val="1"/>
                <w:color w:val="auto"/>
                <w:w w:val="84"/>
              </w:rPr>
              <w:t>2011</w:t>
            </w:r>
          </w:p>
        </w:tc>
      </w:tr>
      <w:tr>
        <w:trPr>
          <w:trHeight w:val="189"/>
        </w:trPr>
        <w:tc>
          <w:tcPr>
            <w:tcW w:w="7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Computed tax benefit at federal statutory rate</w:t>
            </w:r>
          </w:p>
        </w:tc>
        <w:tc>
          <w:tcPr>
            <w:tcW w:w="920" w:type="dxa"/>
            <w:vAlign w:val="bottom"/>
            <w:shd w:val="clear" w:color="auto" w:fill="CCEEFF"/>
          </w:tcPr>
          <w:p>
            <w:pPr>
              <w:jc w:val="center"/>
              <w:ind w:left="201"/>
              <w:spacing w:after="0"/>
              <w:rPr>
                <w:sz w:val="20"/>
                <w:szCs w:val="20"/>
                <w:color w:val="auto"/>
              </w:rPr>
            </w:pPr>
            <w:r>
              <w:rPr>
                <w:rFonts w:ascii="Arial" w:cs="Arial" w:eastAsia="Arial" w:hAnsi="Arial"/>
                <w:sz w:val="16"/>
                <w:szCs w:val="16"/>
                <w:color w:val="auto"/>
                <w:w w:val="93"/>
              </w:rPr>
              <w:t>(34%)</w:t>
            </w:r>
          </w:p>
        </w:tc>
        <w:tc>
          <w:tcPr>
            <w:tcW w:w="1560" w:type="dxa"/>
            <w:vAlign w:val="bottom"/>
            <w:gridSpan w:val="3"/>
            <w:shd w:val="clear" w:color="auto" w:fill="CCEEFF"/>
          </w:tcPr>
          <w:p>
            <w:pPr>
              <w:jc w:val="center"/>
              <w:ind w:left="321"/>
              <w:spacing w:after="0"/>
              <w:rPr>
                <w:sz w:val="20"/>
                <w:szCs w:val="20"/>
                <w:color w:val="auto"/>
              </w:rPr>
            </w:pPr>
            <w:r>
              <w:rPr>
                <w:rFonts w:ascii="Arial" w:cs="Arial" w:eastAsia="Arial" w:hAnsi="Arial"/>
                <w:sz w:val="16"/>
                <w:szCs w:val="16"/>
                <w:color w:val="auto"/>
                <w:w w:val="93"/>
              </w:rPr>
              <w:t>(34%)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right="181"/>
              <w:spacing w:after="0"/>
              <w:rPr>
                <w:sz w:val="20"/>
                <w:szCs w:val="20"/>
                <w:color w:val="auto"/>
              </w:rPr>
            </w:pPr>
            <w:r>
              <w:rPr>
                <w:rFonts w:ascii="Arial" w:cs="Arial" w:eastAsia="Arial" w:hAnsi="Arial"/>
                <w:sz w:val="16"/>
                <w:szCs w:val="16"/>
                <w:color w:val="auto"/>
                <w:w w:val="88"/>
              </w:rPr>
              <w:t>(34%)</w:t>
            </w:r>
          </w:p>
        </w:tc>
      </w:tr>
      <w:tr>
        <w:trPr>
          <w:trHeight w:val="189"/>
        </w:trPr>
        <w:tc>
          <w:tcPr>
            <w:tcW w:w="7660" w:type="dxa"/>
            <w:vAlign w:val="bottom"/>
          </w:tcPr>
          <w:p>
            <w:pPr>
              <w:spacing w:after="0"/>
              <w:rPr>
                <w:sz w:val="20"/>
                <w:szCs w:val="20"/>
                <w:color w:val="auto"/>
              </w:rPr>
            </w:pPr>
            <w:r>
              <w:rPr>
                <w:rFonts w:ascii="Arial" w:cs="Arial" w:eastAsia="Arial" w:hAnsi="Arial"/>
                <w:sz w:val="16"/>
                <w:szCs w:val="16"/>
                <w:color w:val="auto"/>
              </w:rPr>
              <w:t>Permanent differences</w:t>
            </w:r>
          </w:p>
        </w:tc>
        <w:tc>
          <w:tcPr>
            <w:tcW w:w="920" w:type="dxa"/>
            <w:vAlign w:val="bottom"/>
          </w:tcPr>
          <w:p>
            <w:pPr>
              <w:jc w:val="center"/>
              <w:ind w:left="201"/>
              <w:spacing w:after="0"/>
              <w:rPr>
                <w:sz w:val="20"/>
                <w:szCs w:val="20"/>
                <w:color w:val="auto"/>
              </w:rPr>
            </w:pPr>
            <w:r>
              <w:rPr>
                <w:rFonts w:ascii="Arial" w:cs="Arial" w:eastAsia="Arial" w:hAnsi="Arial"/>
                <w:sz w:val="16"/>
                <w:szCs w:val="16"/>
                <w:color w:val="auto"/>
                <w:w w:val="87"/>
              </w:rPr>
              <w:t>15%</w:t>
            </w:r>
          </w:p>
        </w:tc>
        <w:tc>
          <w:tcPr>
            <w:tcW w:w="1560" w:type="dxa"/>
            <w:vAlign w:val="bottom"/>
            <w:gridSpan w:val="3"/>
          </w:tcPr>
          <w:p>
            <w:pPr>
              <w:jc w:val="center"/>
              <w:ind w:left="301"/>
              <w:spacing w:after="0"/>
              <w:rPr>
                <w:sz w:val="20"/>
                <w:szCs w:val="20"/>
                <w:color w:val="auto"/>
              </w:rPr>
            </w:pPr>
            <w:r>
              <w:rPr>
                <w:rFonts w:ascii="Arial" w:cs="Arial" w:eastAsia="Arial" w:hAnsi="Arial"/>
                <w:sz w:val="16"/>
                <w:szCs w:val="16"/>
                <w:color w:val="auto"/>
                <w:w w:val="94"/>
              </w:rPr>
              <w:t>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right="181"/>
              <w:spacing w:after="0"/>
              <w:rPr>
                <w:sz w:val="20"/>
                <w:szCs w:val="20"/>
                <w:color w:val="auto"/>
              </w:rPr>
            </w:pPr>
            <w:r>
              <w:rPr>
                <w:rFonts w:ascii="Arial" w:cs="Arial" w:eastAsia="Arial" w:hAnsi="Arial"/>
                <w:sz w:val="16"/>
                <w:szCs w:val="16"/>
                <w:color w:val="auto"/>
                <w:w w:val="88"/>
              </w:rPr>
              <w:t>(1%)</w:t>
            </w:r>
          </w:p>
        </w:tc>
      </w:tr>
      <w:tr>
        <w:trPr>
          <w:trHeight w:val="189"/>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Losses for which no benefit has been recognized</w:t>
            </w:r>
          </w:p>
        </w:tc>
        <w:tc>
          <w:tcPr>
            <w:tcW w:w="920" w:type="dxa"/>
            <w:vAlign w:val="bottom"/>
            <w:shd w:val="clear" w:color="auto" w:fill="CCEEFF"/>
          </w:tcPr>
          <w:p>
            <w:pPr>
              <w:jc w:val="center"/>
              <w:ind w:left="201"/>
              <w:spacing w:after="0"/>
              <w:rPr>
                <w:sz w:val="20"/>
                <w:szCs w:val="20"/>
                <w:color w:val="auto"/>
              </w:rPr>
            </w:pPr>
            <w:r>
              <w:rPr>
                <w:rFonts w:ascii="Arial" w:cs="Arial" w:eastAsia="Arial" w:hAnsi="Arial"/>
                <w:sz w:val="16"/>
                <w:szCs w:val="16"/>
                <w:color w:val="auto"/>
                <w:w w:val="87"/>
              </w:rPr>
              <w:t>18%</w:t>
            </w:r>
          </w:p>
        </w:tc>
        <w:tc>
          <w:tcPr>
            <w:tcW w:w="1560" w:type="dxa"/>
            <w:vAlign w:val="bottom"/>
            <w:gridSpan w:val="3"/>
            <w:shd w:val="clear" w:color="auto" w:fill="CCEEFF"/>
          </w:tcPr>
          <w:p>
            <w:pPr>
              <w:jc w:val="center"/>
              <w:ind w:left="321"/>
              <w:spacing w:after="0"/>
              <w:rPr>
                <w:sz w:val="20"/>
                <w:szCs w:val="20"/>
                <w:color w:val="auto"/>
              </w:rPr>
            </w:pPr>
            <w:r>
              <w:rPr>
                <w:rFonts w:ascii="Arial" w:cs="Arial" w:eastAsia="Arial" w:hAnsi="Arial"/>
                <w:sz w:val="16"/>
                <w:szCs w:val="16"/>
                <w:color w:val="auto"/>
                <w:w w:val="87"/>
              </w:rPr>
              <w:t>28%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right="181"/>
              <w:spacing w:after="0"/>
              <w:rPr>
                <w:sz w:val="20"/>
                <w:szCs w:val="20"/>
                <w:color w:val="auto"/>
              </w:rPr>
            </w:pPr>
            <w:r>
              <w:rPr>
                <w:rFonts w:ascii="Arial" w:cs="Arial" w:eastAsia="Arial" w:hAnsi="Arial"/>
                <w:sz w:val="16"/>
                <w:szCs w:val="16"/>
                <w:color w:val="auto"/>
                <w:w w:val="93"/>
              </w:rPr>
              <w:t>41%</w:t>
            </w:r>
          </w:p>
        </w:tc>
      </w:tr>
      <w:tr>
        <w:trPr>
          <w:trHeight w:val="189"/>
        </w:trPr>
        <w:tc>
          <w:tcPr>
            <w:tcW w:w="7660" w:type="dxa"/>
            <w:vAlign w:val="bottom"/>
          </w:tcPr>
          <w:p>
            <w:pPr>
              <w:spacing w:after="0"/>
              <w:rPr>
                <w:sz w:val="20"/>
                <w:szCs w:val="20"/>
                <w:color w:val="auto"/>
              </w:rPr>
            </w:pPr>
            <w:r>
              <w:rPr>
                <w:rFonts w:ascii="Arial" w:cs="Arial" w:eastAsia="Arial" w:hAnsi="Arial"/>
                <w:sz w:val="16"/>
                <w:szCs w:val="16"/>
                <w:color w:val="auto"/>
              </w:rPr>
              <w:t>State tax benefit, net of effect on federal income taxes</w:t>
            </w:r>
          </w:p>
        </w:tc>
        <w:tc>
          <w:tcPr>
            <w:tcW w:w="920" w:type="dxa"/>
            <w:vAlign w:val="bottom"/>
          </w:tcPr>
          <w:p>
            <w:pPr>
              <w:jc w:val="center"/>
              <w:ind w:left="201"/>
              <w:spacing w:after="0"/>
              <w:rPr>
                <w:sz w:val="20"/>
                <w:szCs w:val="20"/>
                <w:color w:val="auto"/>
              </w:rPr>
            </w:pPr>
            <w:r>
              <w:rPr>
                <w:rFonts w:ascii="Arial" w:cs="Arial" w:eastAsia="Arial" w:hAnsi="Arial"/>
                <w:sz w:val="16"/>
                <w:szCs w:val="16"/>
                <w:color w:val="auto"/>
                <w:w w:val="94"/>
              </w:rPr>
              <w:t>(4%)</w:t>
            </w:r>
          </w:p>
        </w:tc>
        <w:tc>
          <w:tcPr>
            <w:tcW w:w="1560" w:type="dxa"/>
            <w:vAlign w:val="bottom"/>
            <w:gridSpan w:val="3"/>
          </w:tcPr>
          <w:p>
            <w:pPr>
              <w:jc w:val="center"/>
              <w:ind w:left="30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right="181"/>
              <w:spacing w:after="0"/>
              <w:rPr>
                <w:sz w:val="20"/>
                <w:szCs w:val="20"/>
                <w:color w:val="auto"/>
              </w:rPr>
            </w:pPr>
            <w:r>
              <w:rPr>
                <w:rFonts w:ascii="Arial" w:cs="Arial" w:eastAsia="Arial" w:hAnsi="Arial"/>
                <w:sz w:val="16"/>
                <w:szCs w:val="16"/>
                <w:color w:val="auto"/>
                <w:w w:val="88"/>
              </w:rPr>
              <w:t>(6%)</w:t>
            </w:r>
          </w:p>
        </w:tc>
      </w:tr>
      <w:tr>
        <w:trPr>
          <w:trHeight w:val="193"/>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Foreign rate differential</w:t>
            </w:r>
          </w:p>
        </w:tc>
        <w:tc>
          <w:tcPr>
            <w:tcW w:w="920" w:type="dxa"/>
            <w:vAlign w:val="bottom"/>
            <w:tcBorders>
              <w:bottom w:val="single" w:sz="8" w:color="auto"/>
            </w:tcBorders>
            <w:shd w:val="clear" w:color="auto" w:fill="CCEEFF"/>
          </w:tcPr>
          <w:p>
            <w:pPr>
              <w:jc w:val="center"/>
              <w:ind w:left="201"/>
              <w:spacing w:after="0"/>
              <w:rPr>
                <w:sz w:val="20"/>
                <w:szCs w:val="20"/>
                <w:color w:val="auto"/>
              </w:rPr>
            </w:pPr>
            <w:r>
              <w:rPr>
                <w:rFonts w:ascii="Arial" w:cs="Arial" w:eastAsia="Arial" w:hAnsi="Arial"/>
                <w:sz w:val="16"/>
                <w:szCs w:val="16"/>
                <w:color w:val="auto"/>
                <w:w w:val="94"/>
              </w:rPr>
              <w:t>(1%)</w:t>
            </w:r>
          </w:p>
        </w:tc>
        <w:tc>
          <w:tcPr>
            <w:tcW w:w="2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ind w:right="181"/>
              <w:spacing w:after="0"/>
              <w:rPr>
                <w:sz w:val="20"/>
                <w:szCs w:val="20"/>
                <w:color w:val="auto"/>
              </w:rPr>
            </w:pPr>
            <w:r>
              <w:rPr>
                <w:rFonts w:ascii="Arial" w:cs="Arial" w:eastAsia="Arial" w:hAnsi="Arial"/>
                <w:sz w:val="16"/>
                <w:szCs w:val="16"/>
                <w:color w:val="auto"/>
              </w:rPr>
              <w:t>-</w:t>
            </w:r>
          </w:p>
        </w:tc>
      </w:tr>
      <w:tr>
        <w:trPr>
          <w:trHeight w:val="189"/>
        </w:trPr>
        <w:tc>
          <w:tcPr>
            <w:tcW w:w="7660" w:type="dxa"/>
            <w:vAlign w:val="bottom"/>
          </w:tcPr>
          <w:p>
            <w:pPr>
              <w:spacing w:after="0"/>
              <w:rPr>
                <w:sz w:val="16"/>
                <w:szCs w:val="16"/>
                <w:color w:val="auto"/>
              </w:rPr>
            </w:pPr>
          </w:p>
        </w:tc>
        <w:tc>
          <w:tcPr>
            <w:tcW w:w="920" w:type="dxa"/>
            <w:vAlign w:val="bottom"/>
          </w:tcPr>
          <w:p>
            <w:pPr>
              <w:jc w:val="center"/>
              <w:ind w:left="201"/>
              <w:spacing w:after="0"/>
              <w:rPr>
                <w:sz w:val="20"/>
                <w:szCs w:val="20"/>
                <w:color w:val="auto"/>
              </w:rPr>
            </w:pPr>
            <w:r>
              <w:rPr>
                <w:rFonts w:ascii="Arial" w:cs="Arial" w:eastAsia="Arial" w:hAnsi="Arial"/>
                <w:sz w:val="16"/>
                <w:szCs w:val="16"/>
                <w:color w:val="auto"/>
                <w:w w:val="94"/>
              </w:rPr>
              <w:t>(6%)</w:t>
            </w:r>
          </w:p>
        </w:tc>
        <w:tc>
          <w:tcPr>
            <w:tcW w:w="1560" w:type="dxa"/>
            <w:vAlign w:val="bottom"/>
            <w:gridSpan w:val="3"/>
          </w:tcPr>
          <w:p>
            <w:pPr>
              <w:jc w:val="center"/>
              <w:ind w:left="301"/>
              <w:spacing w:after="0"/>
              <w:rPr>
                <w:sz w:val="20"/>
                <w:szCs w:val="20"/>
                <w:color w:val="auto"/>
              </w:rPr>
            </w:pPr>
            <w:r>
              <w:rPr>
                <w:rFonts w:ascii="Arial" w:cs="Arial" w:eastAsia="Arial" w:hAnsi="Arial"/>
                <w:sz w:val="16"/>
                <w:szCs w:val="16"/>
                <w:color w:val="auto"/>
                <w:w w:val="94"/>
              </w:rPr>
              <w:t>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right="181"/>
              <w:spacing w:after="0"/>
              <w:rPr>
                <w:sz w:val="20"/>
                <w:szCs w:val="20"/>
                <w:color w:val="auto"/>
              </w:rPr>
            </w:pPr>
            <w:r>
              <w:rPr>
                <w:rFonts w:ascii="Arial" w:cs="Arial" w:eastAsia="Arial" w:hAnsi="Arial"/>
                <w:sz w:val="16"/>
                <w:szCs w:val="16"/>
                <w:color w:val="auto"/>
                <w:w w:val="94"/>
              </w:rPr>
              <w:t>0%</w:t>
            </w:r>
          </w:p>
        </w:tc>
      </w:tr>
      <w:tr>
        <w:trPr>
          <w:trHeight w:val="20"/>
        </w:trPr>
        <w:tc>
          <w:tcPr>
            <w:tcW w:w="7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right="220" w:firstLine="567"/>
        <w:spacing w:after="0" w:line="311" w:lineRule="auto"/>
        <w:rPr>
          <w:sz w:val="20"/>
          <w:szCs w:val="20"/>
          <w:color w:val="auto"/>
        </w:rPr>
      </w:pPr>
      <w:r>
        <w:rPr>
          <w:rFonts w:ascii="Arial" w:cs="Arial" w:eastAsia="Arial" w:hAnsi="Arial"/>
          <w:sz w:val="14"/>
          <w:szCs w:val="14"/>
          <w:color w:val="auto"/>
        </w:rPr>
        <w:t>As of December 31, 2013, BioTime has net operating loss carryforwards of approximately $99,100,000 for federal and $70,200,000 for state tax purposes, which expire through 2033. In addition, BioTime has tax credit carryforwards for federal and state tax purposes of $1,076,000 and $1,253,000, respectively, which expire through 2033. As of December 31, 2013, BioTime’s subsidiaries have foreign net operating loss carryforwards of approximately $48,400,000 which carry forward indefinitely.</w:t>
      </w:r>
    </w:p>
    <w:p>
      <w:pPr>
        <w:spacing w:after="0" w:line="154" w:lineRule="exact"/>
        <w:rPr>
          <w:sz w:val="20"/>
          <w:szCs w:val="20"/>
          <w:color w:val="auto"/>
        </w:rPr>
      </w:pPr>
    </w:p>
    <w:p>
      <w:pPr>
        <w:ind w:right="40" w:firstLine="567"/>
        <w:spacing w:after="0" w:line="301" w:lineRule="auto"/>
        <w:rPr>
          <w:sz w:val="20"/>
          <w:szCs w:val="20"/>
          <w:color w:val="auto"/>
        </w:rPr>
      </w:pPr>
      <w:r>
        <w:rPr>
          <w:rFonts w:ascii="Arial" w:cs="Arial" w:eastAsia="Arial" w:hAnsi="Arial"/>
          <w:sz w:val="14"/>
          <w:szCs w:val="14"/>
          <w:color w:val="auto"/>
        </w:rPr>
        <w:t>A deferred income tax benefit of approximately $3,280,000 was recorded for the year ended December 31, 2013, of which approximately $2,800,000 was related to federal and $480,000 was related to state taxes. No tax benefit has been recorded through December 31, 2012 because of the net operating losses incurred and a full valuation allowance has been provided. A valuation allowance is provided when it is more likely than not that some portion of the deferred tax assets will not be realized. BioTime established a valuation allowance for all periods presented due to the uncertainty of realizing future tax benefits from its net operating loss carryforwards and other deferred tax assets.</w:t>
      </w:r>
    </w:p>
    <w:p>
      <w:pPr>
        <w:spacing w:after="0" w:line="161" w:lineRule="exact"/>
        <w:rPr>
          <w:sz w:val="20"/>
          <w:szCs w:val="20"/>
          <w:color w:val="auto"/>
        </w:rPr>
      </w:pPr>
    </w:p>
    <w:p>
      <w:pPr>
        <w:ind w:right="200" w:firstLine="567"/>
        <w:spacing w:after="0" w:line="276" w:lineRule="auto"/>
        <w:rPr>
          <w:sz w:val="20"/>
          <w:szCs w:val="20"/>
          <w:color w:val="auto"/>
        </w:rPr>
      </w:pPr>
      <w:r>
        <w:rPr>
          <w:rFonts w:ascii="Arial" w:cs="Arial" w:eastAsia="Arial" w:hAnsi="Arial"/>
          <w:sz w:val="15"/>
          <w:szCs w:val="15"/>
          <w:color w:val="auto"/>
        </w:rPr>
        <w:t>Internal Revenue Code Section 382 places a limitation (“Section 382 Limitation”) on the amount of taxable income that can be offset by net operating loss (“NOL”) carryforwards after a change in control (generally greater than 50% change in ownership within a three-year period) of a loss corporation. California has similar rules. Generally, after a control change, a loss corporation cannot deduct NOL carryforwards in excess of the Section 382 Limitation. Due to these “change in ownership” provisions, utilization of the NOL and tax credit carryforwards may be subject to an annual limitation regarding their utilization against taxable income in future periods.</w:t>
      </w:r>
    </w:p>
    <w:p>
      <w:pPr>
        <w:spacing w:after="0" w:line="176" w:lineRule="exact"/>
        <w:rPr>
          <w:sz w:val="20"/>
          <w:szCs w:val="20"/>
          <w:color w:val="auto"/>
        </w:rPr>
      </w:pPr>
    </w:p>
    <w:p>
      <w:pPr>
        <w:ind w:right="200" w:firstLine="567"/>
        <w:spacing w:after="0" w:line="267" w:lineRule="auto"/>
        <w:rPr>
          <w:sz w:val="20"/>
          <w:szCs w:val="20"/>
          <w:color w:val="auto"/>
        </w:rPr>
      </w:pPr>
      <w:r>
        <w:rPr>
          <w:rFonts w:ascii="Arial" w:cs="Arial" w:eastAsia="Arial" w:hAnsi="Arial"/>
          <w:sz w:val="16"/>
          <w:szCs w:val="16"/>
          <w:color w:val="auto"/>
        </w:rPr>
        <w:t>BioTime files an income tax return in the U.S. federal jurisdiction, and may file income tax returns in various U.S. states and foreign jurisdictions. Generally, BioTime is no longer subject to income tax examinations by major taxing authorities for years before 2010.</w:t>
      </w:r>
    </w:p>
    <w:p>
      <w:pPr>
        <w:spacing w:after="0" w:line="181" w:lineRule="exact"/>
        <w:rPr>
          <w:sz w:val="20"/>
          <w:szCs w:val="20"/>
          <w:color w:val="auto"/>
        </w:rPr>
      </w:pPr>
    </w:p>
    <w:p>
      <w:pPr>
        <w:ind w:right="140" w:firstLine="567"/>
        <w:spacing w:after="0" w:line="282" w:lineRule="auto"/>
        <w:rPr>
          <w:sz w:val="20"/>
          <w:szCs w:val="20"/>
          <w:color w:val="auto"/>
        </w:rPr>
      </w:pPr>
      <w:r>
        <w:rPr>
          <w:rFonts w:ascii="Arial" w:cs="Arial" w:eastAsia="Arial" w:hAnsi="Arial"/>
          <w:sz w:val="15"/>
          <w:szCs w:val="15"/>
          <w:color w:val="auto"/>
        </w:rPr>
        <w:t>BioTime may be subject to potential examination by U.S. federal, U.S. states or foreign jurisdiction authorities in the areas of income taxes. These potential examinations may include questioning the timing and amount of deductions, the nexus of income among various tax jurisdictions and compliance with U.S. federal, U.S. state and foreign tax laws. BioTime's management does not expect that the total amount of unrecognized tax benefits will materially change over the next twelve months.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129" w:name="page130"/>
    <w:bookmarkEnd w:id="12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Segment Information</w:t>
      </w:r>
    </w:p>
    <w:p>
      <w:pPr>
        <w:spacing w:after="0" w:line="222" w:lineRule="exact"/>
        <w:rPr>
          <w:sz w:val="20"/>
          <w:szCs w:val="20"/>
          <w:color w:val="auto"/>
        </w:rPr>
      </w:pPr>
    </w:p>
    <w:p>
      <w:pPr>
        <w:ind w:right="220" w:firstLine="567"/>
        <w:spacing w:after="0" w:line="301" w:lineRule="auto"/>
        <w:rPr>
          <w:sz w:val="20"/>
          <w:szCs w:val="20"/>
          <w:color w:val="auto"/>
        </w:rPr>
      </w:pPr>
      <w:r>
        <w:rPr>
          <w:rFonts w:ascii="Arial" w:cs="Arial" w:eastAsia="Arial" w:hAnsi="Arial"/>
          <w:sz w:val="14"/>
          <w:szCs w:val="14"/>
          <w:color w:val="auto"/>
        </w:rPr>
        <w:t>BioTime’s executive management team represents its chief decision maker. To date, BioTime’s management has viewed BioTime’s operations as one segment that includes, the research and development of therapeutic products for oncology, orthopedics, retinal and neurological diseases and disorders, blood and vascular system diseases and disorders, blood plasma volume expansion, diagnostic products for the early detection of cancer, and hydrogel products that may be used in surgery, and products for human embryonic stem cell research. As a result, the financial information disclosed materially represents all of the financial information related to BioTime’s sole operating segment.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Enterprise-wide Disclosures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Geographic Area Information</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Revenues, including license fees, royalties, grant income, and other revenues by geographic area are based on the country of domicile of the licensee or grantor.</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20" w:type="dxa"/>
            <w:vAlign w:val="bottom"/>
          </w:tcPr>
          <w:p>
            <w:pPr>
              <w:ind w:left="2520"/>
              <w:spacing w:after="0"/>
              <w:rPr>
                <w:sz w:val="20"/>
                <w:szCs w:val="20"/>
                <w:color w:val="auto"/>
              </w:rPr>
            </w:pPr>
            <w:r>
              <w:rPr>
                <w:rFonts w:ascii="Arial" w:cs="Arial" w:eastAsia="Arial" w:hAnsi="Arial"/>
                <w:sz w:val="16"/>
                <w:szCs w:val="16"/>
                <w:b w:val="1"/>
                <w:bCs w:val="1"/>
                <w:color w:val="auto"/>
              </w:rPr>
              <w:t>Geographic Area</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0" w:type="dxa"/>
            <w:vAlign w:val="bottom"/>
            <w:gridSpan w:val="7"/>
          </w:tcPr>
          <w:p>
            <w:pPr>
              <w:jc w:val="right"/>
              <w:ind w:right="381"/>
              <w:spacing w:after="0"/>
              <w:rPr>
                <w:sz w:val="20"/>
                <w:szCs w:val="20"/>
                <w:color w:val="auto"/>
              </w:rPr>
            </w:pPr>
            <w:r>
              <w:rPr>
                <w:rFonts w:ascii="Arial" w:cs="Arial" w:eastAsia="Arial" w:hAnsi="Arial"/>
                <w:sz w:val="16"/>
                <w:szCs w:val="16"/>
                <w:b w:val="1"/>
                <w:bCs w:val="1"/>
                <w:color w:val="auto"/>
                <w:w w:val="93"/>
              </w:rPr>
              <w:t>Revenues for the Year ending December 31,</w:t>
            </w:r>
          </w:p>
        </w:tc>
        <w:tc>
          <w:tcPr>
            <w:tcW w:w="120" w:type="dxa"/>
            <w:vAlign w:val="bottom"/>
          </w:tcPr>
          <w:p>
            <w:pPr>
              <w:spacing w:after="0"/>
              <w:rPr>
                <w:sz w:val="17"/>
                <w:szCs w:val="17"/>
                <w:color w:val="auto"/>
              </w:rPr>
            </w:pPr>
          </w:p>
        </w:tc>
      </w:tr>
      <w:tr>
        <w:trPr>
          <w:trHeight w:val="29"/>
        </w:trPr>
        <w:tc>
          <w:tcPr>
            <w:tcW w:w="20" w:type="dxa"/>
            <w:vAlign w:val="bottom"/>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3"/>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Domestic</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2,106,161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2,529,669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3,059,810</w:t>
            </w:r>
          </w:p>
        </w:tc>
        <w:tc>
          <w:tcPr>
            <w:tcW w:w="120" w:type="dxa"/>
            <w:vAlign w:val="bottom"/>
            <w:shd w:val="clear" w:color="auto" w:fill="CCEEFF"/>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Asia</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2,328,175</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1,385,658</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1,374,349</w:t>
            </w:r>
          </w:p>
        </w:tc>
        <w:tc>
          <w:tcPr>
            <w:tcW w:w="1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4,434,336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3,915,327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4,434,159</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Major Sources of Revenues</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BioTime has two major customers and two major grants comprising significant amounts of total revenues.</w:t>
      </w:r>
    </w:p>
    <w:p>
      <w:pPr>
        <w:spacing w:after="0" w:line="210" w:lineRule="exact"/>
        <w:rPr>
          <w:sz w:val="20"/>
          <w:szCs w:val="20"/>
          <w:color w:val="auto"/>
        </w:rPr>
      </w:pPr>
    </w:p>
    <w:p>
      <w:pPr>
        <w:ind w:right="80" w:firstLine="567"/>
        <w:spacing w:after="0" w:line="197" w:lineRule="auto"/>
        <w:rPr>
          <w:sz w:val="20"/>
          <w:szCs w:val="20"/>
          <w:color w:val="auto"/>
        </w:rPr>
      </w:pPr>
      <w:r>
        <w:rPr>
          <w:rFonts w:ascii="Arial" w:cs="Arial" w:eastAsia="Arial" w:hAnsi="Arial"/>
          <w:sz w:val="16"/>
          <w:szCs w:val="16"/>
          <w:color w:val="auto"/>
        </w:rPr>
        <w:t xml:space="preserve">All of BioTime’s royalty revenues were generated through sales of </w:t>
      </w:r>
      <w:r>
        <w:rPr>
          <w:rFonts w:ascii="Arial" w:cs="Arial" w:eastAsia="Arial" w:hAnsi="Arial"/>
          <w:sz w:val="16"/>
          <w:szCs w:val="16"/>
          <w:i w:val="1"/>
          <w:iCs w:val="1"/>
          <w:color w:val="auto"/>
        </w:rPr>
        <w:t>Hextend</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by Hospira in the U.S. and by CJ in the Republic of Korea. BioTime also earned license fees from CJ and Summit.</w:t>
      </w:r>
    </w:p>
    <w:p>
      <w:pPr>
        <w:spacing w:after="0" w:line="197" w:lineRule="exact"/>
        <w:rPr>
          <w:sz w:val="20"/>
          <w:szCs w:val="20"/>
          <w:color w:val="auto"/>
        </w:rPr>
      </w:pPr>
    </w:p>
    <w:p>
      <w:pPr>
        <w:ind w:firstLine="567"/>
        <w:spacing w:after="0" w:line="217" w:lineRule="auto"/>
        <w:rPr>
          <w:sz w:val="20"/>
          <w:szCs w:val="20"/>
          <w:color w:val="auto"/>
        </w:rPr>
      </w:pPr>
      <w:r>
        <w:rPr>
          <w:rFonts w:ascii="Arial" w:cs="Arial" w:eastAsia="Arial" w:hAnsi="Arial"/>
          <w:sz w:val="16"/>
          <w:szCs w:val="16"/>
          <w:color w:val="auto"/>
        </w:rPr>
        <w:t xml:space="preserve">BioTime was awarded a $4,721,706 grant for a stem cell research project related to its </w:t>
      </w:r>
      <w:r>
        <w:rPr>
          <w:rFonts w:ascii="Arial" w:cs="Arial" w:eastAsia="Arial" w:hAnsi="Arial"/>
          <w:sz w:val="16"/>
          <w:szCs w:val="16"/>
          <w:i w:val="1"/>
          <w:iCs w:val="1"/>
          <w:color w:val="auto"/>
        </w:rPr>
        <w:t>PureStem</w:t>
      </w:r>
      <w:r>
        <w:rPr>
          <w:rFonts w:ascii="Arial" w:cs="Arial" w:eastAsia="Arial" w:hAnsi="Arial"/>
          <w:sz w:val="25"/>
          <w:szCs w:val="25"/>
          <w:color w:val="auto"/>
          <w:vertAlign w:val="superscript"/>
        </w:rPr>
        <w:t>®</w:t>
      </w:r>
      <w:r>
        <w:rPr>
          <w:rFonts w:ascii="Arial" w:cs="Arial" w:eastAsia="Arial" w:hAnsi="Arial"/>
          <w:sz w:val="16"/>
          <w:szCs w:val="16"/>
          <w:color w:val="auto"/>
        </w:rPr>
        <w:t xml:space="preserve"> </w:t>
      </w:r>
      <w:r>
        <w:rPr>
          <w:rFonts w:ascii="Arial" w:cs="Arial" w:eastAsia="Arial" w:hAnsi="Arial"/>
          <w:sz w:val="15"/>
          <w:szCs w:val="15"/>
          <w:color w:val="auto"/>
        </w:rPr>
        <w:t>technology by CIRM in April 2009. The CIRM grant covered the period of</w:t>
      </w:r>
      <w:r>
        <w:rPr>
          <w:rFonts w:ascii="Arial" w:cs="Arial" w:eastAsia="Arial" w:hAnsi="Arial"/>
          <w:sz w:val="16"/>
          <w:szCs w:val="16"/>
          <w:color w:val="auto"/>
        </w:rPr>
        <w:t xml:space="preserve"> </w:t>
      </w:r>
      <w:r>
        <w:rPr>
          <w:rFonts w:ascii="Arial" w:cs="Arial" w:eastAsia="Arial" w:hAnsi="Arial"/>
          <w:sz w:val="15"/>
          <w:szCs w:val="15"/>
          <w:color w:val="auto"/>
        </w:rPr>
        <w:t>September 1, 2009 through August 31, 2012. BioTime recognized $0 and $1,047,106 as revenues as of December 31, 2013 and December 31, 2012, respectively. The final quarterly installment of $392,664 was collected in February 2013.</w:t>
      </w:r>
    </w:p>
    <w:p>
      <w:pPr>
        <w:spacing w:after="0" w:line="203" w:lineRule="exact"/>
        <w:rPr>
          <w:sz w:val="20"/>
          <w:szCs w:val="20"/>
          <w:color w:val="auto"/>
        </w:rPr>
      </w:pPr>
    </w:p>
    <w:p>
      <w:pPr>
        <w:jc w:val="both"/>
        <w:ind w:right="220" w:firstLine="567"/>
        <w:spacing w:after="0" w:line="257" w:lineRule="auto"/>
        <w:rPr>
          <w:sz w:val="20"/>
          <w:szCs w:val="20"/>
          <w:color w:val="auto"/>
        </w:rPr>
      </w:pPr>
      <w:r>
        <w:rPr>
          <w:rFonts w:ascii="Arial" w:cs="Arial" w:eastAsia="Arial" w:hAnsi="Arial"/>
          <w:sz w:val="16"/>
          <w:szCs w:val="16"/>
          <w:color w:val="auto"/>
        </w:rPr>
        <w:t>During 2013, BioTime received $111,691 and recognized as revenues $150,239 of a $335,900 grant awarded by the National Institutes of Health (“NIH”). During 2012, BioTime received $45,645 and recognized as revenues $47,507. The grant period commenced on September 30, 2011 and will end on September 29, 2014. As of December 31, 2013, $110,237 remained available for funding under the grant.</w:t>
      </w:r>
    </w:p>
    <w:p>
      <w:pPr>
        <w:spacing w:after="0" w:line="189" w:lineRule="exact"/>
        <w:rPr>
          <w:sz w:val="20"/>
          <w:szCs w:val="20"/>
          <w:color w:val="auto"/>
        </w:rPr>
      </w:pPr>
    </w:p>
    <w:p>
      <w:pPr>
        <w:ind w:right="40" w:firstLine="624"/>
        <w:spacing w:after="0" w:line="257" w:lineRule="auto"/>
        <w:rPr>
          <w:sz w:val="20"/>
          <w:szCs w:val="20"/>
          <w:color w:val="auto"/>
        </w:rPr>
      </w:pPr>
      <w:r>
        <w:rPr>
          <w:rFonts w:ascii="Arial" w:cs="Arial" w:eastAsia="Arial" w:hAnsi="Arial"/>
          <w:sz w:val="16"/>
          <w:szCs w:val="16"/>
          <w:color w:val="auto"/>
        </w:rPr>
        <w:t>During 2013, grant income also included awards from a separate grant awarded by the NIH in 2013 in the amount of $71,355, and grants from other sources in the amount of $1,333,901 recognized through Cell Cure Neurosciences, $13,838 through Life Map Sciences, Ltd., and $3,996 through ES Cell International. During 2012, grant income also included $1,109,699 recognized through Cell Cure Neurosciences and $18,145 through Life Map Sciences, Ltd.</w:t>
      </w:r>
    </w:p>
    <w:p>
      <w:pPr>
        <w:spacing w:after="0" w:line="189" w:lineRule="exact"/>
        <w:rPr>
          <w:sz w:val="20"/>
          <w:szCs w:val="20"/>
          <w:color w:val="auto"/>
        </w:rPr>
      </w:pPr>
    </w:p>
    <w:p>
      <w:pPr>
        <w:ind w:right="340" w:firstLine="567"/>
        <w:spacing w:after="0" w:line="257" w:lineRule="auto"/>
        <w:rPr>
          <w:sz w:val="20"/>
          <w:szCs w:val="20"/>
          <w:color w:val="auto"/>
        </w:rPr>
      </w:pPr>
      <w:r>
        <w:rPr>
          <w:rFonts w:ascii="Arial" w:cs="Arial" w:eastAsia="Arial" w:hAnsi="Arial"/>
          <w:sz w:val="16"/>
          <w:szCs w:val="16"/>
          <w:color w:val="auto"/>
        </w:rPr>
        <w:t>During 2013, BioTime received $1,082,077 and recognized $609,314 (net of $707,695 in royalty and commission fees) in net subscription and advertisement revenues through LifeMap Sciences. During 2012, BioTime received $1,222,516 and recognized $373,798 (net of $379,098 in royalty and commission fees) in net subscription and advertisement revenues through LifeMap Sciences.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0" w:name="page131"/>
    <w:bookmarkEnd w:id="130"/>
    <w:p>
      <w:pPr>
        <w:ind w:left="5"/>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7" w:lineRule="exact"/>
        <w:rPr>
          <w:sz w:val="20"/>
          <w:szCs w:val="20"/>
          <w:color w:val="auto"/>
        </w:rPr>
      </w:pPr>
    </w:p>
    <w:p>
      <w:pPr>
        <w:jc w:val="both"/>
        <w:ind w:left="5" w:right="20" w:firstLine="567"/>
        <w:spacing w:after="0" w:line="257" w:lineRule="auto"/>
        <w:rPr>
          <w:sz w:val="20"/>
          <w:szCs w:val="20"/>
          <w:color w:val="auto"/>
        </w:rPr>
      </w:pPr>
      <w:r>
        <w:rPr>
          <w:rFonts w:ascii="Arial" w:cs="Arial" w:eastAsia="Arial" w:hAnsi="Arial"/>
          <w:sz w:val="16"/>
          <w:szCs w:val="16"/>
          <w:color w:val="auto"/>
        </w:rPr>
        <w:t>The following table shows the relative portions of BioTime’s royalty and license fee revenues paid by Hospira, CJ, and Summit that were recognized during the years ended December 31, 2013, 2012, and 2011, subscription and advertisement revenues, and grant income recognized during the same periods with respect to grants provided by the office of the Chief of Scientist of Israel (“OCS”), the NIH (SBIR) and CIRM:</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8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88"/>
              </w:rPr>
              <w:t>% of Total Revenues for Year ended</w:t>
            </w:r>
          </w:p>
        </w:tc>
      </w:tr>
      <w:tr>
        <w:trPr>
          <w:trHeight w:val="170"/>
        </w:trPr>
        <w:tc>
          <w:tcPr>
            <w:tcW w:w="6060" w:type="dxa"/>
            <w:vAlign w:val="bottom"/>
            <w:gridSpan w:val="2"/>
          </w:tcPr>
          <w:p>
            <w:pPr>
              <w:spacing w:after="0" w:line="170" w:lineRule="exact"/>
              <w:rPr>
                <w:sz w:val="20"/>
                <w:szCs w:val="20"/>
                <w:color w:val="auto"/>
              </w:rPr>
            </w:pPr>
            <w:r>
              <w:rPr>
                <w:rFonts w:ascii="Arial" w:cs="Arial" w:eastAsia="Arial" w:hAnsi="Arial"/>
                <w:sz w:val="16"/>
                <w:szCs w:val="16"/>
                <w:b w:val="1"/>
                <w:bCs w:val="1"/>
                <w:color w:val="auto"/>
              </w:rPr>
              <w:t>Sources of Revenues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61"/>
              <w:spacing w:after="0" w:line="170" w:lineRule="exact"/>
              <w:rPr>
                <w:sz w:val="20"/>
                <w:szCs w:val="20"/>
                <w:color w:val="auto"/>
              </w:rPr>
            </w:pPr>
            <w:r>
              <w:rPr>
                <w:rFonts w:ascii="Arial" w:cs="Arial" w:eastAsia="Arial" w:hAnsi="Arial"/>
                <w:sz w:val="16"/>
                <w:szCs w:val="16"/>
                <w:b w:val="1"/>
                <w:bCs w:val="1"/>
                <w:color w:val="auto"/>
                <w:w w:val="86"/>
              </w:rPr>
              <w:t>December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1360" w:type="dxa"/>
            <w:vAlign w:val="bottom"/>
            <w:tcBorders>
              <w:top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92"/>
        </w:trPr>
        <w:tc>
          <w:tcPr>
            <w:tcW w:w="13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1"/>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84"/>
              </w:rPr>
              <w:t>2012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16"/>
                <w:szCs w:val="16"/>
                <w:color w:val="auto"/>
              </w:rPr>
            </w:pP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Hospira</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6"/>
                <w:szCs w:val="16"/>
                <w:color w:val="auto"/>
              </w:rPr>
            </w:pPr>
          </w:p>
        </w:tc>
      </w:tr>
      <w:tr>
        <w:trPr>
          <w:trHeight w:val="189"/>
        </w:trPr>
        <w:tc>
          <w:tcPr>
            <w:tcW w:w="6060" w:type="dxa"/>
            <w:vAlign w:val="bottom"/>
            <w:gridSpan w:val="2"/>
          </w:tcPr>
          <w:p>
            <w:pPr>
              <w:spacing w:after="0"/>
              <w:rPr>
                <w:sz w:val="20"/>
                <w:szCs w:val="20"/>
                <w:color w:val="auto"/>
              </w:rPr>
            </w:pPr>
            <w:r>
              <w:rPr>
                <w:rFonts w:ascii="Arial" w:cs="Arial" w:eastAsia="Arial" w:hAnsi="Arial"/>
                <w:sz w:val="16"/>
                <w:szCs w:val="16"/>
                <w:color w:val="auto"/>
              </w:rPr>
              <w:t>CJ</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8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6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6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6"/>
                <w:szCs w:val="16"/>
                <w:color w:val="auto"/>
              </w:rPr>
            </w:pP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Summit</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6"/>
                <w:szCs w:val="16"/>
                <w:color w:val="auto"/>
              </w:rPr>
            </w:pPr>
          </w:p>
        </w:tc>
      </w:tr>
      <w:tr>
        <w:trPr>
          <w:trHeight w:val="189"/>
        </w:trPr>
        <w:tc>
          <w:tcPr>
            <w:tcW w:w="6060" w:type="dxa"/>
            <w:vAlign w:val="bottom"/>
            <w:gridSpan w:val="2"/>
          </w:tcPr>
          <w:p>
            <w:pPr>
              <w:spacing w:after="0"/>
              <w:rPr>
                <w:sz w:val="20"/>
                <w:szCs w:val="20"/>
                <w:color w:val="auto"/>
              </w:rPr>
            </w:pPr>
            <w:r>
              <w:rPr>
                <w:rFonts w:ascii="Arial" w:cs="Arial" w:eastAsia="Arial" w:hAnsi="Arial"/>
                <w:sz w:val="16"/>
                <w:szCs w:val="16"/>
                <w:color w:val="auto"/>
              </w:rPr>
              <w:t>CIRM</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81"/>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61"/>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61"/>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6"/>
                <w:szCs w:val="16"/>
                <w:color w:val="auto"/>
              </w:rPr>
            </w:pP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NIH</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6"/>
                <w:szCs w:val="16"/>
                <w:color w:val="auto"/>
              </w:rPr>
            </w:pPr>
          </w:p>
        </w:tc>
      </w:tr>
      <w:tr>
        <w:trPr>
          <w:trHeight w:val="189"/>
        </w:trPr>
        <w:tc>
          <w:tcPr>
            <w:tcW w:w="6060" w:type="dxa"/>
            <w:vAlign w:val="bottom"/>
            <w:gridSpan w:val="2"/>
          </w:tcPr>
          <w:p>
            <w:pPr>
              <w:spacing w:after="0"/>
              <w:rPr>
                <w:sz w:val="20"/>
                <w:szCs w:val="20"/>
                <w:color w:val="auto"/>
              </w:rPr>
            </w:pPr>
            <w:r>
              <w:rPr>
                <w:rFonts w:ascii="Arial" w:cs="Arial" w:eastAsia="Arial" w:hAnsi="Arial"/>
                <w:sz w:val="16"/>
                <w:szCs w:val="16"/>
                <w:color w:val="auto"/>
              </w:rPr>
              <w:t>OCS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81"/>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61"/>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61"/>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6"/>
                <w:szCs w:val="16"/>
                <w:color w:val="auto"/>
              </w:rPr>
            </w:pP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Subscription and Advertising (various customers)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6"/>
                <w:szCs w:val="16"/>
                <w:color w:val="auto"/>
              </w:rPr>
            </w:pPr>
          </w:p>
        </w:tc>
      </w:tr>
      <w:tr>
        <w:trPr>
          <w:trHeight w:val="401"/>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20. Selected Quarterly Financial Information (UNAUDITED)</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7"/>
        </w:trPr>
        <w:tc>
          <w:tcPr>
            <w:tcW w:w="13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541"/>
              <w:spacing w:after="0"/>
              <w:rPr>
                <w:sz w:val="20"/>
                <w:szCs w:val="20"/>
                <w:color w:val="auto"/>
              </w:rPr>
            </w:pPr>
            <w:r>
              <w:rPr>
                <w:rFonts w:ascii="Arial" w:cs="Arial" w:eastAsia="Arial" w:hAnsi="Arial"/>
                <w:sz w:val="16"/>
                <w:szCs w:val="16"/>
                <w:b w:val="1"/>
                <w:bCs w:val="1"/>
                <w:color w:val="auto"/>
              </w:rPr>
              <w:t>First</w:t>
            </w:r>
          </w:p>
        </w:tc>
        <w:tc>
          <w:tcPr>
            <w:tcW w:w="240" w:type="dxa"/>
            <w:vAlign w:val="bottom"/>
          </w:tcPr>
          <w:p>
            <w:pPr>
              <w:spacing w:after="0"/>
              <w:rPr>
                <w:sz w:val="24"/>
                <w:szCs w:val="24"/>
                <w:color w:val="auto"/>
              </w:rPr>
            </w:pPr>
          </w:p>
        </w:tc>
        <w:tc>
          <w:tcPr>
            <w:tcW w:w="1040" w:type="dxa"/>
            <w:vAlign w:val="bottom"/>
          </w:tcPr>
          <w:p>
            <w:pPr>
              <w:jc w:val="center"/>
              <w:ind w:right="201"/>
              <w:spacing w:after="0"/>
              <w:rPr>
                <w:sz w:val="20"/>
                <w:szCs w:val="20"/>
                <w:color w:val="auto"/>
              </w:rPr>
            </w:pPr>
            <w:r>
              <w:rPr>
                <w:rFonts w:ascii="Arial" w:cs="Arial" w:eastAsia="Arial" w:hAnsi="Arial"/>
                <w:sz w:val="16"/>
                <w:szCs w:val="16"/>
                <w:b w:val="1"/>
                <w:bCs w:val="1"/>
                <w:color w:val="auto"/>
                <w:w w:val="82"/>
              </w:rPr>
              <w:t>Second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101"/>
              <w:spacing w:after="0"/>
              <w:rPr>
                <w:sz w:val="20"/>
                <w:szCs w:val="20"/>
                <w:color w:val="auto"/>
              </w:rPr>
            </w:pPr>
            <w:r>
              <w:rPr>
                <w:rFonts w:ascii="Arial" w:cs="Arial" w:eastAsia="Arial" w:hAnsi="Arial"/>
                <w:sz w:val="16"/>
                <w:szCs w:val="16"/>
                <w:b w:val="1"/>
                <w:bCs w:val="1"/>
                <w:color w:val="auto"/>
                <w:w w:val="94"/>
              </w:rPr>
              <w:t>Third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Fourth</w:t>
            </w:r>
          </w:p>
        </w:tc>
      </w:tr>
      <w:tr>
        <w:trPr>
          <w:trHeight w:val="209"/>
        </w:trPr>
        <w:tc>
          <w:tcPr>
            <w:tcW w:w="13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21"/>
              <w:spacing w:after="0"/>
              <w:rPr>
                <w:sz w:val="20"/>
                <w:szCs w:val="20"/>
                <w:color w:val="auto"/>
              </w:rPr>
            </w:pPr>
            <w:r>
              <w:rPr>
                <w:rFonts w:ascii="Arial" w:cs="Arial" w:eastAsia="Arial" w:hAnsi="Arial"/>
                <w:sz w:val="16"/>
                <w:szCs w:val="16"/>
                <w:b w:val="1"/>
                <w:bCs w:val="1"/>
                <w:color w:val="auto"/>
              </w:rPr>
              <w:t>Quarter</w:t>
            </w:r>
          </w:p>
        </w:tc>
        <w:tc>
          <w:tcPr>
            <w:tcW w:w="240" w:type="dxa"/>
            <w:vAlign w:val="bottom"/>
          </w:tcPr>
          <w:p>
            <w:pPr>
              <w:spacing w:after="0"/>
              <w:rPr>
                <w:sz w:val="18"/>
                <w:szCs w:val="18"/>
                <w:color w:val="auto"/>
              </w:rPr>
            </w:pPr>
          </w:p>
        </w:tc>
        <w:tc>
          <w:tcPr>
            <w:tcW w:w="1040" w:type="dxa"/>
            <w:vAlign w:val="bottom"/>
          </w:tcPr>
          <w:p>
            <w:pPr>
              <w:jc w:val="center"/>
              <w:ind w:right="201"/>
              <w:spacing w:after="0"/>
              <w:rPr>
                <w:sz w:val="20"/>
                <w:szCs w:val="20"/>
                <w:color w:val="auto"/>
              </w:rPr>
            </w:pPr>
            <w:r>
              <w:rPr>
                <w:rFonts w:ascii="Arial" w:cs="Arial" w:eastAsia="Arial" w:hAnsi="Arial"/>
                <w:sz w:val="16"/>
                <w:szCs w:val="16"/>
                <w:b w:val="1"/>
                <w:bCs w:val="1"/>
                <w:color w:val="auto"/>
                <w:w w:val="96"/>
              </w:rPr>
              <w:t>Quarter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01"/>
              <w:spacing w:after="0"/>
              <w:rPr>
                <w:sz w:val="20"/>
                <w:szCs w:val="20"/>
                <w:color w:val="auto"/>
              </w:rPr>
            </w:pPr>
            <w:r>
              <w:rPr>
                <w:rFonts w:ascii="Arial" w:cs="Arial" w:eastAsia="Arial" w:hAnsi="Arial"/>
                <w:sz w:val="16"/>
                <w:szCs w:val="16"/>
                <w:b w:val="1"/>
                <w:bCs w:val="1"/>
                <w:color w:val="auto"/>
                <w:w w:val="93"/>
              </w:rPr>
              <w:t>Quarter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Quarter</w:t>
            </w:r>
          </w:p>
        </w:tc>
      </w:tr>
      <w:tr>
        <w:trPr>
          <w:trHeight w:val="188"/>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 2013</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Revenues, net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431,724</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1,035,514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507,384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1,670,063</w:t>
            </w:r>
          </w:p>
        </w:tc>
      </w:tr>
      <w:tr>
        <w:trPr>
          <w:trHeight w:val="189"/>
        </w:trPr>
        <w:tc>
          <w:tcPr>
            <w:tcW w:w="6060" w:type="dxa"/>
            <w:vAlign w:val="bottom"/>
            <w:gridSpan w:val="2"/>
          </w:tcPr>
          <w:p>
            <w:pPr>
              <w:spacing w:after="0" w:line="189" w:lineRule="exact"/>
              <w:rPr>
                <w:sz w:val="20"/>
                <w:szCs w:val="20"/>
                <w:color w:val="auto"/>
              </w:rPr>
            </w:pPr>
            <w:r>
              <w:rPr>
                <w:rFonts w:ascii="Arial" w:cs="Arial" w:eastAsia="Arial" w:hAnsi="Arial"/>
                <w:sz w:val="13"/>
                <w:szCs w:val="13"/>
                <w:color w:val="auto"/>
              </w:rPr>
              <w:t>Acquired in-process research and development</w:t>
            </w:r>
            <w:r>
              <w:rPr>
                <w:rFonts w:ascii="Arial" w:cs="Arial" w:eastAsia="Arial" w:hAnsi="Arial"/>
                <w:sz w:val="21"/>
                <w:szCs w:val="21"/>
                <w:color w:val="auto"/>
                <w:vertAlign w:val="superscript"/>
              </w:rPr>
              <w:t>(1)</w:t>
            </w:r>
          </w:p>
        </w:tc>
        <w:tc>
          <w:tcPr>
            <w:tcW w:w="200" w:type="dxa"/>
            <w:vAlign w:val="bottom"/>
          </w:tcPr>
          <w:p>
            <w:pPr>
              <w:spacing w:after="0"/>
              <w:rPr>
                <w:sz w:val="16"/>
                <w:szCs w:val="16"/>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17,458,766</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8,811,633</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9,151,965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10,709,337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13,504,740</w:t>
            </w:r>
          </w:p>
        </w:tc>
      </w:tr>
      <w:tr>
        <w:trPr>
          <w:trHeight w:val="189"/>
        </w:trPr>
        <w:tc>
          <w:tcPr>
            <w:tcW w:w="606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200" w:type="dxa"/>
            <w:vAlign w:val="bottom"/>
          </w:tcPr>
          <w:p>
            <w:pPr>
              <w:spacing w:after="0"/>
              <w:rPr>
                <w:sz w:val="16"/>
                <w:szCs w:val="16"/>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(8,379,909)</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(8,116,451)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(10,201,953)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(29,293,443)</w:t>
            </w:r>
          </w:p>
        </w:tc>
      </w:tr>
      <w:tr>
        <w:trPr>
          <w:trHeight w:val="189"/>
        </w:trPr>
        <w:tc>
          <w:tcPr>
            <w:tcW w:w="606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Net loss attributable to BioTime, Inc.</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(7,719,263)</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(7,549,765)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(9,003,168)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(19,612,314)</w:t>
            </w:r>
          </w:p>
        </w:tc>
      </w:tr>
      <w:tr>
        <w:trPr>
          <w:trHeight w:val="189"/>
        </w:trPr>
        <w:tc>
          <w:tcPr>
            <w:tcW w:w="13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 and diluted net loss per share</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(0.15)</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(0.35)</w:t>
            </w:r>
          </w:p>
        </w:tc>
      </w:tr>
      <w:tr>
        <w:trPr>
          <w:trHeight w:val="189"/>
        </w:trPr>
        <w:tc>
          <w:tcPr>
            <w:tcW w:w="13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Year Ended December 31, 2012</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6060" w:type="dxa"/>
            <w:vAlign w:val="bottom"/>
            <w:gridSpan w:val="2"/>
          </w:tcPr>
          <w:p>
            <w:pPr>
              <w:spacing w:after="0"/>
              <w:rPr>
                <w:sz w:val="20"/>
                <w:szCs w:val="20"/>
                <w:color w:val="auto"/>
              </w:rPr>
            </w:pPr>
            <w:r>
              <w:rPr>
                <w:rFonts w:ascii="Arial" w:cs="Arial" w:eastAsia="Arial" w:hAnsi="Arial"/>
                <w:sz w:val="16"/>
                <w:szCs w:val="16"/>
                <w:color w:val="auto"/>
              </w:rPr>
              <w:t>Revenues, net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631,946</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949,746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833,817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1,065,547</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6,547,486</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7,029,077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6,780,375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8,124,795</w:t>
            </w:r>
          </w:p>
        </w:tc>
      </w:tr>
      <w:tr>
        <w:trPr>
          <w:trHeight w:val="189"/>
        </w:trPr>
        <w:tc>
          <w:tcPr>
            <w:tcW w:w="606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200" w:type="dxa"/>
            <w:vAlign w:val="bottom"/>
          </w:tcPr>
          <w:p>
            <w:pPr>
              <w:spacing w:after="0"/>
              <w:rPr>
                <w:sz w:val="16"/>
                <w:szCs w:val="16"/>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(5,915,540)</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(6,079,331)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(5,946,558)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(7,059,248)</w:t>
            </w:r>
          </w:p>
        </w:tc>
      </w:tr>
      <w:tr>
        <w:trPr>
          <w:trHeight w:val="189"/>
        </w:trPr>
        <w:tc>
          <w:tcPr>
            <w:tcW w:w="6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BioTime, Inc.</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(4,973,342)</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(5,457,222)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(4,958,014)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(6,037,125)</w:t>
            </w:r>
          </w:p>
        </w:tc>
      </w:tr>
      <w:tr>
        <w:trPr>
          <w:trHeight w:val="200"/>
        </w:trPr>
        <w:tc>
          <w:tcPr>
            <w:tcW w:w="6060" w:type="dxa"/>
            <w:vAlign w:val="bottom"/>
            <w:gridSpan w:val="2"/>
          </w:tcPr>
          <w:p>
            <w:pPr>
              <w:spacing w:after="0"/>
              <w:rPr>
                <w:sz w:val="20"/>
                <w:szCs w:val="20"/>
                <w:color w:val="auto"/>
              </w:rPr>
            </w:pPr>
            <w:r>
              <w:rPr>
                <w:rFonts w:ascii="Arial" w:cs="Arial" w:eastAsia="Arial" w:hAnsi="Arial"/>
                <w:sz w:val="16"/>
                <w:szCs w:val="16"/>
                <w:color w:val="auto"/>
              </w:rPr>
              <w:t>Basic and diluted net loss per share</w:t>
            </w:r>
          </w:p>
        </w:tc>
        <w:tc>
          <w:tcPr>
            <w:tcW w:w="200" w:type="dxa"/>
            <w:vAlign w:val="bottom"/>
          </w:tcPr>
          <w:p>
            <w:pPr>
              <w:spacing w:after="0"/>
              <w:rPr>
                <w:sz w:val="17"/>
                <w:szCs w:val="17"/>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(0.10)</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(0.12)</w:t>
            </w:r>
          </w:p>
        </w:tc>
      </w:tr>
    </w:tbl>
    <w:p>
      <w:pPr>
        <w:spacing w:after="0" w:line="189" w:lineRule="exact"/>
        <w:rPr>
          <w:sz w:val="20"/>
          <w:szCs w:val="20"/>
          <w:color w:val="auto"/>
        </w:rPr>
      </w:pPr>
    </w:p>
    <w:p>
      <w:pPr>
        <w:ind w:left="285" w:right="280" w:hanging="285"/>
        <w:spacing w:after="0" w:line="267" w:lineRule="auto"/>
        <w:tabs>
          <w:tab w:leader="none" w:pos="285"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IPR&amp;D expenses related to intangible assets acquired by Asterias from Geron under the Asset Contribution Agreement. IPR&amp;D represents the value of incomplete research and development projects which Asterias intends to continue. See Notes 2 and 15.</w:t>
      </w:r>
    </w:p>
    <w:p>
      <w:pPr>
        <w:spacing w:after="0" w:line="181" w:lineRule="exact"/>
        <w:rPr>
          <w:rFonts w:ascii="Arial" w:cs="Arial" w:eastAsia="Arial" w:hAnsi="Arial"/>
          <w:sz w:val="16"/>
          <w:szCs w:val="16"/>
          <w:color w:val="auto"/>
        </w:rPr>
      </w:pPr>
    </w:p>
    <w:p>
      <w:pPr>
        <w:ind w:left="285" w:hanging="285"/>
        <w:spacing w:after="0"/>
        <w:tabs>
          <w:tab w:leader="none" w:pos="285" w:val="left"/>
        </w:tabs>
        <w:numPr>
          <w:ilvl w:val="0"/>
          <w:numId w:val="56"/>
        </w:numPr>
        <w:rPr>
          <w:rFonts w:ascii="Arial" w:cs="Arial" w:eastAsia="Arial" w:hAnsi="Arial"/>
          <w:sz w:val="16"/>
          <w:szCs w:val="16"/>
          <w:color w:val="auto"/>
        </w:rPr>
      </w:pPr>
      <w:r>
        <w:rPr>
          <w:rFonts w:ascii="Arial" w:cs="Arial" w:eastAsia="Arial" w:hAnsi="Arial"/>
          <w:sz w:val="16"/>
          <w:szCs w:val="16"/>
          <w:color w:val="auto"/>
        </w:rPr>
        <w:t>Net of $3,280,695 income tax benefits in fourth quarter.</w:t>
      </w:r>
    </w:p>
    <w:p>
      <w:pPr>
        <w:spacing w:after="0" w:line="167"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131" w:name="page132"/>
    <w:bookmarkEnd w:id="13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Pro Forma Financial Information for Fiscal Years Ended December 31, 2013 and 2012 (UNAUDITED)</w:t>
      </w:r>
    </w:p>
    <w:p>
      <w:pPr>
        <w:spacing w:after="0" w:line="222" w:lineRule="exact"/>
        <w:rPr>
          <w:sz w:val="20"/>
          <w:szCs w:val="20"/>
          <w:color w:val="auto"/>
        </w:rPr>
      </w:pPr>
    </w:p>
    <w:p>
      <w:pPr>
        <w:ind w:right="160" w:firstLine="567"/>
        <w:spacing w:after="0" w:line="257" w:lineRule="auto"/>
        <w:rPr>
          <w:sz w:val="20"/>
          <w:szCs w:val="20"/>
          <w:color w:val="auto"/>
        </w:rPr>
      </w:pPr>
      <w:r>
        <w:rPr>
          <w:rFonts w:ascii="Arial" w:cs="Arial" w:eastAsia="Arial" w:hAnsi="Arial"/>
          <w:sz w:val="16"/>
          <w:szCs w:val="16"/>
          <w:color w:val="auto"/>
        </w:rPr>
        <w:t xml:space="preserve">The following unaudited pro forma information gives effect to the merger with XenneX and asset acquisition through the Asset Contribution Agreement as if the transactions took place on January 1, 2012.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information does not necessarily reflect the results of operations that would have occurred had the entities been a single company during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6"/>
                <w:szCs w:val="16"/>
                <w:b w:val="1"/>
                <w:bCs w:val="1"/>
                <w:color w:val="auto"/>
              </w:rPr>
              <w:t>Year Ended December 31,</w:t>
            </w:r>
          </w:p>
        </w:tc>
      </w:tr>
      <w:tr>
        <w:trPr>
          <w:trHeight w:val="193"/>
        </w:trPr>
        <w:tc>
          <w:tcPr>
            <w:tcW w:w="57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2012</w:t>
            </w:r>
          </w:p>
        </w:tc>
      </w:tr>
      <w:tr>
        <w:trPr>
          <w:trHeight w:val="189"/>
        </w:trPr>
        <w:tc>
          <w:tcPr>
            <w:tcW w:w="5780" w:type="dxa"/>
            <w:vAlign w:val="bottom"/>
          </w:tcPr>
          <w:p>
            <w:pPr>
              <w:spacing w:after="0"/>
              <w:rPr>
                <w:sz w:val="16"/>
                <w:szCs w:val="16"/>
                <w:color w:val="auto"/>
              </w:rPr>
            </w:pPr>
          </w:p>
        </w:tc>
        <w:tc>
          <w:tcPr>
            <w:tcW w:w="3140" w:type="dxa"/>
            <w:vAlign w:val="bottom"/>
            <w:gridSpan w:val="2"/>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3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4,434,336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4,206,973</w:t>
            </w:r>
          </w:p>
        </w:tc>
      </w:tr>
      <w:tr>
        <w:trPr>
          <w:trHeight w:val="189"/>
        </w:trPr>
        <w:tc>
          <w:tcPr>
            <w:tcW w:w="5780" w:type="dxa"/>
            <w:vAlign w:val="bottom"/>
          </w:tcPr>
          <w:p>
            <w:pPr>
              <w:spacing w:after="0" w:line="189" w:lineRule="exact"/>
              <w:rPr>
                <w:sz w:val="20"/>
                <w:szCs w:val="20"/>
                <w:color w:val="auto"/>
              </w:rPr>
            </w:pPr>
            <w:r>
              <w:rPr>
                <w:rFonts w:ascii="Arial" w:cs="Arial" w:eastAsia="Arial" w:hAnsi="Arial"/>
                <w:sz w:val="13"/>
                <w:szCs w:val="13"/>
                <w:color w:val="auto"/>
              </w:rPr>
              <w:t>(Loss) available to common shareholders</w:t>
            </w:r>
            <w:r>
              <w:rPr>
                <w:rFonts w:ascii="Arial" w:cs="Arial" w:eastAsia="Arial" w:hAnsi="Arial"/>
                <w:sz w:val="21"/>
                <w:szCs w:val="21"/>
                <w:color w:val="auto"/>
                <w:vertAlign w:val="superscript"/>
              </w:rPr>
              <w:t>(1)</w:t>
            </w:r>
          </w:p>
        </w:tc>
        <w:tc>
          <w:tcPr>
            <w:tcW w:w="31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w w:val="92"/>
              </w:rPr>
              <w:t>(26,424,069)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w w:val="90"/>
              </w:rPr>
              <w:t>(38,781,953)</w:t>
            </w:r>
          </w:p>
        </w:tc>
      </w:tr>
      <w:tr>
        <w:trPr>
          <w:trHeight w:val="189"/>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(Loss) per common share – basic</w:t>
            </w:r>
          </w:p>
        </w:tc>
        <w:tc>
          <w:tcPr>
            <w:tcW w:w="3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(0.49)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(0.78)</w:t>
            </w:r>
          </w:p>
        </w:tc>
      </w:tr>
      <w:tr>
        <w:trPr>
          <w:trHeight w:val="200"/>
        </w:trPr>
        <w:tc>
          <w:tcPr>
            <w:tcW w:w="5780" w:type="dxa"/>
            <w:vAlign w:val="bottom"/>
          </w:tcPr>
          <w:p>
            <w:pPr>
              <w:spacing w:after="0"/>
              <w:rPr>
                <w:sz w:val="20"/>
                <w:szCs w:val="20"/>
                <w:color w:val="auto"/>
              </w:rPr>
            </w:pPr>
            <w:r>
              <w:rPr>
                <w:rFonts w:ascii="Arial" w:cs="Arial" w:eastAsia="Arial" w:hAnsi="Arial"/>
                <w:sz w:val="16"/>
                <w:szCs w:val="16"/>
                <w:color w:val="auto"/>
              </w:rPr>
              <w:t>(Loss) per common share – diluted</w:t>
            </w:r>
          </w:p>
        </w:tc>
        <w:tc>
          <w:tcPr>
            <w:tcW w:w="31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(0.49)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1"/>
              <w:spacing w:after="0"/>
              <w:rPr>
                <w:sz w:val="20"/>
                <w:szCs w:val="20"/>
                <w:color w:val="auto"/>
              </w:rPr>
            </w:pPr>
            <w:r>
              <w:rPr>
                <w:rFonts w:ascii="Arial" w:cs="Arial" w:eastAsia="Arial" w:hAnsi="Arial"/>
                <w:sz w:val="16"/>
                <w:szCs w:val="16"/>
                <w:color w:val="auto"/>
              </w:rPr>
              <w:t>(0.78)</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(1) For 2012, includes $17,458,766 of IPR&amp;D acquired under the Asset Contribution Agreement which was completed on October 1, 2013. See Note 15.</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Subsequent Events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Common Shares</w:t>
      </w:r>
    </w:p>
    <w:p>
      <w:pPr>
        <w:spacing w:after="0" w:line="218" w:lineRule="exact"/>
        <w:rPr>
          <w:sz w:val="20"/>
          <w:szCs w:val="20"/>
          <w:color w:val="auto"/>
        </w:rPr>
      </w:pPr>
    </w:p>
    <w:p>
      <w:pPr>
        <w:ind w:right="100" w:firstLine="567"/>
        <w:spacing w:after="0" w:line="253" w:lineRule="auto"/>
        <w:rPr>
          <w:sz w:val="20"/>
          <w:szCs w:val="20"/>
          <w:color w:val="auto"/>
        </w:rPr>
      </w:pPr>
      <w:r>
        <w:rPr>
          <w:rFonts w:ascii="Arial" w:cs="Arial" w:eastAsia="Arial" w:hAnsi="Arial"/>
          <w:sz w:val="16"/>
          <w:szCs w:val="16"/>
          <w:color w:val="auto"/>
        </w:rPr>
        <w:t>After December 31, 2013, BioTime and three of its subsidiaries, OncoCyte, LifeMap Sciences, and Cell Cure Neurosciences, raised $8,474,005 through sales of 2,240,060 BioTime common shares in “at-the-market” transactions through Cantor Fitzgerald &amp; Co. (“Cantor”), as the sales agent. The BioTime common shares sold by the subsidiaries had been previously contributed to the subsidiaries by BioTime in exchange for subsidiary capital stock. The proceeds from the sale of BioTime common shares by BioTime subsidiaries belong to those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Grant</w:t>
      </w:r>
    </w:p>
    <w:p>
      <w:pPr>
        <w:spacing w:after="0" w:line="218" w:lineRule="exact"/>
        <w:rPr>
          <w:sz w:val="20"/>
          <w:szCs w:val="20"/>
          <w:color w:val="auto"/>
        </w:rPr>
      </w:pPr>
    </w:p>
    <w:p>
      <w:pPr>
        <w:ind w:right="340" w:firstLine="567"/>
        <w:spacing w:after="0" w:line="267" w:lineRule="auto"/>
        <w:rPr>
          <w:sz w:val="20"/>
          <w:szCs w:val="20"/>
          <w:color w:val="auto"/>
        </w:rPr>
      </w:pPr>
      <w:r>
        <w:rPr>
          <w:rFonts w:ascii="Arial" w:cs="Arial" w:eastAsia="Arial" w:hAnsi="Arial"/>
          <w:sz w:val="16"/>
          <w:szCs w:val="16"/>
          <w:color w:val="auto"/>
        </w:rPr>
        <w:t>On February 24, 2014, BioTime was awarded a $270,262 SBIR Phase 1 Small Business Grant from the National Institute of General Medical Sciences (NIGMS) at the National Institutes of Health (NIH) for a research and development project.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of Preferred Stock</w:t>
      </w:r>
    </w:p>
    <w:p>
      <w:pPr>
        <w:spacing w:after="0" w:line="194" w:lineRule="exact"/>
        <w:rPr>
          <w:sz w:val="20"/>
          <w:szCs w:val="20"/>
          <w:color w:val="auto"/>
        </w:rPr>
      </w:pPr>
    </w:p>
    <w:p>
      <w:pPr>
        <w:ind w:right="60" w:firstLine="567"/>
        <w:spacing w:after="0" w:line="250" w:lineRule="auto"/>
        <w:rPr>
          <w:sz w:val="20"/>
          <w:szCs w:val="20"/>
          <w:color w:val="auto"/>
        </w:rPr>
      </w:pPr>
      <w:r>
        <w:rPr>
          <w:rFonts w:ascii="Arial" w:cs="Arial" w:eastAsia="Arial" w:hAnsi="Arial"/>
          <w:sz w:val="16"/>
          <w:szCs w:val="16"/>
          <w:color w:val="auto"/>
        </w:rPr>
        <w:t>On March 4, 2014, BioTime raised $3,500,000 through the sale of 70,000 shares of Series A Convertible Preferred Stock (“Series A Preferred Stock”) pursuant to a series of Series A Convertible Preferred Stock Purchase Agreements of like terms. In connection with the sale of the Series A Preferred Stock, BioTime also entered into an Option Agreement with each purchaser of Series A Preferred Stock entitling them to exchange their shares of Series A Preferred Stock for shares of common stock of BioTime’s subsidiary LifeMap Sciences. held by BioTime, at the rate of 12.5 shares of LifeMap Sciences common stock for each share of BioTime Series A Preferred Stock. The exchange ratio is subject to adjustment in the event of a stock split, stock dividend, stock combination, or similar event with respect to LifeMap Sciences common stock. The option will expire if not exercised by March 4, 2019.</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BioTime’s Board of Directors designated 300,000 preferred shares as shares of Series A Convertible Preferred Stock.</w:t>
      </w:r>
    </w:p>
    <w:p>
      <w:pPr>
        <w:spacing w:after="0" w:line="218" w:lineRule="exact"/>
        <w:rPr>
          <w:sz w:val="20"/>
          <w:szCs w:val="20"/>
          <w:color w:val="auto"/>
        </w:rPr>
      </w:pPr>
    </w:p>
    <w:p>
      <w:pPr>
        <w:ind w:right="260" w:firstLine="567"/>
        <w:spacing w:after="0" w:line="257" w:lineRule="auto"/>
        <w:rPr>
          <w:sz w:val="20"/>
          <w:szCs w:val="20"/>
          <w:color w:val="auto"/>
        </w:rPr>
      </w:pPr>
      <w:r>
        <w:rPr>
          <w:rFonts w:ascii="Arial" w:cs="Arial" w:eastAsia="Arial" w:hAnsi="Arial"/>
          <w:sz w:val="16"/>
          <w:szCs w:val="16"/>
          <w:color w:val="auto"/>
        </w:rPr>
        <w:t>The Series A Preferred Stock carries a cumulative annual 3% preferred dividend or $1.50 per share which shall accrue on June 30 and December 31 accrued on June 30, and December 31 of each year regardless of whether declared by the Board of Directors and shall be paid, from funds legally available for such purpose, in two semi-annual installments on January 31 and July 31 of each year, or if such day is not a business day, on the next business day.</w:t>
      </w:r>
    </w:p>
    <w:p>
      <w:pPr>
        <w:spacing w:after="0" w:line="189" w:lineRule="exact"/>
        <w:rPr>
          <w:sz w:val="20"/>
          <w:szCs w:val="20"/>
          <w:color w:val="auto"/>
        </w:rPr>
      </w:pPr>
    </w:p>
    <w:p>
      <w:pPr>
        <w:ind w:right="20" w:firstLine="567"/>
        <w:spacing w:after="0" w:line="270" w:lineRule="auto"/>
        <w:rPr>
          <w:sz w:val="20"/>
          <w:szCs w:val="20"/>
          <w:color w:val="auto"/>
        </w:rPr>
      </w:pPr>
      <w:r>
        <w:rPr>
          <w:rFonts w:ascii="Arial" w:cs="Arial" w:eastAsia="Arial" w:hAnsi="Arial"/>
          <w:sz w:val="15"/>
          <w:szCs w:val="15"/>
          <w:color w:val="auto"/>
        </w:rPr>
        <w:t>Any dividends or distributions declared and paid or distributed with respect to common shares and any other stock ranking as “junior stock” to the Series A Preferred Stock (other than dividends and distributions of shares of junior stock resulting in an adjustment of the conversion price) shall likewise be declared and paid or distributed to holders of Series A Preferred Stock such that all holders of common shares, other junior stock if any, and Series A Preferred Stock shall receive such dividends or distributions in proportion to the number of common shares and shares of any other junior stock that would be held by each such holder if all shares of Series A Preferred Stock were converted to common shares (or such other series of junior stock, if applicable) at the conversion price in effect as of the record date for the determination of holders of common shares (or such other series of junior stock, if applicable) entitled to receive the dividend or distribution.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32" w:name="page133"/>
    <w:bookmarkEnd w:id="13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right="180" w:firstLine="567"/>
        <w:spacing w:after="0" w:line="311" w:lineRule="auto"/>
        <w:rPr>
          <w:sz w:val="20"/>
          <w:szCs w:val="20"/>
          <w:color w:val="auto"/>
        </w:rPr>
      </w:pPr>
      <w:r>
        <w:rPr>
          <w:rFonts w:ascii="Arial" w:cs="Arial" w:eastAsia="Arial" w:hAnsi="Arial"/>
          <w:sz w:val="14"/>
          <w:szCs w:val="14"/>
          <w:color w:val="auto"/>
        </w:rPr>
        <w:t>Each share of Series A Preferred Stock is convertible, at the election of the holder, into BioTime common shares at a conversion price of $4.00 per share, a current conversion ratio of 12.5 common shares for each share of Series A Preferred Stock. All outstanding Series A Preferred Stock will automatically be converted into common shares on March 4, 2019, or if holders of a majority of the outstanding shares of Series A Preferred Stock, voting as a class, approve or consent to a conversion.</w:t>
      </w:r>
    </w:p>
    <w:p>
      <w:pPr>
        <w:spacing w:after="0" w:line="154"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The conversion price is subject to prorata adjustment in the event of a subdivision or reclassification of the common shares into a greater number of shares, a stock dividend paid in common shares, or a stock combination or reclassification of the common shares into a smaller number of shares.</w:t>
      </w:r>
    </w:p>
    <w:p>
      <w:pPr>
        <w:spacing w:after="0" w:line="181" w:lineRule="exact"/>
        <w:rPr>
          <w:sz w:val="20"/>
          <w:szCs w:val="20"/>
          <w:color w:val="auto"/>
        </w:rPr>
      </w:pPr>
    </w:p>
    <w:p>
      <w:pPr>
        <w:ind w:firstLine="567"/>
        <w:spacing w:after="0" w:line="251" w:lineRule="auto"/>
        <w:rPr>
          <w:sz w:val="20"/>
          <w:szCs w:val="20"/>
          <w:color w:val="auto"/>
        </w:rPr>
      </w:pPr>
      <w:r>
        <w:rPr>
          <w:rFonts w:ascii="Arial" w:cs="Arial" w:eastAsia="Arial" w:hAnsi="Arial"/>
          <w:sz w:val="16"/>
          <w:szCs w:val="16"/>
          <w:color w:val="auto"/>
        </w:rPr>
        <w:t>In the event of a liquidation or dissolution of BioTime, holders of Series A Preferred Stock will be entitled to receive payment of any accrued but unpaid preferred dividends before any assets may be distributed to holders of common shares and any other capital stock ranking junior to the Series A Preferred Stock with respect to the distribution of assets upon liquidation. After payment of the accrued dividends, the Series A Preferred Stock will participate with the common shares and other capital stock ranking as parity stock or junior stock with respect to the Series A Preferred Stock in the distribution of any assets available to shareholders, as if the Series A Preferred Stock was then converted into common shares.</w:t>
      </w:r>
    </w:p>
    <w:p>
      <w:pPr>
        <w:spacing w:after="0" w:line="196" w:lineRule="exact"/>
        <w:rPr>
          <w:sz w:val="20"/>
          <w:szCs w:val="20"/>
          <w:color w:val="auto"/>
        </w:rPr>
      </w:pPr>
    </w:p>
    <w:p>
      <w:pPr>
        <w:ind w:firstLine="567"/>
        <w:spacing w:after="0" w:line="286" w:lineRule="auto"/>
        <w:rPr>
          <w:sz w:val="20"/>
          <w:szCs w:val="20"/>
          <w:color w:val="auto"/>
        </w:rPr>
      </w:pPr>
      <w:r>
        <w:rPr>
          <w:rFonts w:ascii="Arial" w:cs="Arial" w:eastAsia="Arial" w:hAnsi="Arial"/>
          <w:sz w:val="14"/>
          <w:szCs w:val="14"/>
          <w:color w:val="auto"/>
        </w:rPr>
        <w:t>The Series A Preferred Stock will be entitled to vote with common shares on all matters submitted to common shareholders for approval. Each share of Series A Preferred Stock will be entitled to a number of votes equal to the number common shares into which it could then be converted at the record date for the determination of the shareholders entitled to vote on such matters, or, if no such record date is established, at the date such vote is taken or any written consent of shareholders is solicited. The Series A Preferred Stock will be entitled to vote as a separate class only as to the following matters: (i) the creation of any preferred stock ranking as senior to the Series A Preferred Stock with respect to the payment of dividends, liquidation preferences or voting rights; (ii) a repurchase of any common shares or other stock ranking junior to the Series A Preferred Stock, except shares issued pursuant to or in connection with a compensation or incentive plan or agreement approved by BioTime’s Board of Directors for any officers, directors, employees or consultants of the company; (ii) any sale, conveyance, or other disposition of all or substantially all of BioTime's property or business, or any liquidation or dissolution of the company, or a merger into or consolidation with any other corporation (other than a wholly-owned subsidiary corporation), or any one or series of related transactions in which more than 50% of the voting power of BioTime is disposed of, unless upon consummation of such transaction the holders of Series A Preferred Stock would receive a distribution on account of each share of Series A Preferred Stock an amount of cash or other property or both having a value at least equal to the value of any cash, property, or both to which holders of common shares would be entitled to receive, plus the amount of any accrued but unpaid preferred dividends; (iii) any adverse change in the rights, preferences and privileges of the Series A Preferred Stock; or (iv) any amendment of BioTime’s Articles of Incorporation or Bylaws that results in any adverse change in the rights, preferences or privileges of the Series A Preferred Stock; provided, that those voting rights shall not restrict or limit the rights and powers of BioTime’s Board of Directors to fix by resolution the rights, preferences, and privileges of, and restrictions and limitations on, stock ranking as parity stock or junior stock to Series A Preferred Stock.</w:t>
      </w:r>
    </w:p>
    <w:p>
      <w:pPr>
        <w:spacing w:after="0" w:line="174" w:lineRule="exact"/>
        <w:rPr>
          <w:sz w:val="20"/>
          <w:szCs w:val="20"/>
          <w:color w:val="auto"/>
        </w:rPr>
      </w:pPr>
    </w:p>
    <w:p>
      <w:pPr>
        <w:ind w:right="340" w:firstLine="567"/>
        <w:spacing w:after="0" w:line="267" w:lineRule="auto"/>
        <w:rPr>
          <w:sz w:val="20"/>
          <w:szCs w:val="20"/>
          <w:color w:val="auto"/>
        </w:rPr>
      </w:pPr>
      <w:r>
        <w:rPr>
          <w:rFonts w:ascii="Arial" w:cs="Arial" w:eastAsia="Arial" w:hAnsi="Arial"/>
          <w:sz w:val="16"/>
          <w:szCs w:val="16"/>
          <w:color w:val="auto"/>
        </w:rPr>
        <w:t>These consolidated financial statements were approved by management and the Board of Directors, and were issued on March 17, 2014. Subsequent events have been evaluated through that date.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3" w:name="page134"/>
    <w:bookmarkEnd w:id="13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8" w:lineRule="exact"/>
        <w:rPr>
          <w:sz w:val="20"/>
          <w:szCs w:val="20"/>
          <w:color w:val="auto"/>
        </w:rPr>
      </w:pPr>
    </w:p>
    <w:p>
      <w:pPr>
        <w:ind w:right="80" w:firstLine="567"/>
        <w:spacing w:after="0" w:line="250" w:lineRule="auto"/>
        <w:rPr>
          <w:sz w:val="20"/>
          <w:szCs w:val="20"/>
          <w:color w:val="auto"/>
        </w:rPr>
      </w:pPr>
      <w:r>
        <w:rPr>
          <w:rFonts w:ascii="Arial" w:cs="Arial" w:eastAsia="Arial" w:hAnsi="Arial"/>
          <w:sz w:val="16"/>
          <w:szCs w:val="16"/>
          <w:color w:val="auto"/>
        </w:rPr>
        <w:t>It is management’s responsibility to establish and maintain adequate internal control over all financial reporting pursuant to Rule 13a-15 under the Securities Exchange Act of 1934 (“Exchange Act”). Our management, including our principal executive officer, our principal operations officer, and our principal financial officer, have reviewed and evaluated the effectiveness of our disclosure controls and procedures as of a date within ninety (90) days of the filing date of this Annual Report on Form 10-K. Following this review and evaluation</w:t>
      </w:r>
      <w:r>
        <w:rPr>
          <w:rFonts w:ascii="Arial" w:cs="Arial" w:eastAsia="Arial" w:hAnsi="Arial"/>
          <w:sz w:val="16"/>
          <w:szCs w:val="16"/>
          <w:i w:val="1"/>
          <w:iCs w:val="1"/>
          <w:color w:val="auto"/>
        </w:rPr>
        <w:t>,</w:t>
      </w:r>
      <w:r>
        <w:rPr>
          <w:rFonts w:ascii="Arial" w:cs="Arial" w:eastAsia="Arial" w:hAnsi="Arial"/>
          <w:sz w:val="16"/>
          <w:szCs w:val="16"/>
          <w:color w:val="auto"/>
        </w:rPr>
        <w:t xml:space="preserve"> management collectively determined that our disclosure controls and procedures are effective to ensure that information required to be disclosed by us in reports that we file or submit under the Exchange Act (i) is recorded, processed, summarized and reported within the time periods specified in SEC rules and forms; and (ii) is accumulated and communicated to management, including our chief executive officer, our chief operations officer, and our chief financial officer,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8" w:lineRule="exact"/>
        <w:rPr>
          <w:sz w:val="20"/>
          <w:szCs w:val="20"/>
          <w:color w:val="auto"/>
        </w:rPr>
      </w:pPr>
    </w:p>
    <w:p>
      <w:pPr>
        <w:ind w:right="280" w:firstLine="567"/>
        <w:spacing w:after="0" w:line="267" w:lineRule="auto"/>
        <w:rPr>
          <w:sz w:val="20"/>
          <w:szCs w:val="20"/>
          <w:color w:val="auto"/>
        </w:rPr>
      </w:pPr>
      <w:r>
        <w:rPr>
          <w:rFonts w:ascii="Arial" w:cs="Arial" w:eastAsia="Arial" w:hAnsi="Arial"/>
          <w:sz w:val="16"/>
          <w:szCs w:val="16"/>
          <w:color w:val="auto"/>
        </w:rPr>
        <w:t>There were no changes in our internal control over financial reporting that occurred during the period covered by this Annual Report on Form 10-K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Management’s Report on Internal Control over Financial Reporting</w:t>
      </w:r>
    </w:p>
    <w:p>
      <w:pPr>
        <w:spacing w:after="0" w:line="218" w:lineRule="exact"/>
        <w:rPr>
          <w:sz w:val="20"/>
          <w:szCs w:val="20"/>
          <w:color w:val="auto"/>
        </w:rPr>
      </w:pPr>
    </w:p>
    <w:p>
      <w:pPr>
        <w:ind w:right="60" w:firstLine="567"/>
        <w:spacing w:after="0" w:line="301"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Internal control over financial reporting, as defined in Exchange Act Rule 13a-15(f), is a process designed by, or under the supervision of, our principal executive officer, our principal operations officer, and our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61" w:lineRule="exact"/>
        <w:rPr>
          <w:sz w:val="20"/>
          <w:szCs w:val="20"/>
          <w:color w:val="auto"/>
        </w:rPr>
      </w:pPr>
    </w:p>
    <w:p>
      <w:pPr>
        <w:ind w:left="840" w:hanging="278"/>
        <w:spacing w:after="0"/>
        <w:tabs>
          <w:tab w:leader="none" w:pos="840" w:val="left"/>
        </w:tabs>
        <w:numPr>
          <w:ilvl w:val="0"/>
          <w:numId w:val="57"/>
        </w:numPr>
        <w:rPr>
          <w:rFonts w:ascii="Arial" w:cs="Arial" w:eastAsia="Arial" w:hAnsi="Arial"/>
          <w:sz w:val="17"/>
          <w:szCs w:val="17"/>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218" w:lineRule="exact"/>
        <w:rPr>
          <w:rFonts w:ascii="Arial" w:cs="Arial" w:eastAsia="Arial" w:hAnsi="Arial"/>
          <w:sz w:val="17"/>
          <w:szCs w:val="17"/>
          <w:color w:val="auto"/>
        </w:rPr>
      </w:pPr>
    </w:p>
    <w:p>
      <w:pPr>
        <w:ind w:left="840" w:right="20" w:hanging="278"/>
        <w:spacing w:after="0" w:line="285" w:lineRule="auto"/>
        <w:tabs>
          <w:tab w:leader="none" w:pos="840" w:val="left"/>
        </w:tabs>
        <w:numPr>
          <w:ilvl w:val="0"/>
          <w:numId w:val="57"/>
        </w:numPr>
        <w:rPr>
          <w:rFonts w:ascii="Arial" w:cs="Arial" w:eastAsia="Arial" w:hAnsi="Arial"/>
          <w:sz w:val="16"/>
          <w:szCs w:val="16"/>
          <w:color w:val="auto"/>
        </w:rPr>
      </w:pPr>
      <w:r>
        <w:rPr>
          <w:rFonts w:ascii="Arial" w:cs="Arial" w:eastAsia="Arial" w:hAnsi="Arial"/>
          <w:sz w:val="15"/>
          <w:szCs w:val="15"/>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67" w:lineRule="exact"/>
        <w:rPr>
          <w:rFonts w:ascii="Arial" w:cs="Arial" w:eastAsia="Arial" w:hAnsi="Arial"/>
          <w:sz w:val="16"/>
          <w:szCs w:val="16"/>
          <w:color w:val="auto"/>
        </w:rPr>
      </w:pPr>
    </w:p>
    <w:p>
      <w:pPr>
        <w:ind w:left="840" w:right="120" w:hanging="278"/>
        <w:spacing w:after="0" w:line="252" w:lineRule="auto"/>
        <w:tabs>
          <w:tab w:leader="none" w:pos="840" w:val="left"/>
        </w:tabs>
        <w:numPr>
          <w:ilvl w:val="0"/>
          <w:numId w:val="57"/>
        </w:numPr>
        <w:rPr>
          <w:rFonts w:ascii="Arial" w:cs="Arial" w:eastAsia="Arial" w:hAnsi="Arial"/>
          <w:sz w:val="17"/>
          <w:szCs w:val="17"/>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the financial statements.</w:t>
      </w:r>
    </w:p>
    <w:p>
      <w:pPr>
        <w:spacing w:after="0" w:line="192" w:lineRule="exact"/>
        <w:rPr>
          <w:sz w:val="20"/>
          <w:szCs w:val="20"/>
          <w:color w:val="auto"/>
        </w:rPr>
      </w:pPr>
    </w:p>
    <w:p>
      <w:pPr>
        <w:ind w:firstLine="567"/>
        <w:spacing w:after="0" w:line="25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All internal control systems, no matter how well designed, have inherent limitations. Therefore, even those systems determined to be effective can provide only reasonable assurance with respect to financial statement preparation and presentation. The scope of management’s assessment of the effectiveness of internal control over financial reporting includes our consolidated subsidiaries.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34" w:name="page135"/>
    <w:bookmarkEnd w:id="13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7" w:lineRule="exact"/>
        <w:rPr>
          <w:sz w:val="20"/>
          <w:szCs w:val="20"/>
          <w:color w:val="auto"/>
        </w:rPr>
      </w:pPr>
    </w:p>
    <w:p>
      <w:pPr>
        <w:ind w:right="360" w:firstLine="567"/>
        <w:spacing w:after="0" w:line="340" w:lineRule="auto"/>
        <w:rPr>
          <w:sz w:val="20"/>
          <w:szCs w:val="20"/>
          <w:color w:val="auto"/>
        </w:rPr>
      </w:pPr>
      <w:r>
        <w:rPr>
          <w:rFonts w:ascii="Arial" w:cs="Arial" w:eastAsia="Arial" w:hAnsi="Arial"/>
          <w:sz w:val="14"/>
          <w:szCs w:val="14"/>
          <w:color w:val="auto"/>
        </w:rPr>
        <w:t>Our management assessed the effectiveness of our internal control over financial reporting as of December 31, 2013, based on criteria established in Internal Control - Integrated Framework issued by COSO. Based on this assessment, management believes that, as of that date, our internal control over financial reporting was effective.</w:t>
      </w:r>
    </w:p>
    <w:p>
      <w:pPr>
        <w:spacing w:after="0" w:line="135"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This annual report includes an attestation report of our registered public accounting firm regarding internal control over financial reporting for the year ended December 31, 2013. The attestation is included in the accounting firm's report on our audited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135" w:name="page136"/>
    <w:bookmarkEnd w:id="13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 Executive Officers, and Corporate Governance</w:t>
      </w:r>
    </w:p>
    <w:p>
      <w:pPr>
        <w:spacing w:after="0" w:line="222" w:lineRule="exact"/>
        <w:rPr>
          <w:sz w:val="20"/>
          <w:szCs w:val="20"/>
          <w:color w:val="auto"/>
        </w:rPr>
      </w:pPr>
    </w:p>
    <w:p>
      <w:pPr>
        <w:jc w:val="both"/>
        <w:ind w:right="180" w:firstLine="567"/>
        <w:spacing w:after="0" w:line="311" w:lineRule="auto"/>
        <w:rPr>
          <w:sz w:val="20"/>
          <w:szCs w:val="20"/>
          <w:color w:val="auto"/>
        </w:rPr>
      </w:pPr>
      <w:r>
        <w:rPr>
          <w:rFonts w:ascii="Arial" w:cs="Arial" w:eastAsia="Arial" w:hAnsi="Arial"/>
          <w:sz w:val="14"/>
          <w:szCs w:val="14"/>
          <w:color w:val="auto"/>
        </w:rPr>
        <w:t>The name, age, and background of each of our directors are contained under the caption “Election of Directors” in our Proxy Statement for our 2014 Annual Meeting of Shareholders, and are incorporated herein by reference. Information about our executive officers, committees of the Board of Directors, and compensation of directors is reported under the caption “Corporate Governance” in our Proxy Statement for our 2014 Annual Meeting of Shareholders, and is incorporated herein by reference.</w:t>
      </w:r>
    </w:p>
    <w:p>
      <w:pPr>
        <w:spacing w:after="0" w:line="154" w:lineRule="exact"/>
        <w:rPr>
          <w:sz w:val="20"/>
          <w:szCs w:val="20"/>
          <w:color w:val="auto"/>
        </w:rPr>
      </w:pPr>
    </w:p>
    <w:p>
      <w:pPr>
        <w:ind w:right="20" w:firstLine="567"/>
        <w:spacing w:after="0" w:line="269" w:lineRule="auto"/>
        <w:rPr>
          <w:sz w:val="20"/>
          <w:szCs w:val="20"/>
          <w:color w:val="auto"/>
        </w:rPr>
      </w:pPr>
      <w:r>
        <w:rPr>
          <w:rFonts w:ascii="Arial" w:cs="Arial" w:eastAsia="Arial" w:hAnsi="Arial"/>
          <w:sz w:val="15"/>
          <w:szCs w:val="15"/>
          <w:color w:val="auto"/>
        </w:rPr>
        <w:t xml:space="preserve">We have a written Code of Ethics that applies to our principal executive officer, our principal financial officer and accounting officer, our other executive officers, and our directors. The purpose of the Code of Ethics is to promote (i) honest and ethical conduct, including the ethical handling of actual or apparent conflicts of interest between personal and professional relationships; (ii) full, fair, accurate, timely, and understandable disclosure in reports and documents that we file with or submit to the Securities and Exchange Commission and in our other public communications; (iii) compliance with applicable governmental rules and regulations; (iv) prompt internal reporting of violations of the Code to an appropriate person or persons identified in the Code; and (v) accountability for adherence to the Code. A copy of our Code of Ethics has been posted on our internet website and can be found at </w:t>
      </w:r>
      <w:r>
        <w:rPr>
          <w:rFonts w:ascii="Arial" w:cs="Arial" w:eastAsia="Arial" w:hAnsi="Arial"/>
          <w:sz w:val="15"/>
          <w:szCs w:val="15"/>
          <w:i w:val="1"/>
          <w:iCs w:val="1"/>
          <w:u w:val="single" w:color="auto"/>
          <w:color w:val="auto"/>
        </w:rPr>
        <w:t>www.biotimeinc.com</w:t>
      </w:r>
      <w:r>
        <w:rPr>
          <w:rFonts w:ascii="Arial" w:cs="Arial" w:eastAsia="Arial" w:hAnsi="Arial"/>
          <w:sz w:val="15"/>
          <w:szCs w:val="15"/>
          <w:color w:val="auto"/>
        </w:rPr>
        <w:t>. If we amend or waive a provision of our Code of Ethics that applies to our chief executive officer or chief financial officer, we will post the amended Code of Ethics or information about the waiver on our internet website.</w:t>
      </w:r>
    </w:p>
    <w:p>
      <w:pPr>
        <w:spacing w:after="0" w:line="183"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Information about our compliance with Section 16(a) of the Securities Exchange Act of 1934 is reported under the caption “Compliance with Section 16(a) of the Securities Exchange Act of 1934” in our Proxy Statement for our 2014 Annual Meeting of Shareholders,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22" w:lineRule="exact"/>
        <w:rPr>
          <w:sz w:val="20"/>
          <w:szCs w:val="20"/>
          <w:color w:val="auto"/>
        </w:rPr>
      </w:pPr>
    </w:p>
    <w:p>
      <w:pPr>
        <w:ind w:right="260" w:firstLine="567"/>
        <w:spacing w:after="0" w:line="267" w:lineRule="auto"/>
        <w:rPr>
          <w:sz w:val="20"/>
          <w:szCs w:val="20"/>
          <w:color w:val="auto"/>
        </w:rPr>
      </w:pPr>
      <w:r>
        <w:rPr>
          <w:rFonts w:ascii="Arial" w:cs="Arial" w:eastAsia="Arial" w:hAnsi="Arial"/>
          <w:sz w:val="16"/>
          <w:szCs w:val="16"/>
          <w:color w:val="auto"/>
        </w:rPr>
        <w:t>Information on compensation of our executive officers is reported under the caption “Executive Compensation” in our Proxy Statement for our 2014 Annual Meeting of Shareholders,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22" w:lineRule="exact"/>
        <w:rPr>
          <w:sz w:val="20"/>
          <w:szCs w:val="20"/>
          <w:color w:val="auto"/>
        </w:rPr>
      </w:pPr>
    </w:p>
    <w:p>
      <w:pPr>
        <w:ind w:firstLine="567"/>
        <w:spacing w:after="0" w:line="257" w:lineRule="auto"/>
        <w:rPr>
          <w:sz w:val="20"/>
          <w:szCs w:val="20"/>
          <w:color w:val="auto"/>
        </w:rPr>
      </w:pPr>
      <w:r>
        <w:rPr>
          <w:rFonts w:ascii="Arial" w:cs="Arial" w:eastAsia="Arial" w:hAnsi="Arial"/>
          <w:sz w:val="16"/>
          <w:szCs w:val="16"/>
          <w:color w:val="auto"/>
        </w:rPr>
        <w:t>Information on the number of common shares of BioTime beneficially owned by each shareholder known by us to be the beneficial owner of 5% or more of our common shares, and by each director and named executive officer, and by all directors and named executive officers as a group, is contained under the caption “Principal Shareholders” in our Proxy Statement for our 2014 Annual Meeting of Shareholders, and is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22" w:lineRule="exact"/>
        <w:rPr>
          <w:sz w:val="20"/>
          <w:szCs w:val="20"/>
          <w:color w:val="auto"/>
        </w:rPr>
      </w:pPr>
    </w:p>
    <w:p>
      <w:pPr>
        <w:ind w:right="200" w:firstLine="567"/>
        <w:spacing w:after="0" w:line="301" w:lineRule="auto"/>
        <w:rPr>
          <w:sz w:val="20"/>
          <w:szCs w:val="20"/>
          <w:color w:val="auto"/>
        </w:rPr>
      </w:pPr>
      <w:r>
        <w:rPr>
          <w:rFonts w:ascii="Arial" w:cs="Arial" w:eastAsia="Arial" w:hAnsi="Arial"/>
          <w:sz w:val="15"/>
          <w:szCs w:val="15"/>
          <w:color w:val="auto"/>
        </w:rPr>
        <w:t>Information about transactions with related persons; review, and approval or ratification of transactions with related persons; and director independence is reported under the caption “Election of Directors” in our Proxy Statement for our 2014 Annual Meeting of Shareholders,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222" w:lineRule="exact"/>
        <w:rPr>
          <w:sz w:val="20"/>
          <w:szCs w:val="20"/>
          <w:color w:val="auto"/>
        </w:rPr>
      </w:pPr>
    </w:p>
    <w:p>
      <w:pPr>
        <w:ind w:right="20" w:firstLine="567"/>
        <w:spacing w:after="0" w:line="340" w:lineRule="auto"/>
        <w:rPr>
          <w:sz w:val="20"/>
          <w:szCs w:val="20"/>
          <w:color w:val="auto"/>
        </w:rPr>
      </w:pPr>
      <w:r>
        <w:rPr>
          <w:rFonts w:ascii="Arial" w:cs="Arial" w:eastAsia="Arial" w:hAnsi="Arial"/>
          <w:sz w:val="14"/>
          <w:szCs w:val="14"/>
          <w:color w:val="auto"/>
        </w:rPr>
        <w:t>Information about our Audit Committee’s pre-approval policy for audit services, and information on our principal accounting fees and services is reported under the caption “Ratification of the Selection of Our Independent Auditors” in our Proxy Statement for our 2014 Annual Meeting of Shareholders, and is incorporated herein by reference.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6" w:name="page137"/>
    <w:bookmarkEnd w:id="13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(a-1) Financial Statements.</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financial statements of BioTime, Inc. are filed in the Form 10-K:</w:t>
      </w:r>
    </w:p>
    <w:p>
      <w:pPr>
        <w:spacing w:after="0" w:line="21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Consolidated balance sheets</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Consolidated statements of operations</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Consolidated statements of shareholders' deficit</w:t>
      </w:r>
    </w:p>
    <w:p>
      <w:pPr>
        <w:spacing w:after="0" w:line="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Consolidated statements of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Notes to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(a-2) Financial Statement Schedules</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schedules are omitted because the required information is inapplicable or the information is presented in the financial statements or the notes thereto.</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20" w:type="dxa"/>
            <w:vAlign w:val="bottom"/>
            <w:gridSpan w:val="2"/>
          </w:tcPr>
          <w:p>
            <w:pPr>
              <w:spacing w:after="0"/>
              <w:rPr>
                <w:sz w:val="20"/>
                <w:szCs w:val="20"/>
                <w:color w:val="auto"/>
              </w:rPr>
            </w:pPr>
            <w:r>
              <w:rPr>
                <w:rFonts w:ascii="Arial" w:cs="Arial" w:eastAsia="Arial" w:hAnsi="Arial"/>
                <w:sz w:val="16"/>
                <w:szCs w:val="16"/>
                <w:color w:val="auto"/>
              </w:rPr>
              <w:t>(a-3) Exhibits.</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60" w:type="dxa"/>
            <w:vAlign w:val="bottom"/>
          </w:tcPr>
          <w:p>
            <w:pPr>
              <w:spacing w:after="0"/>
              <w:rPr>
                <w:sz w:val="17"/>
                <w:szCs w:val="17"/>
                <w:color w:val="auto"/>
              </w:rPr>
            </w:pPr>
          </w:p>
        </w:tc>
      </w:tr>
      <w:tr>
        <w:trPr>
          <w:trHeight w:val="391"/>
        </w:trPr>
        <w:tc>
          <w:tcPr>
            <w:tcW w:w="102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560" w:type="dxa"/>
            <w:vAlign w:val="bottom"/>
          </w:tcPr>
          <w:p>
            <w:pPr>
              <w:spacing w:after="0"/>
              <w:rPr>
                <w:sz w:val="24"/>
                <w:szCs w:val="24"/>
                <w:color w:val="auto"/>
              </w:rPr>
            </w:pPr>
          </w:p>
        </w:tc>
      </w:tr>
      <w:tr>
        <w:trPr>
          <w:trHeight w:val="166"/>
        </w:trPr>
        <w:tc>
          <w:tcPr>
            <w:tcW w:w="580" w:type="dxa"/>
            <w:vAlign w:val="bottom"/>
          </w:tcPr>
          <w:p>
            <w:pPr>
              <w:spacing w:after="0" w:line="166" w:lineRule="exact"/>
              <w:rPr>
                <w:sz w:val="20"/>
                <w:szCs w:val="20"/>
                <w:color w:val="auto"/>
              </w:rPr>
            </w:pPr>
            <w:r>
              <w:rPr>
                <w:rFonts w:ascii="Arial" w:cs="Arial" w:eastAsia="Arial" w:hAnsi="Arial"/>
                <w:sz w:val="16"/>
                <w:szCs w:val="16"/>
                <w:color w:val="auto"/>
                <w:w w:val="86"/>
              </w:rPr>
              <w:t>Numbers</w:t>
            </w:r>
          </w:p>
        </w:tc>
        <w:tc>
          <w:tcPr>
            <w:tcW w:w="440" w:type="dxa"/>
            <w:vAlign w:val="bottom"/>
          </w:tcPr>
          <w:p>
            <w:pPr>
              <w:spacing w:after="0"/>
              <w:rPr>
                <w:sz w:val="14"/>
                <w:szCs w:val="14"/>
                <w:color w:val="auto"/>
              </w:rPr>
            </w:pPr>
          </w:p>
        </w:tc>
        <w:tc>
          <w:tcPr>
            <w:tcW w:w="10420" w:type="dxa"/>
            <w:vAlign w:val="bottom"/>
            <w:gridSpan w:val="3"/>
          </w:tcPr>
          <w:p>
            <w:pPr>
              <w:ind w:left="140"/>
              <w:spacing w:after="0" w:line="166" w:lineRule="exact"/>
              <w:rPr>
                <w:sz w:val="20"/>
                <w:szCs w:val="20"/>
                <w:color w:val="auto"/>
              </w:rPr>
            </w:pPr>
            <w:r>
              <w:rPr>
                <w:rFonts w:ascii="Arial" w:cs="Arial" w:eastAsia="Arial" w:hAnsi="Arial"/>
                <w:sz w:val="16"/>
                <w:szCs w:val="16"/>
                <w:color w:val="auto"/>
              </w:rPr>
              <w:t>Description</w:t>
            </w:r>
          </w:p>
        </w:tc>
      </w:tr>
      <w:tr>
        <w:trPr>
          <w:trHeight w:val="28"/>
        </w:trPr>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560" w:type="dxa"/>
            <w:vAlign w:val="bottom"/>
          </w:tcPr>
          <w:p>
            <w:pPr>
              <w:spacing w:after="0"/>
              <w:rPr>
                <w:sz w:val="2"/>
                <w:szCs w:val="2"/>
                <w:color w:val="auto"/>
              </w:rPr>
            </w:pPr>
          </w:p>
        </w:tc>
      </w:tr>
      <w:tr>
        <w:trPr>
          <w:trHeight w:val="197"/>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2.1</w:t>
            </w:r>
          </w:p>
        </w:tc>
        <w:tc>
          <w:tcPr>
            <w:tcW w:w="440" w:type="dxa"/>
            <w:vAlign w:val="bottom"/>
            <w:shd w:val="clear" w:color="auto" w:fill="CCEEFF"/>
          </w:tcPr>
          <w:p>
            <w:pPr>
              <w:spacing w:after="0"/>
              <w:rPr>
                <w:sz w:val="17"/>
                <w:szCs w:val="17"/>
                <w:color w:val="auto"/>
              </w:rPr>
            </w:pPr>
          </w:p>
        </w:tc>
        <w:tc>
          <w:tcPr>
            <w:tcW w:w="10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Agreement and Plan of Merger, dated February 11, 2010, between Glycosan BioSystems, Inc., OrthoCyte Corporation, and BioTime, Inc. (1)</w:t>
            </w:r>
          </w:p>
        </w:tc>
      </w:tr>
      <w:tr>
        <w:trPr>
          <w:trHeight w:val="189"/>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77"/>
        </w:trPr>
        <w:tc>
          <w:tcPr>
            <w:tcW w:w="5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2.2</w:t>
            </w:r>
          </w:p>
        </w:tc>
        <w:tc>
          <w:tcPr>
            <w:tcW w:w="440" w:type="dxa"/>
            <w:vAlign w:val="bottom"/>
            <w:shd w:val="clear" w:color="auto" w:fill="CCEEFF"/>
          </w:tcPr>
          <w:p>
            <w:pPr>
              <w:spacing w:after="0"/>
              <w:rPr>
                <w:sz w:val="15"/>
                <w:szCs w:val="15"/>
                <w:color w:val="auto"/>
              </w:rPr>
            </w:pPr>
          </w:p>
        </w:tc>
        <w:tc>
          <w:tcPr>
            <w:tcW w:w="10420" w:type="dxa"/>
            <w:vAlign w:val="bottom"/>
            <w:gridSpan w:val="3"/>
            <w:shd w:val="clear" w:color="auto" w:fill="CCEEFF"/>
          </w:tcPr>
          <w:p>
            <w:pPr>
              <w:ind w:left="140"/>
              <w:spacing w:after="0" w:line="177" w:lineRule="exact"/>
              <w:rPr>
                <w:sz w:val="20"/>
                <w:szCs w:val="20"/>
                <w:color w:val="auto"/>
              </w:rPr>
            </w:pPr>
            <w:r>
              <w:rPr>
                <w:rFonts w:ascii="Arial" w:cs="Arial" w:eastAsia="Arial" w:hAnsi="Arial"/>
                <w:sz w:val="16"/>
                <w:szCs w:val="16"/>
                <w:color w:val="auto"/>
                <w:w w:val="91"/>
              </w:rPr>
              <w:t>Agreement and Plan of Merger, dated April 19, 2012, by and among XenneX, Inc., LifeMap Sciences, Inc., BioTime, Inc. and the stockholders of XenneX, Inc.</w:t>
            </w:r>
          </w:p>
        </w:tc>
      </w:tr>
      <w:tr>
        <w:trPr>
          <w:trHeight w:val="202"/>
        </w:trPr>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named therein. (Portions of this exhibit have been omitted pursuant to a request for confidential treatment). (2)</w:t>
            </w:r>
          </w:p>
        </w:tc>
      </w:tr>
      <w:tr>
        <w:trPr>
          <w:trHeight w:val="189"/>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77"/>
        </w:trPr>
        <w:tc>
          <w:tcPr>
            <w:tcW w:w="5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2.3</w:t>
            </w:r>
          </w:p>
        </w:tc>
        <w:tc>
          <w:tcPr>
            <w:tcW w:w="440" w:type="dxa"/>
            <w:vAlign w:val="bottom"/>
            <w:shd w:val="clear" w:color="auto" w:fill="CCEEFF"/>
          </w:tcPr>
          <w:p>
            <w:pPr>
              <w:spacing w:after="0"/>
              <w:rPr>
                <w:sz w:val="15"/>
                <w:szCs w:val="15"/>
                <w:color w:val="auto"/>
              </w:rPr>
            </w:pPr>
          </w:p>
        </w:tc>
        <w:tc>
          <w:tcPr>
            <w:tcW w:w="10420" w:type="dxa"/>
            <w:vAlign w:val="bottom"/>
            <w:gridSpan w:val="3"/>
            <w:shd w:val="clear" w:color="auto" w:fill="CCEEFF"/>
          </w:tcPr>
          <w:p>
            <w:pPr>
              <w:ind w:left="140"/>
              <w:spacing w:after="0" w:line="177" w:lineRule="exact"/>
              <w:rPr>
                <w:sz w:val="20"/>
                <w:szCs w:val="20"/>
                <w:color w:val="auto"/>
              </w:rPr>
            </w:pPr>
            <w:r>
              <w:rPr>
                <w:rFonts w:ascii="Arial" w:cs="Arial" w:eastAsia="Arial" w:hAnsi="Arial"/>
                <w:sz w:val="16"/>
                <w:szCs w:val="16"/>
                <w:color w:val="auto"/>
                <w:w w:val="90"/>
              </w:rPr>
              <w:t>Asset Contribution Agreement, dated January 4, 2013, by and among BioTime, Inc., BioTime Acquisition Corporation, and Geron Corporation. Schedules to the</w:t>
            </w:r>
          </w:p>
        </w:tc>
      </w:tr>
      <w:tr>
        <w:trPr>
          <w:trHeight w:val="202"/>
        </w:trPr>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89"/>
              </w:rPr>
              <w:t>Asset Contribution Agreement have been omitted. BioTime agrees to furnish supplementally a copy of the omitted schedules to the Commission upon request. (3)</w:t>
            </w:r>
          </w:p>
        </w:tc>
      </w:tr>
      <w:tr>
        <w:trPr>
          <w:trHeight w:val="189"/>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3.1</w:t>
            </w:r>
          </w:p>
        </w:tc>
        <w:tc>
          <w:tcPr>
            <w:tcW w:w="440" w:type="dxa"/>
            <w:vAlign w:val="bottom"/>
            <w:shd w:val="clear" w:color="auto" w:fill="CCEEFF"/>
          </w:tcPr>
          <w:p>
            <w:pPr>
              <w:spacing w:after="0"/>
              <w:rPr>
                <w:sz w:val="16"/>
                <w:szCs w:val="16"/>
                <w:color w:val="auto"/>
              </w:rPr>
            </w:pPr>
          </w:p>
        </w:tc>
        <w:tc>
          <w:tcPr>
            <w:tcW w:w="10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Articles of Incorporation with all amendments (25)</w:t>
            </w:r>
          </w:p>
        </w:tc>
      </w:tr>
      <w:tr>
        <w:trPr>
          <w:trHeight w:val="189"/>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3.2</w:t>
            </w:r>
          </w:p>
        </w:tc>
        <w:tc>
          <w:tcPr>
            <w:tcW w:w="440" w:type="dxa"/>
            <w:vAlign w:val="bottom"/>
            <w:shd w:val="clear" w:color="auto" w:fill="CCEEFF"/>
          </w:tcPr>
          <w:p>
            <w:pPr>
              <w:spacing w:after="0"/>
              <w:rPr>
                <w:sz w:val="16"/>
                <w:szCs w:val="16"/>
                <w:color w:val="auto"/>
              </w:rPr>
            </w:pPr>
          </w:p>
        </w:tc>
        <w:tc>
          <w:tcPr>
            <w:tcW w:w="10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By-Laws, As Amended. (4)</w:t>
            </w:r>
          </w:p>
        </w:tc>
      </w:tr>
      <w:tr>
        <w:trPr>
          <w:trHeight w:val="189"/>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4.1</w:t>
            </w:r>
          </w:p>
        </w:tc>
        <w:tc>
          <w:tcPr>
            <w:tcW w:w="440" w:type="dxa"/>
            <w:vAlign w:val="bottom"/>
            <w:shd w:val="clear" w:color="auto" w:fill="CCEEFF"/>
          </w:tcPr>
          <w:p>
            <w:pPr>
              <w:spacing w:after="0"/>
              <w:rPr>
                <w:sz w:val="16"/>
                <w:szCs w:val="16"/>
                <w:color w:val="auto"/>
              </w:rPr>
            </w:pPr>
          </w:p>
        </w:tc>
        <w:tc>
          <w:tcPr>
            <w:tcW w:w="10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Specimen of Common Share Certificate. (5)</w:t>
            </w:r>
          </w:p>
        </w:tc>
      </w:tr>
      <w:tr>
        <w:trPr>
          <w:trHeight w:val="189"/>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4.2</w:t>
            </w:r>
          </w:p>
        </w:tc>
        <w:tc>
          <w:tcPr>
            <w:tcW w:w="440" w:type="dxa"/>
            <w:vAlign w:val="bottom"/>
            <w:shd w:val="clear" w:color="auto" w:fill="CCEEFF"/>
          </w:tcPr>
          <w:p>
            <w:pPr>
              <w:spacing w:after="0"/>
              <w:rPr>
                <w:sz w:val="16"/>
                <w:szCs w:val="16"/>
                <w:color w:val="auto"/>
              </w:rPr>
            </w:pPr>
          </w:p>
        </w:tc>
        <w:tc>
          <w:tcPr>
            <w:tcW w:w="10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Specimen of Series A Convertible Preferred Stock Certificate (6)</w:t>
            </w:r>
          </w:p>
        </w:tc>
      </w:tr>
      <w:tr>
        <w:trPr>
          <w:trHeight w:val="189"/>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4.3</w:t>
            </w:r>
          </w:p>
        </w:tc>
        <w:tc>
          <w:tcPr>
            <w:tcW w:w="440" w:type="dxa"/>
            <w:vAlign w:val="bottom"/>
            <w:shd w:val="clear" w:color="auto" w:fill="CCEEFF"/>
          </w:tcPr>
          <w:p>
            <w:pPr>
              <w:spacing w:after="0"/>
              <w:rPr>
                <w:sz w:val="16"/>
                <w:szCs w:val="16"/>
                <w:color w:val="auto"/>
              </w:rPr>
            </w:pPr>
          </w:p>
        </w:tc>
        <w:tc>
          <w:tcPr>
            <w:tcW w:w="10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Certificate of Determination of Series A Convertible Preferred Stock (6)</w:t>
            </w:r>
          </w:p>
        </w:tc>
      </w:tr>
      <w:tr>
        <w:trPr>
          <w:trHeight w:val="189"/>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4.4</w:t>
            </w:r>
          </w:p>
        </w:tc>
        <w:tc>
          <w:tcPr>
            <w:tcW w:w="440" w:type="dxa"/>
            <w:vAlign w:val="bottom"/>
            <w:shd w:val="clear" w:color="auto" w:fill="CCEEFF"/>
          </w:tcPr>
          <w:p>
            <w:pPr>
              <w:spacing w:after="0"/>
              <w:rPr>
                <w:sz w:val="16"/>
                <w:szCs w:val="16"/>
                <w:color w:val="auto"/>
              </w:rPr>
            </w:pPr>
          </w:p>
        </w:tc>
        <w:tc>
          <w:tcPr>
            <w:tcW w:w="10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Warrant Agreement between BioTime, Inc., Broadwood Partners, L.P., and George Karfunkel. (7)</w:t>
            </w:r>
          </w:p>
        </w:tc>
      </w:tr>
      <w:tr>
        <w:trPr>
          <w:trHeight w:val="189"/>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4.5</w:t>
            </w:r>
          </w:p>
        </w:tc>
        <w:tc>
          <w:tcPr>
            <w:tcW w:w="440" w:type="dxa"/>
            <w:vAlign w:val="bottom"/>
            <w:shd w:val="clear" w:color="auto" w:fill="CCEEFF"/>
          </w:tcPr>
          <w:p>
            <w:pPr>
              <w:spacing w:after="0"/>
              <w:rPr>
                <w:sz w:val="16"/>
                <w:szCs w:val="16"/>
                <w:color w:val="auto"/>
              </w:rPr>
            </w:pPr>
          </w:p>
        </w:tc>
        <w:tc>
          <w:tcPr>
            <w:tcW w:w="10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Form of Warrant. (7)</w:t>
            </w:r>
          </w:p>
        </w:tc>
      </w:tr>
      <w:tr>
        <w:trPr>
          <w:trHeight w:val="189"/>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4.6</w:t>
            </w:r>
          </w:p>
        </w:tc>
        <w:tc>
          <w:tcPr>
            <w:tcW w:w="440" w:type="dxa"/>
            <w:vAlign w:val="bottom"/>
            <w:shd w:val="clear" w:color="auto" w:fill="CCEEFF"/>
          </w:tcPr>
          <w:p>
            <w:pPr>
              <w:spacing w:after="0"/>
              <w:rPr>
                <w:sz w:val="16"/>
                <w:szCs w:val="16"/>
                <w:color w:val="auto"/>
              </w:rPr>
            </w:pPr>
          </w:p>
        </w:tc>
        <w:tc>
          <w:tcPr>
            <w:tcW w:w="10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Warrant Agreement between BioTime, Inc. and Biomedical Sciences Investment Fund Pte. Ltd. (8)</w:t>
            </w:r>
          </w:p>
        </w:tc>
      </w:tr>
      <w:tr>
        <w:trPr>
          <w:trHeight w:val="189"/>
        </w:trPr>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4.7</w:t>
            </w:r>
          </w:p>
        </w:tc>
        <w:tc>
          <w:tcPr>
            <w:tcW w:w="440" w:type="dxa"/>
            <w:vAlign w:val="bottom"/>
            <w:shd w:val="clear" w:color="auto" w:fill="CCEEFF"/>
          </w:tcPr>
          <w:p>
            <w:pPr>
              <w:spacing w:after="0"/>
              <w:rPr>
                <w:sz w:val="16"/>
                <w:szCs w:val="16"/>
                <w:color w:val="auto"/>
              </w:rPr>
            </w:pPr>
          </w:p>
        </w:tc>
        <w:tc>
          <w:tcPr>
            <w:tcW w:w="104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Warrant Agreement between BioTime, Inc. and Romulus Films, Ltd. (9)</w:t>
            </w:r>
          </w:p>
        </w:tc>
      </w:tr>
      <w:tr>
        <w:trPr>
          <w:trHeight w:val="712"/>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20" w:type="dxa"/>
            <w:vAlign w:val="bottom"/>
            <w:gridSpan w:val="3"/>
          </w:tcPr>
          <w:p>
            <w:pPr>
              <w:ind w:left="4600"/>
              <w:spacing w:after="0"/>
              <w:rPr>
                <w:sz w:val="20"/>
                <w:szCs w:val="20"/>
                <w:color w:val="auto"/>
              </w:rPr>
            </w:pPr>
            <w:r>
              <w:rPr>
                <w:rFonts w:ascii="Arial" w:cs="Arial" w:eastAsia="Arial" w:hAnsi="Arial"/>
                <w:sz w:val="13"/>
                <w:szCs w:val="13"/>
                <w:color w:val="auto"/>
              </w:rPr>
              <w:t>137</w:t>
            </w:r>
          </w:p>
        </w:tc>
      </w:tr>
      <w:tr>
        <w:trPr>
          <w:trHeight w:val="37"/>
        </w:trPr>
        <w:tc>
          <w:tcPr>
            <w:tcW w:w="5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956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4" w:right="21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10560" w:type="dxa"/>
            <w:vAlign w:val="bottom"/>
          </w:tcPr>
          <w:p>
            <w:pPr>
              <w:spacing w:after="0"/>
              <w:rPr>
                <w:sz w:val="13"/>
                <w:szCs w:val="13"/>
                <w:color w:val="auto"/>
              </w:rPr>
            </w:pPr>
          </w:p>
        </w:tc>
      </w:tr>
      <w:tr>
        <w:trPr>
          <w:trHeight w:val="145"/>
        </w:trPr>
        <w:tc>
          <w:tcPr>
            <w:tcW w:w="880" w:type="dxa"/>
            <w:vAlign w:val="bottom"/>
          </w:tcPr>
          <w:p>
            <w:pPr>
              <w:spacing w:after="0"/>
              <w:rPr>
                <w:sz w:val="12"/>
                <w:szCs w:val="12"/>
                <w:color w:val="auto"/>
              </w:rPr>
            </w:pPr>
          </w:p>
        </w:tc>
        <w:tc>
          <w:tcPr>
            <w:tcW w:w="10560" w:type="dxa"/>
            <w:vAlign w:val="bottom"/>
          </w:tcPr>
          <w:p>
            <w:pPr>
              <w:spacing w:after="0"/>
              <w:rPr>
                <w:sz w:val="12"/>
                <w:szCs w:val="12"/>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4.8</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Form of Warrant. (included in Exhibit 4.7) (9)</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4.9</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Form of Warrant Issued June 2013 (10)</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4.10</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89"/>
              </w:rPr>
              <w:t>Warrant Agreement, dated as of October 1, 2013, between BioTime, Inc. and American Stock Transfer &amp; Trust Company, LLC as Warrant Agent for the benefit of</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Asterias Biotherapeutics, Inc. (11)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4.11</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Warrant Issued October 1, 2013 to Asterias Biotherapeutics, Inc. (included in Exhibit 4.6) (11)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Intellectual Property Agreement between BioTime, Inc. and Hal Sternberg. (6)</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10.2</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Intellectual Property Agreement between BioTime, Inc. and Judith Segall. (6)</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10.3</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2002 Stock Option Plan, as amended. (12)</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10.4</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2"/>
              </w:rPr>
              <w:t>Exclusive License Agreement between Abbott Laboratories and BioTime, Inc. (Portions of this exhibit have been omitted pursuant to a request for confidential</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treatment) (13)</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10.5</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0"/>
              </w:rPr>
              <w:t>Modification of Exclusive License Agreement between Abbott Laboratories and BioTime, Inc. (Portions of this exhibit have been omitted pursuant to a request for</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confidential treatment). (14)</w:t>
            </w:r>
          </w:p>
        </w:tc>
      </w:tr>
      <w:tr>
        <w:trPr>
          <w:trHeight w:val="213"/>
        </w:trPr>
        <w:tc>
          <w:tcPr>
            <w:tcW w:w="88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10.6</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Exclusive License Agreement between BioTime, Inc. and CJ Corp. (15)</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10.7</w:t>
            </w:r>
          </w:p>
        </w:tc>
        <w:tc>
          <w:tcPr>
            <w:tcW w:w="10560" w:type="dxa"/>
            <w:vAlign w:val="bottom"/>
            <w:shd w:val="clear" w:color="auto" w:fill="CCEEFF"/>
          </w:tcPr>
          <w:p>
            <w:pPr>
              <w:ind w:left="280"/>
              <w:spacing w:after="0" w:line="189" w:lineRule="exact"/>
              <w:rPr>
                <w:sz w:val="20"/>
                <w:szCs w:val="20"/>
                <w:color w:val="auto"/>
              </w:rPr>
            </w:pPr>
            <w:r>
              <w:rPr>
                <w:rFonts w:ascii="Arial" w:cs="Arial" w:eastAsia="Arial" w:hAnsi="Arial"/>
                <w:sz w:val="13"/>
                <w:szCs w:val="13"/>
                <w:i w:val="1"/>
                <w:iCs w:val="1"/>
                <w:color w:val="auto"/>
              </w:rPr>
              <w:t>Hextend</w:t>
            </w:r>
            <w:r>
              <w:rPr>
                <w:rFonts w:ascii="Arial" w:cs="Arial" w:eastAsia="Arial" w:hAnsi="Arial"/>
                <w:sz w:val="21"/>
                <w:szCs w:val="2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and</w:t>
            </w:r>
            <w:r>
              <w:rPr>
                <w:rFonts w:ascii="Arial" w:cs="Arial" w:eastAsia="Arial" w:hAnsi="Arial"/>
                <w:sz w:val="13"/>
                <w:szCs w:val="13"/>
                <w:i w:val="1"/>
                <w:iCs w:val="1"/>
                <w:color w:val="auto"/>
              </w:rPr>
              <w:t xml:space="preserve"> PentaLyte</w:t>
            </w:r>
            <w:r>
              <w:rPr>
                <w:rFonts w:ascii="Arial" w:cs="Arial" w:eastAsia="Arial" w:hAnsi="Arial"/>
                <w:sz w:val="21"/>
                <w:szCs w:val="2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Collaboration Agreement between BioTime, Inc. and Summit Pharmaceuticals International Corporation (16)</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10.8</w:t>
            </w:r>
          </w:p>
        </w:tc>
        <w:tc>
          <w:tcPr>
            <w:tcW w:w="10560" w:type="dxa"/>
            <w:vAlign w:val="bottom"/>
            <w:shd w:val="clear" w:color="auto" w:fill="CCEEFF"/>
          </w:tcPr>
          <w:p>
            <w:pPr>
              <w:ind w:left="280"/>
              <w:spacing w:after="0" w:line="189" w:lineRule="exact"/>
              <w:rPr>
                <w:sz w:val="20"/>
                <w:szCs w:val="20"/>
                <w:color w:val="auto"/>
              </w:rPr>
            </w:pPr>
            <w:r>
              <w:rPr>
                <w:rFonts w:ascii="Arial" w:cs="Arial" w:eastAsia="Arial" w:hAnsi="Arial"/>
                <w:sz w:val="13"/>
                <w:szCs w:val="13"/>
                <w:color w:val="auto"/>
              </w:rPr>
              <w:t xml:space="preserve">Addendum to </w:t>
            </w:r>
            <w:r>
              <w:rPr>
                <w:rFonts w:ascii="Arial" w:cs="Arial" w:eastAsia="Arial" w:hAnsi="Arial"/>
                <w:sz w:val="13"/>
                <w:szCs w:val="13"/>
                <w:i w:val="1"/>
                <w:iCs w:val="1"/>
                <w:color w:val="auto"/>
              </w:rPr>
              <w:t>Hextend</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and </w:t>
            </w:r>
            <w:r>
              <w:rPr>
                <w:rFonts w:ascii="Arial" w:cs="Arial" w:eastAsia="Arial" w:hAnsi="Arial"/>
                <w:sz w:val="13"/>
                <w:szCs w:val="13"/>
                <w:i w:val="1"/>
                <w:iCs w:val="1"/>
                <w:color w:val="auto"/>
              </w:rPr>
              <w:t>PentaLyte</w:t>
            </w:r>
            <w:r>
              <w:rPr>
                <w:rFonts w:ascii="Arial" w:cs="Arial" w:eastAsia="Arial" w:hAnsi="Arial"/>
                <w:sz w:val="21"/>
                <w:szCs w:val="21"/>
                <w:color w:val="auto"/>
                <w:vertAlign w:val="superscript"/>
              </w:rPr>
              <w:t>®</w:t>
            </w:r>
            <w:r>
              <w:rPr>
                <w:rFonts w:ascii="Arial" w:cs="Arial" w:eastAsia="Arial" w:hAnsi="Arial"/>
                <w:sz w:val="13"/>
                <w:szCs w:val="13"/>
                <w:color w:val="auto"/>
              </w:rPr>
              <w:t xml:space="preserve"> Collaboration Agreement Between BioTime Inc. and Summit Pharmaceuticals International Corporation (17)</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10.9</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Amendment to Exclusive License Agreement Between BioTime, Inc. and Hospira, Inc. (18)</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10.10</w:t>
            </w:r>
          </w:p>
        </w:tc>
        <w:tc>
          <w:tcPr>
            <w:tcW w:w="10560" w:type="dxa"/>
            <w:vAlign w:val="bottom"/>
            <w:shd w:val="clear" w:color="auto" w:fill="CCEEFF"/>
          </w:tcPr>
          <w:p>
            <w:pPr>
              <w:ind w:left="280"/>
              <w:spacing w:after="0" w:line="189" w:lineRule="exact"/>
              <w:rPr>
                <w:sz w:val="20"/>
                <w:szCs w:val="20"/>
                <w:color w:val="auto"/>
              </w:rPr>
            </w:pPr>
            <w:r>
              <w:rPr>
                <w:rFonts w:ascii="Arial" w:cs="Arial" w:eastAsia="Arial" w:hAnsi="Arial"/>
                <w:sz w:val="13"/>
                <w:szCs w:val="13"/>
                <w:i w:val="1"/>
                <w:iCs w:val="1"/>
                <w:color w:val="auto"/>
              </w:rPr>
              <w:t>Hextend</w:t>
            </w:r>
            <w:r>
              <w:rPr>
                <w:rFonts w:ascii="Arial" w:cs="Arial" w:eastAsia="Arial" w:hAnsi="Arial"/>
                <w:sz w:val="21"/>
                <w:szCs w:val="2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and</w:t>
            </w:r>
            <w:r>
              <w:rPr>
                <w:rFonts w:ascii="Arial" w:cs="Arial" w:eastAsia="Arial" w:hAnsi="Arial"/>
                <w:sz w:val="13"/>
                <w:szCs w:val="13"/>
                <w:i w:val="1"/>
                <w:iCs w:val="1"/>
                <w:color w:val="auto"/>
              </w:rPr>
              <w:t xml:space="preserve"> PentaLyte</w:t>
            </w:r>
            <w:r>
              <w:rPr>
                <w:rFonts w:ascii="Arial" w:cs="Arial" w:eastAsia="Arial" w:hAnsi="Arial"/>
                <w:sz w:val="21"/>
                <w:szCs w:val="2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China License Agreement Between BioTime, Inc. and Summit Pharmaceuticals International Corporation (19)</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10.11</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Employment Agreement, dated October 10, 2007, between BioTime, Inc. and Michael D. West. (20)</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10.12</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License and Option Agreement between BioTime and Wisconsin Alumni Research Foundation (21)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10.13</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License Agreement, dated July 10, 2008, between Embryome Sciences, Inc. and Advanced Cell Technology, Inc. (22)</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10.14</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License Agreement, dated August 15, 2008 between Embryome Sciences, Inc. and Advanced Cell Technology, Inc. (23)</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10.15</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Sublicense Agreement, dated August 15, 2008 between Embryome Sciences, Inc. and Advanced Cell Technology, Inc. (23)</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10.16</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Stem Cell Agreement, dated February 23, 2009, between Embryome Sciences, Inc. and Reproductive Genetics Institute (24)</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10.17</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First Amendment of Commercial License and Option Agreement, dated March 11, 2009, between BioTime and Wisconsin Alumni Research Foundation (24)</w:t>
            </w:r>
          </w:p>
        </w:tc>
      </w:tr>
      <w:tr>
        <w:trPr>
          <w:trHeight w:val="523"/>
        </w:trPr>
        <w:tc>
          <w:tcPr>
            <w:tcW w:w="880" w:type="dxa"/>
            <w:vAlign w:val="bottom"/>
          </w:tcPr>
          <w:p>
            <w:pPr>
              <w:spacing w:after="0"/>
              <w:rPr>
                <w:sz w:val="24"/>
                <w:szCs w:val="24"/>
                <w:color w:val="auto"/>
              </w:rPr>
            </w:pPr>
          </w:p>
        </w:tc>
        <w:tc>
          <w:tcPr>
            <w:tcW w:w="10560" w:type="dxa"/>
            <w:vAlign w:val="bottom"/>
          </w:tcPr>
          <w:p>
            <w:pPr>
              <w:ind w:left="4740"/>
              <w:spacing w:after="0"/>
              <w:rPr>
                <w:sz w:val="20"/>
                <w:szCs w:val="20"/>
                <w:color w:val="auto"/>
              </w:rPr>
            </w:pPr>
            <w:r>
              <w:rPr>
                <w:rFonts w:ascii="Arial" w:cs="Arial" w:eastAsia="Arial" w:hAnsi="Arial"/>
                <w:sz w:val="13"/>
                <w:szCs w:val="13"/>
                <w:color w:val="auto"/>
              </w:rPr>
              <w:t>138</w:t>
            </w:r>
          </w:p>
        </w:tc>
      </w:tr>
      <w:tr>
        <w:trPr>
          <w:trHeight w:val="37"/>
        </w:trPr>
        <w:tc>
          <w:tcPr>
            <w:tcW w:w="880" w:type="dxa"/>
            <w:vAlign w:val="bottom"/>
            <w:tcBorders>
              <w:bottom w:val="single" w:sz="8" w:color="auto"/>
            </w:tcBorders>
          </w:tcPr>
          <w:p>
            <w:pPr>
              <w:spacing w:after="0"/>
              <w:rPr>
                <w:sz w:val="3"/>
                <w:szCs w:val="3"/>
                <w:color w:val="auto"/>
              </w:rPr>
            </w:pPr>
          </w:p>
        </w:tc>
        <w:tc>
          <w:tcPr>
            <w:tcW w:w="1056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08" w:right="21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10560" w:type="dxa"/>
            <w:vAlign w:val="bottom"/>
          </w:tcPr>
          <w:p>
            <w:pPr>
              <w:spacing w:after="0"/>
              <w:rPr>
                <w:sz w:val="13"/>
                <w:szCs w:val="13"/>
                <w:color w:val="auto"/>
              </w:rPr>
            </w:pPr>
          </w:p>
        </w:tc>
      </w:tr>
      <w:tr>
        <w:trPr>
          <w:trHeight w:val="145"/>
        </w:trPr>
        <w:tc>
          <w:tcPr>
            <w:tcW w:w="880" w:type="dxa"/>
            <w:vAlign w:val="bottom"/>
          </w:tcPr>
          <w:p>
            <w:pPr>
              <w:spacing w:after="0"/>
              <w:rPr>
                <w:sz w:val="12"/>
                <w:szCs w:val="12"/>
                <w:color w:val="auto"/>
              </w:rPr>
            </w:pPr>
          </w:p>
        </w:tc>
        <w:tc>
          <w:tcPr>
            <w:tcW w:w="10560" w:type="dxa"/>
            <w:vAlign w:val="bottom"/>
          </w:tcPr>
          <w:p>
            <w:pPr>
              <w:spacing w:after="0"/>
              <w:rPr>
                <w:sz w:val="12"/>
                <w:szCs w:val="12"/>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10.18</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Employment Agreement, dated October 10, 2007, between BioTime, Inc. and Robert Peabody (24)</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10.19</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rPr>
              <w:t>Registration Rights Agreement between OncoCyte Corporation and</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George Karfunkel (25)</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10.20</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2"/>
              </w:rPr>
              <w:t>Share Purchase Agreement, dated October 7, 2010, by and among Cell Cure Neurosciences, Limited, Teva Pharmaceutical Industries, Ltd, HBL-Hadasit Bio-</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Holdings, Ltd., and BioTime, Inc. (26)</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10.21</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3"/>
              </w:rPr>
              <w:t>Amended and Restated Shareholders Agreement, dated October 7, 2010, by and among ES Cell International Pte. Ltd, BioTime, Inc., Teva Pharmaceutical</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Industries, Limited, HBL-Hadasit Bio-Holdings, Ltd., and Cell Cure Neurosciences Ltd. (1)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10.22</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2"/>
              </w:rPr>
              <w:t>Research and Exclusive License Option Agreement, dated October 7, 2010, between Teva Pharmaceutical Industries, Ltd. and Cell Cure Neurosciences Ltd.</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(Portions of this exhibit have been omitted pursuant to a request for confidential treatment) (1)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10.23</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0"/>
              </w:rPr>
              <w:t>Amended and Restated Research and License Agreement, dated October 7, 2010, between Hadasit Medical Research Services and Development Ltd. and Cell</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Cure Neurosciences Ltd. (1)</w:t>
            </w:r>
          </w:p>
        </w:tc>
      </w:tr>
      <w:tr>
        <w:trPr>
          <w:trHeight w:val="213"/>
        </w:trPr>
        <w:tc>
          <w:tcPr>
            <w:tcW w:w="88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10.24</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9"/>
              </w:rPr>
              <w:t>Additional Research Agreement, dated October 7, 2010, between Hadasit Medical Research Services and Development Ltd. and Cell Cure Neurosciences Ltd. (1)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10.25</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Exclusive License Agreement, dated November 20, 2007, between Cell Targeting, Inc. and Burnham Institute for Medical Research. (1)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10.26</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rPr>
              <w:t>OncoCyte Corporation 2010 Stock Option Plan;</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Form of OncoCyte Corporation Stock Option Agreement (1)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10.27</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rPr>
              <w:t>OrthoCyte Corporation 2010 Stock Option Plan;</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Form of OrthoCyte Corporation Stock Option Agreement (1)</w:t>
            </w:r>
          </w:p>
        </w:tc>
      </w:tr>
      <w:tr>
        <w:trPr>
          <w:trHeight w:val="213"/>
        </w:trPr>
        <w:tc>
          <w:tcPr>
            <w:tcW w:w="88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10.28</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rPr>
              <w:t>BioTime Asia, Limited 2010 Stock Option Plan;</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Form of BioTime Asia Limited Stock Option Agreement (1)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10.29</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Lease, dated October 28, 2010, between SKS Harbor Bay Associates, LLC and BioTime, Inc. (1)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10.30</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Employment Agreement, dated June 28, 2011, between BioTime, Inc., OrthoCyte Corporation, and William P. Tew (27)</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10.31</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0"/>
              </w:rPr>
              <w:t>License Agreement between BioTime, Inc. and Cornell University (Portions of this exhibit have been omitted pursuant to a request for confidential treatment) (28)</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10.32</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0"/>
              </w:rPr>
              <w:t>License Option Agreement, dated December 15, 2011 between BioTime, Inc. and USCN Life Sciences, Inc. (Portions of this exhibit have been omitted pursuant</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 a request for confidential treatment) (29)</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10.33</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rPr>
              <w:t>LifeMap, Inc. 2011 Stock Option Plan; and</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Form of LifeMap, Inc. Stock Option Agreement (29)</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10.34</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Share Exchange and Contribution Agreement, dated July 24, 2012, among LifeMap Sciences, Inc., Alfred D. Kingsley, and Greenway Partners, L.P. (30)</w:t>
            </w:r>
          </w:p>
        </w:tc>
      </w:tr>
      <w:tr>
        <w:trPr>
          <w:trHeight w:val="523"/>
        </w:trPr>
        <w:tc>
          <w:tcPr>
            <w:tcW w:w="880" w:type="dxa"/>
            <w:vAlign w:val="bottom"/>
          </w:tcPr>
          <w:p>
            <w:pPr>
              <w:spacing w:after="0"/>
              <w:rPr>
                <w:sz w:val="24"/>
                <w:szCs w:val="24"/>
                <w:color w:val="auto"/>
              </w:rPr>
            </w:pPr>
          </w:p>
        </w:tc>
        <w:tc>
          <w:tcPr>
            <w:tcW w:w="10560" w:type="dxa"/>
            <w:vAlign w:val="bottom"/>
          </w:tcPr>
          <w:p>
            <w:pPr>
              <w:ind w:left="4740"/>
              <w:spacing w:after="0"/>
              <w:rPr>
                <w:sz w:val="20"/>
                <w:szCs w:val="20"/>
                <w:color w:val="auto"/>
              </w:rPr>
            </w:pPr>
            <w:r>
              <w:rPr>
                <w:rFonts w:ascii="Arial" w:cs="Arial" w:eastAsia="Arial" w:hAnsi="Arial"/>
                <w:sz w:val="13"/>
                <w:szCs w:val="13"/>
                <w:color w:val="auto"/>
              </w:rPr>
              <w:t>139</w:t>
            </w:r>
          </w:p>
        </w:tc>
      </w:tr>
      <w:tr>
        <w:trPr>
          <w:trHeight w:val="37"/>
        </w:trPr>
        <w:tc>
          <w:tcPr>
            <w:tcW w:w="880" w:type="dxa"/>
            <w:vAlign w:val="bottom"/>
            <w:tcBorders>
              <w:bottom w:val="single" w:sz="8" w:color="auto"/>
            </w:tcBorders>
          </w:tcPr>
          <w:p>
            <w:pPr>
              <w:spacing w:after="0"/>
              <w:rPr>
                <w:sz w:val="3"/>
                <w:szCs w:val="3"/>
                <w:color w:val="auto"/>
              </w:rPr>
            </w:pPr>
          </w:p>
        </w:tc>
        <w:tc>
          <w:tcPr>
            <w:tcW w:w="1056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08" w:right="21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10560" w:type="dxa"/>
            <w:vAlign w:val="bottom"/>
          </w:tcPr>
          <w:p>
            <w:pPr>
              <w:spacing w:after="0"/>
              <w:rPr>
                <w:sz w:val="13"/>
                <w:szCs w:val="13"/>
                <w:color w:val="auto"/>
              </w:rPr>
            </w:pPr>
          </w:p>
        </w:tc>
      </w:tr>
      <w:tr>
        <w:trPr>
          <w:trHeight w:val="145"/>
        </w:trPr>
        <w:tc>
          <w:tcPr>
            <w:tcW w:w="880" w:type="dxa"/>
            <w:vAlign w:val="bottom"/>
          </w:tcPr>
          <w:p>
            <w:pPr>
              <w:spacing w:after="0"/>
              <w:rPr>
                <w:sz w:val="12"/>
                <w:szCs w:val="12"/>
                <w:color w:val="auto"/>
              </w:rPr>
            </w:pPr>
          </w:p>
        </w:tc>
        <w:tc>
          <w:tcPr>
            <w:tcW w:w="10560" w:type="dxa"/>
            <w:vAlign w:val="bottom"/>
          </w:tcPr>
          <w:p>
            <w:pPr>
              <w:spacing w:after="0"/>
              <w:rPr>
                <w:sz w:val="12"/>
                <w:szCs w:val="12"/>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10.35</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0"/>
              </w:rPr>
              <w:t>Exclusive License Agreement, dated February 15, 2006, between Glycosan BioSystems, Inc. and the University of Utah Research Foundation, as amended (31)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10.36</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5"/>
              </w:rPr>
              <w:t>Amendment to Share Exchange and Contribution Agreement, dated September 28, 2012, by and among LifeMap Sciences, Inc., Alfred D. Kingsley, and</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Greenway Partners, L.P. (31)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10.37</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 Purchase Agreement, dated November 1, 2012, between Cell Cure Neurosciences, Ltd. and BioTime, Inc. (31)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10.38</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5"/>
              </w:rPr>
              <w:t>Amendment to Share Exchange and Contribution Agreement, dated November 30, 2012, by and among LifeMap Sciences, Inc., Alfred D. Kingsley, and</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Greenway Partners, L.P. (32)</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10.39</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Indemnification Agreement, dated January 4, 2013, by and among BioTime, Inc., Broadwood Partners, L.P, and Neal Bradsher (3)</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10.40</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6"/>
              </w:rPr>
              <w:t>Indemnification Agreement, dated January 4, 2013, by and among BioTime, Inc., Alfred D. Kingsley, Greenbelt Corp. and Greenway Partners, L.P. (3)</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10.41</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 and Warrant Purchase Agreement, dated January 4, 2013, between BioTime, Inc. and Romulus Films, Ltd. (32)</w:t>
            </w:r>
          </w:p>
        </w:tc>
      </w:tr>
      <w:tr>
        <w:trPr>
          <w:trHeight w:val="213"/>
        </w:trPr>
        <w:tc>
          <w:tcPr>
            <w:tcW w:w="88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10.42</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 and Warrant Purchase Agreement, dated January 4, 2013, between BioTime Acquisition Corporation and Romulus Films, Ltd. (32)</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10.43</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Business Park Lease, dated January 7, 2013, between David D. Bohannon Organization and BioTime, Inc. (32)</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10.44</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 Purchase Agreement, dated January 7, 2013, between David D. Bohannon Organization and BioTime, Inc. (32)</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10.45</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Amendment of Stock and Warrant Purchase Agreement, dated March 7, 2013, between BioTime, Inc. and Romulus Films, Ltd. (32)</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10.46</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 and Warrant Purchase Agreement, dated June 3, 2013, between BioTime, Inc. and certain investors (33)</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10.47</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Option Agreement, dated June 3, 2013, between BioTime, Inc. and certain investors (33)</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10.48</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Client Referral and Solicitation Agreement, dated April 1, 2013, between BioTime, Inc., LifeMap Sciences, Inc. and OBEX Securities, LLC (10)</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10.49</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Royalty Agreement, dated October 1, 2013, between Asterias Biotherapeutics, Inc. and Geron Corporation (34)</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10.50</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Exclusive Sublicense Agreement, dated October 1, 2013, between Geron Corporation and Asterias Biotherapeutics, Inc. (34)</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10.51</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3"/>
              </w:rPr>
              <w:t>Exclusive License Agreement, dated February 20, 2003, and First Amendment thereto dated September 7, 2004, between The Regents of the University of</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California and Geron Corporation (34)</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10.52</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89"/>
              </w:rPr>
              <w:t>Non-Exclusive License Agreement, dated as of October 7, 2013, between the Wisconsin Alumni Research Foundation and Asterias Biotherapeutics, Inc. (Portions</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of this exhibit have been omitted pursuant to a request for confidential treatment) (34)</w:t>
            </w:r>
          </w:p>
        </w:tc>
      </w:tr>
      <w:tr>
        <w:trPr>
          <w:trHeight w:val="523"/>
        </w:trPr>
        <w:tc>
          <w:tcPr>
            <w:tcW w:w="880" w:type="dxa"/>
            <w:vAlign w:val="bottom"/>
          </w:tcPr>
          <w:p>
            <w:pPr>
              <w:spacing w:after="0"/>
              <w:rPr>
                <w:sz w:val="24"/>
                <w:szCs w:val="24"/>
                <w:color w:val="auto"/>
              </w:rPr>
            </w:pPr>
          </w:p>
        </w:tc>
        <w:tc>
          <w:tcPr>
            <w:tcW w:w="10560" w:type="dxa"/>
            <w:vAlign w:val="bottom"/>
          </w:tcPr>
          <w:p>
            <w:pPr>
              <w:ind w:left="4740"/>
              <w:spacing w:after="0"/>
              <w:rPr>
                <w:sz w:val="20"/>
                <w:szCs w:val="20"/>
                <w:color w:val="auto"/>
              </w:rPr>
            </w:pPr>
            <w:r>
              <w:rPr>
                <w:rFonts w:ascii="Arial" w:cs="Arial" w:eastAsia="Arial" w:hAnsi="Arial"/>
                <w:sz w:val="13"/>
                <w:szCs w:val="13"/>
                <w:color w:val="auto"/>
              </w:rPr>
              <w:t>140</w:t>
            </w:r>
          </w:p>
        </w:tc>
      </w:tr>
      <w:tr>
        <w:trPr>
          <w:trHeight w:val="37"/>
        </w:trPr>
        <w:tc>
          <w:tcPr>
            <w:tcW w:w="880" w:type="dxa"/>
            <w:vAlign w:val="bottom"/>
            <w:tcBorders>
              <w:bottom w:val="single" w:sz="8" w:color="auto"/>
            </w:tcBorders>
          </w:tcPr>
          <w:p>
            <w:pPr>
              <w:spacing w:after="0"/>
              <w:rPr>
                <w:sz w:val="3"/>
                <w:szCs w:val="3"/>
                <w:color w:val="auto"/>
              </w:rPr>
            </w:pPr>
          </w:p>
        </w:tc>
        <w:tc>
          <w:tcPr>
            <w:tcW w:w="1056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08" w:right="219" w:bottom="1440" w:gutter="0" w:footer="0" w:header="0"/>
        </w:sectPr>
      </w:pPr>
    </w:p>
    <w:bookmarkStart w:id="140" w:name="page141"/>
    <w:bookmarkEnd w:id="140"/>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880" w:type="dxa"/>
            <w:vAlign w:val="bottom"/>
            <w:tcBorders>
              <w:bottom w:val="single" w:sz="8" w:color="0000EE"/>
            </w:tcBorders>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10560" w:type="dxa"/>
            <w:vAlign w:val="bottom"/>
          </w:tcPr>
          <w:p>
            <w:pPr>
              <w:spacing w:after="0"/>
              <w:rPr>
                <w:sz w:val="13"/>
                <w:szCs w:val="13"/>
                <w:color w:val="auto"/>
              </w:rPr>
            </w:pPr>
          </w:p>
        </w:tc>
      </w:tr>
      <w:tr>
        <w:trPr>
          <w:trHeight w:val="145"/>
        </w:trPr>
        <w:tc>
          <w:tcPr>
            <w:tcW w:w="880" w:type="dxa"/>
            <w:vAlign w:val="bottom"/>
          </w:tcPr>
          <w:p>
            <w:pPr>
              <w:spacing w:after="0"/>
              <w:rPr>
                <w:sz w:val="12"/>
                <w:szCs w:val="12"/>
                <w:color w:val="auto"/>
              </w:rPr>
            </w:pPr>
          </w:p>
        </w:tc>
        <w:tc>
          <w:tcPr>
            <w:tcW w:w="10560" w:type="dxa"/>
            <w:vAlign w:val="bottom"/>
          </w:tcPr>
          <w:p>
            <w:pPr>
              <w:spacing w:after="0"/>
              <w:rPr>
                <w:sz w:val="12"/>
                <w:szCs w:val="12"/>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10.53</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Employment Agreement, dated August 15, 2013, between BioTime, Inc. and Lesley Stoltz (34)</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10.54</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Equity Incentive Plan (34)</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10.55</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Form of Employee Incentive Stock Option Agreement (34)</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10.56</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Form of Non-employee Director Stock Option Agreement (34)</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10.57</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Lease, dated December 30, 2013, by and between BMR 6300 Dumbarton Circle, LP, and Asterias Biotherapeutics, Inc.*</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10.58</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Preferred Stock Purchase Agreement, dated March 4, 2013, between BioTime and certain investors*</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10.59</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Option Agreement, dated March 4, 2014, between BioTime and certain investors*</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21.1</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List of Subsidiaries*</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23.1</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Consent of Rothstein Kass*</w:t>
            </w:r>
          </w:p>
        </w:tc>
      </w:tr>
    </w:tbl>
    <w:p>
      <w:pPr>
        <w:spacing w:after="0" w:line="177" w:lineRule="exact"/>
        <w:rPr>
          <w:sz w:val="20"/>
          <w:szCs w:val="20"/>
          <w:color w:val="auto"/>
        </w:rPr>
      </w:pPr>
    </w:p>
    <w:p>
      <w:pPr>
        <w:ind w:left="1165" w:hanging="1165"/>
        <w:spacing w:after="0"/>
        <w:tabs>
          <w:tab w:leader="none" w:pos="1165" w:val="left"/>
        </w:tabs>
        <w:numPr>
          <w:ilvl w:val="0"/>
          <w:numId w:val="58"/>
        </w:numPr>
        <w:rPr>
          <w:rFonts w:ascii="Arial" w:cs="Arial" w:eastAsia="Arial" w:hAnsi="Arial"/>
          <w:sz w:val="16"/>
          <w:szCs w:val="16"/>
          <w:color w:val="auto"/>
        </w:rPr>
      </w:pPr>
      <w:r>
        <w:rPr>
          <w:rFonts w:ascii="Arial" w:cs="Arial" w:eastAsia="Arial" w:hAnsi="Arial"/>
          <w:sz w:val="16"/>
          <w:szCs w:val="16"/>
          <w:color w:val="auto"/>
        </w:rPr>
        <w:t>Rule 13a-14(a)/15d-14(a) Certification. *</w:t>
      </w:r>
    </w:p>
    <w:p>
      <w:pPr>
        <w:spacing w:after="0" w:line="217" w:lineRule="exact"/>
        <w:rPr>
          <w:rFonts w:ascii="Arial" w:cs="Arial" w:eastAsia="Arial" w:hAnsi="Arial"/>
          <w:sz w:val="16"/>
          <w:szCs w:val="16"/>
          <w:color w:val="auto"/>
        </w:rPr>
      </w:pPr>
    </w:p>
    <w:p>
      <w:pPr>
        <w:ind w:left="1165" w:hanging="1165"/>
        <w:spacing w:after="0"/>
        <w:tabs>
          <w:tab w:leader="none" w:pos="1165"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Section 1350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-363220</wp:posOffset>
            </wp:positionV>
            <wp:extent cx="7263765"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3765" cy="1200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-107950</wp:posOffset>
            </wp:positionV>
            <wp:extent cx="7263765"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101</w:t>
            </w:r>
          </w:p>
        </w:tc>
        <w:tc>
          <w:tcPr>
            <w:tcW w:w="10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Interactive Data File. *</w:t>
            </w:r>
          </w:p>
        </w:tc>
      </w:tr>
      <w:tr>
        <w:trPr>
          <w:trHeight w:val="189"/>
        </w:trPr>
        <w:tc>
          <w:tcPr>
            <w:tcW w:w="860" w:type="dxa"/>
            <w:vAlign w:val="bottom"/>
          </w:tcPr>
          <w:p>
            <w:pPr>
              <w:spacing w:after="0"/>
              <w:rPr>
                <w:sz w:val="16"/>
                <w:szCs w:val="16"/>
                <w:color w:val="auto"/>
              </w:rPr>
            </w:pPr>
          </w:p>
        </w:tc>
        <w:tc>
          <w:tcPr>
            <w:tcW w:w="10580" w:type="dxa"/>
            <w:vAlign w:val="bottom"/>
          </w:tcPr>
          <w:p>
            <w:pPr>
              <w:spacing w:after="0"/>
              <w:rPr>
                <w:sz w:val="16"/>
                <w:szCs w:val="16"/>
                <w:color w:val="auto"/>
              </w:rPr>
            </w:pPr>
          </w:p>
        </w:tc>
      </w:tr>
      <w:tr>
        <w:trPr>
          <w:trHeight w:val="189"/>
        </w:trPr>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101.INS</w:t>
            </w:r>
          </w:p>
        </w:tc>
        <w:tc>
          <w:tcPr>
            <w:tcW w:w="10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XBRL Instance Document. *</w:t>
            </w:r>
          </w:p>
        </w:tc>
      </w:tr>
      <w:tr>
        <w:trPr>
          <w:trHeight w:val="189"/>
        </w:trPr>
        <w:tc>
          <w:tcPr>
            <w:tcW w:w="860" w:type="dxa"/>
            <w:vAlign w:val="bottom"/>
          </w:tcPr>
          <w:p>
            <w:pPr>
              <w:spacing w:after="0"/>
              <w:rPr>
                <w:sz w:val="16"/>
                <w:szCs w:val="16"/>
                <w:color w:val="auto"/>
              </w:rPr>
            </w:pPr>
          </w:p>
        </w:tc>
        <w:tc>
          <w:tcPr>
            <w:tcW w:w="10580" w:type="dxa"/>
            <w:vAlign w:val="bottom"/>
          </w:tcPr>
          <w:p>
            <w:pPr>
              <w:spacing w:after="0"/>
              <w:rPr>
                <w:sz w:val="16"/>
                <w:szCs w:val="16"/>
                <w:color w:val="auto"/>
              </w:rPr>
            </w:pPr>
          </w:p>
        </w:tc>
      </w:tr>
      <w:tr>
        <w:trPr>
          <w:trHeight w:val="189"/>
        </w:trPr>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101.SCH</w:t>
            </w:r>
          </w:p>
        </w:tc>
        <w:tc>
          <w:tcPr>
            <w:tcW w:w="10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XBRL Taxonomy Extension Schema. *</w:t>
            </w:r>
          </w:p>
        </w:tc>
      </w:tr>
      <w:tr>
        <w:trPr>
          <w:trHeight w:val="189"/>
        </w:trPr>
        <w:tc>
          <w:tcPr>
            <w:tcW w:w="860" w:type="dxa"/>
            <w:vAlign w:val="bottom"/>
          </w:tcPr>
          <w:p>
            <w:pPr>
              <w:spacing w:after="0"/>
              <w:rPr>
                <w:sz w:val="16"/>
                <w:szCs w:val="16"/>
                <w:color w:val="auto"/>
              </w:rPr>
            </w:pPr>
          </w:p>
        </w:tc>
        <w:tc>
          <w:tcPr>
            <w:tcW w:w="10580" w:type="dxa"/>
            <w:vAlign w:val="bottom"/>
          </w:tcPr>
          <w:p>
            <w:pPr>
              <w:spacing w:after="0"/>
              <w:rPr>
                <w:sz w:val="16"/>
                <w:szCs w:val="16"/>
                <w:color w:val="auto"/>
              </w:rPr>
            </w:pPr>
          </w:p>
        </w:tc>
      </w:tr>
      <w:tr>
        <w:trPr>
          <w:trHeight w:val="189"/>
        </w:trPr>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101.CAL</w:t>
            </w:r>
          </w:p>
        </w:tc>
        <w:tc>
          <w:tcPr>
            <w:tcW w:w="10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XBRL Taxonomy Extension Calculation Linkbase. *</w:t>
            </w:r>
          </w:p>
        </w:tc>
      </w:tr>
      <w:tr>
        <w:trPr>
          <w:trHeight w:val="189"/>
        </w:trPr>
        <w:tc>
          <w:tcPr>
            <w:tcW w:w="860" w:type="dxa"/>
            <w:vAlign w:val="bottom"/>
          </w:tcPr>
          <w:p>
            <w:pPr>
              <w:spacing w:after="0"/>
              <w:rPr>
                <w:sz w:val="16"/>
                <w:szCs w:val="16"/>
                <w:color w:val="auto"/>
              </w:rPr>
            </w:pPr>
          </w:p>
        </w:tc>
        <w:tc>
          <w:tcPr>
            <w:tcW w:w="10580" w:type="dxa"/>
            <w:vAlign w:val="bottom"/>
          </w:tcPr>
          <w:p>
            <w:pPr>
              <w:spacing w:after="0"/>
              <w:rPr>
                <w:sz w:val="16"/>
                <w:szCs w:val="16"/>
                <w:color w:val="auto"/>
              </w:rPr>
            </w:pPr>
          </w:p>
        </w:tc>
      </w:tr>
      <w:tr>
        <w:trPr>
          <w:trHeight w:val="189"/>
        </w:trPr>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101.DEF</w:t>
            </w:r>
          </w:p>
        </w:tc>
        <w:tc>
          <w:tcPr>
            <w:tcW w:w="10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XBRL Taxonomy Extension Definition Linkbase. *</w:t>
            </w:r>
          </w:p>
        </w:tc>
      </w:tr>
      <w:tr>
        <w:trPr>
          <w:trHeight w:val="189"/>
        </w:trPr>
        <w:tc>
          <w:tcPr>
            <w:tcW w:w="860" w:type="dxa"/>
            <w:vAlign w:val="bottom"/>
          </w:tcPr>
          <w:p>
            <w:pPr>
              <w:spacing w:after="0"/>
              <w:rPr>
                <w:sz w:val="16"/>
                <w:szCs w:val="16"/>
                <w:color w:val="auto"/>
              </w:rPr>
            </w:pPr>
          </w:p>
        </w:tc>
        <w:tc>
          <w:tcPr>
            <w:tcW w:w="10580" w:type="dxa"/>
            <w:vAlign w:val="bottom"/>
          </w:tcPr>
          <w:p>
            <w:pPr>
              <w:spacing w:after="0"/>
              <w:rPr>
                <w:sz w:val="16"/>
                <w:szCs w:val="16"/>
                <w:color w:val="auto"/>
              </w:rPr>
            </w:pPr>
          </w:p>
        </w:tc>
      </w:tr>
      <w:tr>
        <w:trPr>
          <w:trHeight w:val="189"/>
        </w:trPr>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101.LAB</w:t>
            </w:r>
          </w:p>
        </w:tc>
        <w:tc>
          <w:tcPr>
            <w:tcW w:w="10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XBRL Taxonomy Extension Label Linkbase. *</w:t>
            </w:r>
          </w:p>
        </w:tc>
      </w:tr>
      <w:tr>
        <w:trPr>
          <w:trHeight w:val="189"/>
        </w:trPr>
        <w:tc>
          <w:tcPr>
            <w:tcW w:w="860" w:type="dxa"/>
            <w:vAlign w:val="bottom"/>
          </w:tcPr>
          <w:p>
            <w:pPr>
              <w:spacing w:after="0"/>
              <w:rPr>
                <w:sz w:val="16"/>
                <w:szCs w:val="16"/>
                <w:color w:val="auto"/>
              </w:rPr>
            </w:pPr>
          </w:p>
        </w:tc>
        <w:tc>
          <w:tcPr>
            <w:tcW w:w="10580" w:type="dxa"/>
            <w:vAlign w:val="bottom"/>
          </w:tcPr>
          <w:p>
            <w:pPr>
              <w:spacing w:after="0"/>
              <w:rPr>
                <w:sz w:val="16"/>
                <w:szCs w:val="16"/>
                <w:color w:val="auto"/>
              </w:rPr>
            </w:pPr>
          </w:p>
        </w:tc>
      </w:tr>
      <w:tr>
        <w:trPr>
          <w:trHeight w:val="189"/>
        </w:trPr>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101.PRE</w:t>
            </w:r>
          </w:p>
        </w:tc>
        <w:tc>
          <w:tcPr>
            <w:tcW w:w="10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XBRL Taxonomy Extension Presentation Linkbase. *</w:t>
            </w:r>
          </w:p>
        </w:tc>
      </w:tr>
    </w:tbl>
    <w:p>
      <w:pPr>
        <w:spacing w:after="0" w:line="200" w:lineRule="exact"/>
        <w:rPr>
          <w:sz w:val="20"/>
          <w:szCs w:val="20"/>
          <w:color w:val="auto"/>
        </w:rPr>
      </w:pPr>
    </w:p>
    <w:p>
      <w:pPr>
        <w:ind w:left="605" w:hanging="322"/>
        <w:spacing w:after="0"/>
        <w:tabs>
          <w:tab w:leader="none" w:pos="6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Incorporated by reference to BioTime’s Annual Report on Form 10-K for the year ended December 31, 2010.</w:t>
      </w:r>
    </w:p>
    <w:p>
      <w:pPr>
        <w:spacing w:after="0" w:line="217" w:lineRule="exact"/>
        <w:rPr>
          <w:rFonts w:ascii="Arial" w:cs="Arial" w:eastAsia="Arial" w:hAnsi="Arial"/>
          <w:sz w:val="16"/>
          <w:szCs w:val="16"/>
          <w:color w:val="auto"/>
        </w:rPr>
      </w:pPr>
    </w:p>
    <w:p>
      <w:pPr>
        <w:ind w:left="605" w:hanging="322"/>
        <w:spacing w:after="0"/>
        <w:tabs>
          <w:tab w:leader="none" w:pos="6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March 31, 2012.</w:t>
      </w:r>
    </w:p>
    <w:p>
      <w:pPr>
        <w:spacing w:after="0" w:line="217" w:lineRule="exact"/>
        <w:rPr>
          <w:rFonts w:ascii="Arial" w:cs="Arial" w:eastAsia="Arial" w:hAnsi="Arial"/>
          <w:sz w:val="16"/>
          <w:szCs w:val="16"/>
          <w:color w:val="auto"/>
        </w:rPr>
      </w:pPr>
    </w:p>
    <w:p>
      <w:pPr>
        <w:ind w:left="605" w:hanging="322"/>
        <w:spacing w:after="0"/>
        <w:tabs>
          <w:tab w:leader="none" w:pos="6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with the Securities and Exchange Commission on January 8, 2013</w:t>
      </w:r>
    </w:p>
    <w:p>
      <w:pPr>
        <w:spacing w:after="0" w:line="217" w:lineRule="exact"/>
        <w:rPr>
          <w:rFonts w:ascii="Arial" w:cs="Arial" w:eastAsia="Arial" w:hAnsi="Arial"/>
          <w:sz w:val="16"/>
          <w:szCs w:val="16"/>
          <w:color w:val="auto"/>
        </w:rPr>
      </w:pPr>
    </w:p>
    <w:p>
      <w:pPr>
        <w:ind w:left="605" w:right="20" w:hanging="322"/>
        <w:spacing w:after="0" w:line="267" w:lineRule="auto"/>
        <w:tabs>
          <w:tab w:leader="none" w:pos="6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Incorporated by reference to Registration Statement on Form S-1, File Number 33-48717 and Post-Effective Amendment No. 1 thereto filed with the Securities and Exchange Commission on June 22, 1992, and August 27, 1992, respectively</w:t>
      </w:r>
    </w:p>
    <w:p>
      <w:pPr>
        <w:spacing w:after="0" w:line="181" w:lineRule="exact"/>
        <w:rPr>
          <w:rFonts w:ascii="Arial" w:cs="Arial" w:eastAsia="Arial" w:hAnsi="Arial"/>
          <w:sz w:val="16"/>
          <w:szCs w:val="16"/>
          <w:color w:val="auto"/>
        </w:rPr>
      </w:pPr>
    </w:p>
    <w:p>
      <w:pPr>
        <w:ind w:left="605" w:right="20" w:hanging="322"/>
        <w:spacing w:after="0" w:line="340" w:lineRule="auto"/>
        <w:tabs>
          <w:tab w:leader="none" w:pos="605"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Incorporated by reference to Registration Statement on Form S-1, File Number 33-44549 filed with the Securities and Exchange Commission on December 18, 1991, and Amendment No. 1 and Amendment No. 2 thereto filed with the Securities and Exchange Commission on February 6, 1992 and March 7, 1992, respectively</w:t>
      </w:r>
    </w:p>
    <w:p>
      <w:pPr>
        <w:spacing w:after="0" w:line="134" w:lineRule="exact"/>
        <w:rPr>
          <w:rFonts w:ascii="Arial" w:cs="Arial" w:eastAsia="Arial" w:hAnsi="Arial"/>
          <w:sz w:val="14"/>
          <w:szCs w:val="14"/>
          <w:color w:val="auto"/>
        </w:rPr>
      </w:pPr>
    </w:p>
    <w:p>
      <w:pPr>
        <w:ind w:left="605" w:hanging="322"/>
        <w:spacing w:after="0"/>
        <w:tabs>
          <w:tab w:leader="none" w:pos="605"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with the Securities and Exchange Commission on March 5, 2014</w:t>
      </w:r>
    </w:p>
    <w:p>
      <w:pPr>
        <w:spacing w:after="0" w:line="167"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08" w:right="219" w:bottom="1440" w:gutter="0" w:footer="0" w:header="0"/>
        </w:sectPr>
      </w:pPr>
    </w:p>
    <w:bookmarkStart w:id="141" w:name="page142"/>
    <w:bookmarkEnd w:id="14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600" w:hanging="322"/>
        <w:spacing w:after="0"/>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March 31, 2009</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March 31, 2010</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Incorporated by reference to BioTime’s Annual Report on Form 10-K for the year ended December 31, 2012</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with the Securities and Exchange Commission on June 3, 2013</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with the Securities and Exchange Commission on October 1, 2013</w:t>
      </w:r>
    </w:p>
    <w:p>
      <w:pPr>
        <w:spacing w:after="0" w:line="217" w:lineRule="exact"/>
        <w:rPr>
          <w:rFonts w:ascii="Arial" w:cs="Arial" w:eastAsia="Arial" w:hAnsi="Arial"/>
          <w:sz w:val="16"/>
          <w:szCs w:val="16"/>
          <w:color w:val="auto"/>
        </w:rPr>
      </w:pPr>
    </w:p>
    <w:p>
      <w:pPr>
        <w:ind w:left="620" w:hanging="306"/>
        <w:spacing w:after="0"/>
        <w:tabs>
          <w:tab w:leader="none" w:pos="6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June 30, 2009</w:t>
      </w:r>
    </w:p>
    <w:p>
      <w:pPr>
        <w:spacing w:after="0" w:line="218" w:lineRule="exact"/>
        <w:rPr>
          <w:sz w:val="20"/>
          <w:szCs w:val="20"/>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April 24, 1997</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Form Quarterly Report on 10-Q for the quarter ended June 30, 1999</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Annual Report on Form 10-K/A-1 for the year ended December 31, 2002</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December 30, 2004</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December 20, 2005</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January 13, 2006</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March 30, 2006</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Annual Report on Form 10-KSB for the year ended December 31, 2007</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January 9, 2008</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June 30, 2008</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September 30, 2008</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Annual Report on Form 10-K for the year ended December 31, 2008</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September 30, 2009</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October 19, 2010</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June 30, 2011</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September 30, 2011</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Annual Report on Form 10-K for the year ended December 31, 2011</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4"/>
          <w:szCs w:val="14"/>
          <w:color w:val="auto"/>
        </w:rPr>
      </w:pPr>
      <w:r>
        <w:rPr>
          <w:rFonts w:ascii="Arial" w:cs="Arial" w:eastAsia="Arial" w:hAnsi="Arial"/>
          <w:sz w:val="14"/>
          <w:szCs w:val="14"/>
          <w:color w:val="auto"/>
        </w:rPr>
        <w:t>Incorporated by reference to Registration Statement on Form S-3, File Number 333-182964 filed with the Securities and Exchange Commission on July 31, 2012</w:t>
      </w:r>
    </w:p>
    <w:p>
      <w:pPr>
        <w:spacing w:after="0" w:line="240" w:lineRule="exact"/>
        <w:rPr>
          <w:rFonts w:ascii="Arial" w:cs="Arial" w:eastAsia="Arial" w:hAnsi="Arial"/>
          <w:sz w:val="14"/>
          <w:szCs w:val="14"/>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September 30, 2012</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Annual Report on Form 10-K for the year ended December 31, 2012</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June 30, 2013</w:t>
      </w:r>
    </w:p>
    <w:p>
      <w:pPr>
        <w:spacing w:after="0" w:line="217" w:lineRule="exact"/>
        <w:rPr>
          <w:rFonts w:ascii="Arial" w:cs="Arial" w:eastAsia="Arial" w:hAnsi="Arial"/>
          <w:sz w:val="16"/>
          <w:szCs w:val="16"/>
          <w:color w:val="auto"/>
        </w:rPr>
      </w:pPr>
    </w:p>
    <w:p>
      <w:pPr>
        <w:ind w:left="600" w:hanging="322"/>
        <w:spacing w:after="0"/>
        <w:tabs>
          <w:tab w:leader="none" w:pos="6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September 30, 2013</w:t>
      </w:r>
    </w:p>
    <w:p>
      <w:pPr>
        <w:spacing w:after="0" w:line="21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Filed herewith</w:t>
      </w:r>
    </w:p>
    <w:p>
      <w:pPr>
        <w:spacing w:after="0" w:line="3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780"/>
          </w:cols>
          <w:pgMar w:left="240" w:top="124" w:right="879" w:bottom="1440" w:gutter="0" w:footer="0" w:header="0"/>
        </w:sectPr>
      </w:pPr>
    </w:p>
    <w:bookmarkStart w:id="142" w:name="page143"/>
    <w:bookmarkEnd w:id="14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22" w:lineRule="exact"/>
        <w:rPr>
          <w:sz w:val="20"/>
          <w:szCs w:val="20"/>
          <w:color w:val="auto"/>
        </w:rPr>
      </w:pPr>
    </w:p>
    <w:p>
      <w:pPr>
        <w:ind w:right="320" w:firstLine="567"/>
        <w:spacing w:after="0" w:line="27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on Form 10-K to be signed on its behalf by the undersigned, thereunto duly authorized on the 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March, 2014.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4"/>
          </w:tcPr>
          <w:p>
            <w:pPr>
              <w:ind w:left="2060"/>
              <w:spacing w:after="0"/>
              <w:rPr>
                <w:sz w:val="20"/>
                <w:szCs w:val="20"/>
                <w:color w:val="auto"/>
              </w:rPr>
            </w:pPr>
            <w:r>
              <w:rPr>
                <w:rFonts w:ascii="Arial" w:cs="Arial" w:eastAsia="Arial" w:hAnsi="Arial"/>
                <w:sz w:val="16"/>
                <w:szCs w:val="16"/>
                <w:color w:val="auto"/>
              </w:rPr>
              <w:t>BIOTIME, INC.</w:t>
            </w:r>
          </w:p>
        </w:tc>
      </w:tr>
      <w:tr>
        <w:trPr>
          <w:trHeight w:val="383"/>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ind w:left="2060"/>
              <w:spacing w:after="0"/>
              <w:rPr>
                <w:sz w:val="20"/>
                <w:szCs w:val="20"/>
                <w:color w:val="auto"/>
              </w:rPr>
            </w:pPr>
            <w:r>
              <w:rPr>
                <w:rFonts w:ascii="Arial" w:cs="Arial" w:eastAsia="Arial" w:hAnsi="Arial"/>
                <w:sz w:val="16"/>
                <w:szCs w:val="16"/>
                <w:color w:val="auto"/>
              </w:rPr>
              <w:t>By:</w:t>
            </w:r>
          </w:p>
        </w:tc>
        <w:tc>
          <w:tcPr>
            <w:tcW w:w="52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/s/Michael D. West</w:t>
            </w:r>
          </w:p>
        </w:tc>
      </w:tr>
      <w:tr>
        <w:trPr>
          <w:trHeight w:val="177"/>
        </w:trPr>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260" w:type="dxa"/>
            <w:vAlign w:val="bottom"/>
            <w:gridSpan w:val="3"/>
          </w:tcPr>
          <w:p>
            <w:pPr>
              <w:spacing w:after="0" w:line="177" w:lineRule="exact"/>
              <w:rPr>
                <w:sz w:val="20"/>
                <w:szCs w:val="20"/>
                <w:color w:val="auto"/>
              </w:rPr>
            </w:pPr>
            <w:r>
              <w:rPr>
                <w:rFonts w:ascii="Arial" w:cs="Arial" w:eastAsia="Arial" w:hAnsi="Arial"/>
                <w:sz w:val="16"/>
                <w:szCs w:val="16"/>
                <w:color w:val="auto"/>
              </w:rPr>
              <w:t>Michael D. West, Ph.D.</w:t>
            </w:r>
          </w:p>
        </w:tc>
      </w:tr>
      <w:tr>
        <w:trPr>
          <w:trHeight w:val="200"/>
        </w:trPr>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60" w:type="dxa"/>
            <w:vAlign w:val="bottom"/>
            <w:gridSpan w:val="3"/>
          </w:tcPr>
          <w:p>
            <w:pPr>
              <w:spacing w:after="0"/>
              <w:rPr>
                <w:sz w:val="20"/>
                <w:szCs w:val="20"/>
                <w:color w:val="auto"/>
              </w:rPr>
            </w:pPr>
            <w:r>
              <w:rPr>
                <w:rFonts w:ascii="Arial" w:cs="Arial" w:eastAsia="Arial" w:hAnsi="Arial"/>
                <w:sz w:val="16"/>
                <w:szCs w:val="16"/>
                <w:color w:val="auto"/>
              </w:rPr>
              <w:t>Chief Executive Officer</w:t>
            </w:r>
          </w:p>
        </w:tc>
      </w:tr>
      <w:tr>
        <w:trPr>
          <w:trHeight w:val="407"/>
        </w:trPr>
        <w:tc>
          <w:tcPr>
            <w:tcW w:w="344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Signature</w:t>
            </w:r>
          </w:p>
        </w:tc>
        <w:tc>
          <w:tcPr>
            <w:tcW w:w="220" w:type="dxa"/>
            <w:vAlign w:val="bottom"/>
          </w:tcPr>
          <w:p>
            <w:pPr>
              <w:spacing w:after="0"/>
              <w:rPr>
                <w:sz w:val="24"/>
                <w:szCs w:val="24"/>
                <w:color w:val="auto"/>
              </w:rPr>
            </w:pPr>
          </w:p>
        </w:tc>
        <w:tc>
          <w:tcPr>
            <w:tcW w:w="2520" w:type="dxa"/>
            <w:vAlign w:val="bottom"/>
            <w:tcBorders>
              <w:bottom w:val="single" w:sz="8" w:color="auto"/>
            </w:tcBorders>
          </w:tcPr>
          <w:p>
            <w:pPr>
              <w:jc w:val="center"/>
              <w:ind w:left="1541"/>
              <w:spacing w:after="0"/>
              <w:rPr>
                <w:sz w:val="20"/>
                <w:szCs w:val="20"/>
                <w:color w:val="auto"/>
              </w:rPr>
            </w:pPr>
            <w:r>
              <w:rPr>
                <w:rFonts w:ascii="Arial" w:cs="Arial" w:eastAsia="Arial" w:hAnsi="Arial"/>
                <w:sz w:val="16"/>
                <w:szCs w:val="16"/>
                <w:color w:val="auto"/>
                <w:w w:val="99"/>
              </w:rPr>
              <w:t>Title</w:t>
            </w:r>
          </w:p>
        </w:tc>
        <w:tc>
          <w:tcPr>
            <w:tcW w:w="1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Borders>
              <w:bottom w:val="single" w:sz="8" w:color="auto"/>
            </w:tcBorders>
          </w:tcPr>
          <w:p>
            <w:pPr>
              <w:ind w:left="1580"/>
              <w:spacing w:after="0"/>
              <w:rPr>
                <w:sz w:val="20"/>
                <w:szCs w:val="20"/>
                <w:color w:val="auto"/>
              </w:rPr>
            </w:pPr>
            <w:r>
              <w:rPr>
                <w:rFonts w:ascii="Arial" w:cs="Arial" w:eastAsia="Arial" w:hAnsi="Arial"/>
                <w:sz w:val="16"/>
                <w:szCs w:val="16"/>
                <w:color w:val="auto"/>
              </w:rPr>
              <w:t>Date</w:t>
            </w:r>
          </w:p>
        </w:tc>
      </w:tr>
      <w:tr>
        <w:trPr>
          <w:trHeight w:val="382"/>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/s/Michael D. West</w:t>
            </w:r>
          </w:p>
        </w:tc>
        <w:tc>
          <w:tcPr>
            <w:tcW w:w="2740" w:type="dxa"/>
            <w:vAlign w:val="bottom"/>
            <w:gridSpan w:val="2"/>
          </w:tcPr>
          <w:p>
            <w:pPr>
              <w:ind w:left="220"/>
              <w:spacing w:after="0"/>
              <w:rPr>
                <w:sz w:val="20"/>
                <w:szCs w:val="20"/>
                <w:color w:val="auto"/>
              </w:rPr>
            </w:pPr>
            <w:r>
              <w:rPr>
                <w:rFonts w:ascii="Arial" w:cs="Arial" w:eastAsia="Arial" w:hAnsi="Arial"/>
                <w:sz w:val="16"/>
                <w:szCs w:val="16"/>
                <w:color w:val="auto"/>
              </w:rPr>
              <w:t>Chief Executive Officer and</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ind w:left="200"/>
              <w:spacing w:after="0"/>
              <w:rPr>
                <w:sz w:val="20"/>
                <w:szCs w:val="20"/>
                <w:color w:val="auto"/>
              </w:rPr>
            </w:pPr>
            <w:r>
              <w:rPr>
                <w:rFonts w:ascii="Arial" w:cs="Arial" w:eastAsia="Arial" w:hAnsi="Arial"/>
                <w:sz w:val="16"/>
                <w:szCs w:val="16"/>
                <w:color w:val="auto"/>
              </w:rPr>
              <w:t>March 17, 2014</w:t>
            </w:r>
          </w:p>
        </w:tc>
      </w:tr>
      <w:tr>
        <w:trPr>
          <w:trHeight w:val="200"/>
        </w:trPr>
        <w:tc>
          <w:tcPr>
            <w:tcW w:w="3440" w:type="dxa"/>
            <w:vAlign w:val="bottom"/>
          </w:tcPr>
          <w:p>
            <w:pPr>
              <w:spacing w:after="0"/>
              <w:rPr>
                <w:sz w:val="20"/>
                <w:szCs w:val="20"/>
                <w:color w:val="auto"/>
              </w:rPr>
            </w:pPr>
            <w:r>
              <w:rPr>
                <w:rFonts w:ascii="Arial" w:cs="Arial" w:eastAsia="Arial" w:hAnsi="Arial"/>
                <w:sz w:val="16"/>
                <w:szCs w:val="16"/>
                <w:color w:val="auto"/>
              </w:rPr>
              <w:t>MICHAEL D. WEST, PH.D.</w:t>
            </w:r>
          </w:p>
        </w:tc>
        <w:tc>
          <w:tcPr>
            <w:tcW w:w="2740" w:type="dxa"/>
            <w:vAlign w:val="bottom"/>
            <w:gridSpan w:val="2"/>
          </w:tcPr>
          <w:p>
            <w:pPr>
              <w:ind w:left="220"/>
              <w:spacing w:after="0"/>
              <w:rPr>
                <w:sz w:val="20"/>
                <w:szCs w:val="20"/>
                <w:color w:val="auto"/>
              </w:rPr>
            </w:pPr>
            <w:r>
              <w:rPr>
                <w:rFonts w:ascii="Arial" w:cs="Arial" w:eastAsia="Arial" w:hAnsi="Arial"/>
                <w:sz w:val="16"/>
                <w:szCs w:val="16"/>
                <w:color w:val="auto"/>
                <w:w w:val="96"/>
              </w:rPr>
              <w:t>Director (Principal Executive Officer)</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7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/s/Robert W. Peabody</w:t>
            </w:r>
          </w:p>
        </w:tc>
        <w:tc>
          <w:tcPr>
            <w:tcW w:w="2740" w:type="dxa"/>
            <w:vAlign w:val="bottom"/>
            <w:gridSpan w:val="2"/>
          </w:tcPr>
          <w:p>
            <w:pPr>
              <w:ind w:left="220"/>
              <w:spacing w:after="0"/>
              <w:rPr>
                <w:sz w:val="20"/>
                <w:szCs w:val="20"/>
                <w:color w:val="auto"/>
              </w:rPr>
            </w:pPr>
            <w:r>
              <w:rPr>
                <w:rFonts w:ascii="Arial" w:cs="Arial" w:eastAsia="Arial" w:hAnsi="Arial"/>
                <w:sz w:val="16"/>
                <w:szCs w:val="16"/>
                <w:color w:val="auto"/>
              </w:rPr>
              <w:t>Chief Financial Officer (Principal</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ind w:left="200"/>
              <w:spacing w:after="0"/>
              <w:rPr>
                <w:sz w:val="20"/>
                <w:szCs w:val="20"/>
                <w:color w:val="auto"/>
              </w:rPr>
            </w:pPr>
            <w:r>
              <w:rPr>
                <w:rFonts w:ascii="Arial" w:cs="Arial" w:eastAsia="Arial" w:hAnsi="Arial"/>
                <w:sz w:val="16"/>
                <w:szCs w:val="16"/>
                <w:color w:val="auto"/>
              </w:rPr>
              <w:t>March 17, 2014</w:t>
            </w:r>
          </w:p>
        </w:tc>
      </w:tr>
      <w:tr>
        <w:trPr>
          <w:trHeight w:val="200"/>
        </w:trPr>
        <w:tc>
          <w:tcPr>
            <w:tcW w:w="3440" w:type="dxa"/>
            <w:vAlign w:val="bottom"/>
          </w:tcPr>
          <w:p>
            <w:pPr>
              <w:spacing w:after="0"/>
              <w:rPr>
                <w:sz w:val="20"/>
                <w:szCs w:val="20"/>
                <w:color w:val="auto"/>
              </w:rPr>
            </w:pPr>
            <w:r>
              <w:rPr>
                <w:rFonts w:ascii="Arial" w:cs="Arial" w:eastAsia="Arial" w:hAnsi="Arial"/>
                <w:sz w:val="16"/>
                <w:szCs w:val="16"/>
                <w:color w:val="auto"/>
              </w:rPr>
              <w:t>ROBERT W. PEABODY</w:t>
            </w:r>
          </w:p>
        </w:tc>
        <w:tc>
          <w:tcPr>
            <w:tcW w:w="2740" w:type="dxa"/>
            <w:vAlign w:val="bottom"/>
            <w:gridSpan w:val="2"/>
          </w:tcPr>
          <w:p>
            <w:pPr>
              <w:ind w:left="220"/>
              <w:spacing w:after="0"/>
              <w:rPr>
                <w:sz w:val="20"/>
                <w:szCs w:val="20"/>
                <w:color w:val="auto"/>
              </w:rPr>
            </w:pPr>
            <w:r>
              <w:rPr>
                <w:rFonts w:ascii="Arial" w:cs="Arial" w:eastAsia="Arial" w:hAnsi="Arial"/>
                <w:sz w:val="16"/>
                <w:szCs w:val="16"/>
                <w:color w:val="auto"/>
              </w:rPr>
              <w:t>Financial and Accounting Officer)</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7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/s/Franklin M. Berger</w:t>
            </w:r>
          </w:p>
        </w:tc>
        <w:tc>
          <w:tcPr>
            <w:tcW w:w="2740" w:type="dxa"/>
            <w:vAlign w:val="bottom"/>
            <w:gridSpan w:val="2"/>
          </w:tcPr>
          <w:p>
            <w:pPr>
              <w:ind w:left="220"/>
              <w:spacing w:after="0"/>
              <w:rPr>
                <w:sz w:val="20"/>
                <w:szCs w:val="20"/>
                <w:color w:val="auto"/>
              </w:rPr>
            </w:pPr>
            <w:r>
              <w:rPr>
                <w:rFonts w:ascii="Arial" w:cs="Arial" w:eastAsia="Arial" w:hAnsi="Arial"/>
                <w:sz w:val="16"/>
                <w:szCs w:val="16"/>
                <w:color w:val="auto"/>
              </w:rPr>
              <w:t>Director</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ind w:left="200"/>
              <w:spacing w:after="0"/>
              <w:rPr>
                <w:sz w:val="20"/>
                <w:szCs w:val="20"/>
                <w:color w:val="auto"/>
              </w:rPr>
            </w:pPr>
            <w:r>
              <w:rPr>
                <w:rFonts w:ascii="Arial" w:cs="Arial" w:eastAsia="Arial" w:hAnsi="Arial"/>
                <w:sz w:val="16"/>
                <w:szCs w:val="16"/>
                <w:color w:val="auto"/>
              </w:rPr>
              <w:t>March 17, 2014</w:t>
            </w:r>
          </w:p>
        </w:tc>
      </w:tr>
      <w:tr>
        <w:trPr>
          <w:trHeight w:val="200"/>
        </w:trPr>
        <w:tc>
          <w:tcPr>
            <w:tcW w:w="3440" w:type="dxa"/>
            <w:vAlign w:val="bottom"/>
          </w:tcPr>
          <w:p>
            <w:pPr>
              <w:spacing w:after="0"/>
              <w:rPr>
                <w:sz w:val="20"/>
                <w:szCs w:val="20"/>
                <w:color w:val="auto"/>
              </w:rPr>
            </w:pPr>
            <w:r>
              <w:rPr>
                <w:rFonts w:ascii="Arial" w:cs="Arial" w:eastAsia="Arial" w:hAnsi="Arial"/>
                <w:sz w:val="16"/>
                <w:szCs w:val="16"/>
                <w:color w:val="auto"/>
              </w:rPr>
              <w:t>FRANKLIN M. BERGER</w:t>
            </w: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7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/s/Neal C. Bradsher</w:t>
            </w:r>
          </w:p>
        </w:tc>
        <w:tc>
          <w:tcPr>
            <w:tcW w:w="2740" w:type="dxa"/>
            <w:vAlign w:val="bottom"/>
            <w:gridSpan w:val="2"/>
          </w:tcPr>
          <w:p>
            <w:pPr>
              <w:ind w:left="220"/>
              <w:spacing w:after="0"/>
              <w:rPr>
                <w:sz w:val="20"/>
                <w:szCs w:val="20"/>
                <w:color w:val="auto"/>
              </w:rPr>
            </w:pPr>
            <w:r>
              <w:rPr>
                <w:rFonts w:ascii="Arial" w:cs="Arial" w:eastAsia="Arial" w:hAnsi="Arial"/>
                <w:sz w:val="16"/>
                <w:szCs w:val="16"/>
                <w:color w:val="auto"/>
              </w:rPr>
              <w:t>Director</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ind w:left="200"/>
              <w:spacing w:after="0"/>
              <w:rPr>
                <w:sz w:val="20"/>
                <w:szCs w:val="20"/>
                <w:color w:val="auto"/>
              </w:rPr>
            </w:pPr>
            <w:r>
              <w:rPr>
                <w:rFonts w:ascii="Arial" w:cs="Arial" w:eastAsia="Arial" w:hAnsi="Arial"/>
                <w:sz w:val="16"/>
                <w:szCs w:val="16"/>
                <w:color w:val="auto"/>
              </w:rPr>
              <w:t>March 17, 2014</w:t>
            </w:r>
          </w:p>
        </w:tc>
      </w:tr>
      <w:tr>
        <w:trPr>
          <w:trHeight w:val="200"/>
        </w:trPr>
        <w:tc>
          <w:tcPr>
            <w:tcW w:w="3440" w:type="dxa"/>
            <w:vAlign w:val="bottom"/>
          </w:tcPr>
          <w:p>
            <w:pPr>
              <w:spacing w:after="0"/>
              <w:rPr>
                <w:sz w:val="20"/>
                <w:szCs w:val="20"/>
                <w:color w:val="auto"/>
              </w:rPr>
            </w:pPr>
            <w:r>
              <w:rPr>
                <w:rFonts w:ascii="Arial" w:cs="Arial" w:eastAsia="Arial" w:hAnsi="Arial"/>
                <w:sz w:val="16"/>
                <w:szCs w:val="16"/>
                <w:color w:val="auto"/>
              </w:rPr>
              <w:t>NEAL C. BRADSHER</w:t>
            </w: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7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/s/Stephen C. Farrell</w:t>
            </w:r>
          </w:p>
        </w:tc>
        <w:tc>
          <w:tcPr>
            <w:tcW w:w="2740" w:type="dxa"/>
            <w:vAlign w:val="bottom"/>
            <w:gridSpan w:val="2"/>
          </w:tcPr>
          <w:p>
            <w:pPr>
              <w:ind w:left="220"/>
              <w:spacing w:after="0"/>
              <w:rPr>
                <w:sz w:val="20"/>
                <w:szCs w:val="20"/>
                <w:color w:val="auto"/>
              </w:rPr>
            </w:pPr>
            <w:r>
              <w:rPr>
                <w:rFonts w:ascii="Arial" w:cs="Arial" w:eastAsia="Arial" w:hAnsi="Arial"/>
                <w:sz w:val="16"/>
                <w:szCs w:val="16"/>
                <w:color w:val="auto"/>
              </w:rPr>
              <w:t>Director</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ind w:left="200"/>
              <w:spacing w:after="0"/>
              <w:rPr>
                <w:sz w:val="20"/>
                <w:szCs w:val="20"/>
                <w:color w:val="auto"/>
              </w:rPr>
            </w:pPr>
            <w:r>
              <w:rPr>
                <w:rFonts w:ascii="Arial" w:cs="Arial" w:eastAsia="Arial" w:hAnsi="Arial"/>
                <w:sz w:val="16"/>
                <w:szCs w:val="16"/>
                <w:color w:val="auto"/>
              </w:rPr>
              <w:t>March 17, 2014</w:t>
            </w:r>
          </w:p>
        </w:tc>
      </w:tr>
      <w:tr>
        <w:trPr>
          <w:trHeight w:val="200"/>
        </w:trPr>
        <w:tc>
          <w:tcPr>
            <w:tcW w:w="3440" w:type="dxa"/>
            <w:vAlign w:val="bottom"/>
          </w:tcPr>
          <w:p>
            <w:pPr>
              <w:spacing w:after="0"/>
              <w:rPr>
                <w:sz w:val="20"/>
                <w:szCs w:val="20"/>
                <w:color w:val="auto"/>
              </w:rPr>
            </w:pPr>
            <w:r>
              <w:rPr>
                <w:rFonts w:ascii="Arial" w:cs="Arial" w:eastAsia="Arial" w:hAnsi="Arial"/>
                <w:sz w:val="16"/>
                <w:szCs w:val="16"/>
                <w:color w:val="auto"/>
              </w:rPr>
              <w:t>STEPHEN C. FARRELL</w:t>
            </w: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7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/s/Alfred D. Kingsley</w:t>
            </w:r>
          </w:p>
        </w:tc>
        <w:tc>
          <w:tcPr>
            <w:tcW w:w="2740" w:type="dxa"/>
            <w:vAlign w:val="bottom"/>
            <w:gridSpan w:val="2"/>
          </w:tcPr>
          <w:p>
            <w:pPr>
              <w:ind w:left="220"/>
              <w:spacing w:after="0"/>
              <w:rPr>
                <w:sz w:val="20"/>
                <w:szCs w:val="20"/>
                <w:color w:val="auto"/>
              </w:rPr>
            </w:pPr>
            <w:r>
              <w:rPr>
                <w:rFonts w:ascii="Arial" w:cs="Arial" w:eastAsia="Arial" w:hAnsi="Arial"/>
                <w:sz w:val="16"/>
                <w:szCs w:val="16"/>
                <w:color w:val="auto"/>
              </w:rPr>
              <w:t>Director</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ind w:left="200"/>
              <w:spacing w:after="0"/>
              <w:rPr>
                <w:sz w:val="20"/>
                <w:szCs w:val="20"/>
                <w:color w:val="auto"/>
              </w:rPr>
            </w:pPr>
            <w:r>
              <w:rPr>
                <w:rFonts w:ascii="Arial" w:cs="Arial" w:eastAsia="Arial" w:hAnsi="Arial"/>
                <w:sz w:val="16"/>
                <w:szCs w:val="16"/>
                <w:color w:val="auto"/>
              </w:rPr>
              <w:t>March 17, 2014</w:t>
            </w:r>
          </w:p>
        </w:tc>
      </w:tr>
      <w:tr>
        <w:trPr>
          <w:trHeight w:val="200"/>
        </w:trPr>
        <w:tc>
          <w:tcPr>
            <w:tcW w:w="3440" w:type="dxa"/>
            <w:vAlign w:val="bottom"/>
          </w:tcPr>
          <w:p>
            <w:pPr>
              <w:spacing w:after="0"/>
              <w:rPr>
                <w:sz w:val="20"/>
                <w:szCs w:val="20"/>
                <w:color w:val="auto"/>
              </w:rPr>
            </w:pPr>
            <w:r>
              <w:rPr>
                <w:rFonts w:ascii="Arial" w:cs="Arial" w:eastAsia="Arial" w:hAnsi="Arial"/>
                <w:sz w:val="16"/>
                <w:szCs w:val="16"/>
                <w:color w:val="auto"/>
              </w:rPr>
              <w:t>ALFRED D. KINGSLEY</w:t>
            </w: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7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/s/Pedro Lichtinger</w:t>
            </w:r>
          </w:p>
        </w:tc>
        <w:tc>
          <w:tcPr>
            <w:tcW w:w="2740" w:type="dxa"/>
            <w:vAlign w:val="bottom"/>
            <w:gridSpan w:val="2"/>
          </w:tcPr>
          <w:p>
            <w:pPr>
              <w:ind w:left="220"/>
              <w:spacing w:after="0"/>
              <w:rPr>
                <w:sz w:val="20"/>
                <w:szCs w:val="20"/>
                <w:color w:val="auto"/>
              </w:rPr>
            </w:pPr>
            <w:r>
              <w:rPr>
                <w:rFonts w:ascii="Arial" w:cs="Arial" w:eastAsia="Arial" w:hAnsi="Arial"/>
                <w:sz w:val="16"/>
                <w:szCs w:val="16"/>
                <w:color w:val="auto"/>
              </w:rPr>
              <w:t>Director</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ind w:left="200"/>
              <w:spacing w:after="0"/>
              <w:rPr>
                <w:sz w:val="20"/>
                <w:szCs w:val="20"/>
                <w:color w:val="auto"/>
              </w:rPr>
            </w:pPr>
            <w:r>
              <w:rPr>
                <w:rFonts w:ascii="Arial" w:cs="Arial" w:eastAsia="Arial" w:hAnsi="Arial"/>
                <w:sz w:val="16"/>
                <w:szCs w:val="16"/>
                <w:color w:val="auto"/>
              </w:rPr>
              <w:t>March 17, 2014</w:t>
            </w:r>
          </w:p>
        </w:tc>
      </w:tr>
      <w:tr>
        <w:trPr>
          <w:trHeight w:val="200"/>
        </w:trPr>
        <w:tc>
          <w:tcPr>
            <w:tcW w:w="3440" w:type="dxa"/>
            <w:vAlign w:val="bottom"/>
          </w:tcPr>
          <w:p>
            <w:pPr>
              <w:spacing w:after="0"/>
              <w:rPr>
                <w:sz w:val="20"/>
                <w:szCs w:val="20"/>
                <w:color w:val="auto"/>
              </w:rPr>
            </w:pPr>
            <w:r>
              <w:rPr>
                <w:rFonts w:ascii="Arial" w:cs="Arial" w:eastAsia="Arial" w:hAnsi="Arial"/>
                <w:sz w:val="16"/>
                <w:szCs w:val="16"/>
                <w:color w:val="auto"/>
              </w:rPr>
              <w:t>PEDRO LICHTINGER</w:t>
            </w: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7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/s/Henry L. Nordhoff</w:t>
            </w:r>
          </w:p>
        </w:tc>
        <w:tc>
          <w:tcPr>
            <w:tcW w:w="2740" w:type="dxa"/>
            <w:vAlign w:val="bottom"/>
            <w:gridSpan w:val="2"/>
          </w:tcPr>
          <w:p>
            <w:pPr>
              <w:ind w:left="220"/>
              <w:spacing w:after="0"/>
              <w:rPr>
                <w:sz w:val="20"/>
                <w:szCs w:val="20"/>
                <w:color w:val="auto"/>
              </w:rPr>
            </w:pPr>
            <w:r>
              <w:rPr>
                <w:rFonts w:ascii="Arial" w:cs="Arial" w:eastAsia="Arial" w:hAnsi="Arial"/>
                <w:sz w:val="16"/>
                <w:szCs w:val="16"/>
                <w:color w:val="auto"/>
              </w:rPr>
              <w:t>Director</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ind w:left="200"/>
              <w:spacing w:after="0"/>
              <w:rPr>
                <w:sz w:val="20"/>
                <w:szCs w:val="20"/>
                <w:color w:val="auto"/>
              </w:rPr>
            </w:pPr>
            <w:r>
              <w:rPr>
                <w:rFonts w:ascii="Arial" w:cs="Arial" w:eastAsia="Arial" w:hAnsi="Arial"/>
                <w:sz w:val="16"/>
                <w:szCs w:val="16"/>
                <w:color w:val="auto"/>
              </w:rPr>
              <w:t>March 17, 2014</w:t>
            </w:r>
          </w:p>
        </w:tc>
      </w:tr>
      <w:tr>
        <w:trPr>
          <w:trHeight w:val="200"/>
        </w:trPr>
        <w:tc>
          <w:tcPr>
            <w:tcW w:w="3440" w:type="dxa"/>
            <w:vAlign w:val="bottom"/>
          </w:tcPr>
          <w:p>
            <w:pPr>
              <w:spacing w:after="0"/>
              <w:rPr>
                <w:sz w:val="20"/>
                <w:szCs w:val="20"/>
                <w:color w:val="auto"/>
              </w:rPr>
            </w:pPr>
            <w:r>
              <w:rPr>
                <w:rFonts w:ascii="Arial" w:cs="Arial" w:eastAsia="Arial" w:hAnsi="Arial"/>
                <w:sz w:val="16"/>
                <w:szCs w:val="16"/>
                <w:color w:val="auto"/>
              </w:rPr>
              <w:t>HENRY L. NORDHOFF</w:t>
            </w: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7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/s/Judith Segall</w:t>
            </w:r>
          </w:p>
        </w:tc>
        <w:tc>
          <w:tcPr>
            <w:tcW w:w="2740" w:type="dxa"/>
            <w:vAlign w:val="bottom"/>
            <w:gridSpan w:val="2"/>
          </w:tcPr>
          <w:p>
            <w:pPr>
              <w:ind w:left="220"/>
              <w:spacing w:after="0"/>
              <w:rPr>
                <w:sz w:val="20"/>
                <w:szCs w:val="20"/>
                <w:color w:val="auto"/>
              </w:rPr>
            </w:pPr>
            <w:r>
              <w:rPr>
                <w:rFonts w:ascii="Arial" w:cs="Arial" w:eastAsia="Arial" w:hAnsi="Arial"/>
                <w:sz w:val="16"/>
                <w:szCs w:val="16"/>
                <w:color w:val="auto"/>
              </w:rPr>
              <w:t>Director</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ind w:left="200"/>
              <w:spacing w:after="0"/>
              <w:rPr>
                <w:sz w:val="20"/>
                <w:szCs w:val="20"/>
                <w:color w:val="auto"/>
              </w:rPr>
            </w:pPr>
            <w:r>
              <w:rPr>
                <w:rFonts w:ascii="Arial" w:cs="Arial" w:eastAsia="Arial" w:hAnsi="Arial"/>
                <w:sz w:val="16"/>
                <w:szCs w:val="16"/>
                <w:color w:val="auto"/>
              </w:rPr>
              <w:t>March 17, 2014</w:t>
            </w:r>
          </w:p>
        </w:tc>
      </w:tr>
      <w:tr>
        <w:trPr>
          <w:trHeight w:val="200"/>
        </w:trPr>
        <w:tc>
          <w:tcPr>
            <w:tcW w:w="3440" w:type="dxa"/>
            <w:vAlign w:val="bottom"/>
          </w:tcPr>
          <w:p>
            <w:pPr>
              <w:spacing w:after="0"/>
              <w:rPr>
                <w:sz w:val="20"/>
                <w:szCs w:val="20"/>
                <w:color w:val="auto"/>
              </w:rPr>
            </w:pPr>
            <w:r>
              <w:rPr>
                <w:rFonts w:ascii="Arial" w:cs="Arial" w:eastAsia="Arial" w:hAnsi="Arial"/>
                <w:sz w:val="16"/>
                <w:szCs w:val="16"/>
                <w:color w:val="auto"/>
              </w:rPr>
              <w:t>JUDITH SEGALL</w:t>
            </w: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71"/>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/s/Andrew von Eschenbach</w:t>
            </w:r>
          </w:p>
        </w:tc>
        <w:tc>
          <w:tcPr>
            <w:tcW w:w="2740" w:type="dxa"/>
            <w:vAlign w:val="bottom"/>
            <w:gridSpan w:val="2"/>
          </w:tcPr>
          <w:p>
            <w:pPr>
              <w:ind w:left="220"/>
              <w:spacing w:after="0"/>
              <w:rPr>
                <w:sz w:val="20"/>
                <w:szCs w:val="20"/>
                <w:color w:val="auto"/>
              </w:rPr>
            </w:pPr>
            <w:r>
              <w:rPr>
                <w:rFonts w:ascii="Arial" w:cs="Arial" w:eastAsia="Arial" w:hAnsi="Arial"/>
                <w:sz w:val="16"/>
                <w:szCs w:val="16"/>
                <w:color w:val="auto"/>
              </w:rPr>
              <w:t>Director</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ind w:left="200"/>
              <w:spacing w:after="0"/>
              <w:rPr>
                <w:sz w:val="20"/>
                <w:szCs w:val="20"/>
                <w:color w:val="auto"/>
              </w:rPr>
            </w:pPr>
            <w:r>
              <w:rPr>
                <w:rFonts w:ascii="Arial" w:cs="Arial" w:eastAsia="Arial" w:hAnsi="Arial"/>
                <w:sz w:val="16"/>
                <w:szCs w:val="16"/>
                <w:color w:val="auto"/>
              </w:rPr>
              <w:t>March 17, 2014</w:t>
            </w:r>
          </w:p>
        </w:tc>
      </w:tr>
      <w:tr>
        <w:trPr>
          <w:trHeight w:val="200"/>
        </w:trPr>
        <w:tc>
          <w:tcPr>
            <w:tcW w:w="3440" w:type="dxa"/>
            <w:vAlign w:val="bottom"/>
          </w:tcPr>
          <w:p>
            <w:pPr>
              <w:spacing w:after="0"/>
              <w:rPr>
                <w:sz w:val="20"/>
                <w:szCs w:val="20"/>
                <w:color w:val="auto"/>
              </w:rPr>
            </w:pPr>
            <w:r>
              <w:rPr>
                <w:rFonts w:ascii="Arial" w:cs="Arial" w:eastAsia="Arial" w:hAnsi="Arial"/>
                <w:sz w:val="16"/>
                <w:szCs w:val="16"/>
                <w:color w:val="auto"/>
              </w:rPr>
              <w:t>ANDREW VON ESCHENBACH</w:t>
            </w: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511"/>
        </w:trPr>
        <w:tc>
          <w:tcPr>
            <w:tcW w:w="3440" w:type="dxa"/>
            <w:vAlign w:val="bottom"/>
          </w:tcPr>
          <w:p>
            <w:pPr>
              <w:spacing w:after="0"/>
              <w:rPr>
                <w:sz w:val="24"/>
                <w:szCs w:val="24"/>
                <w:color w:val="auto"/>
              </w:rPr>
            </w:pPr>
          </w:p>
        </w:tc>
        <w:tc>
          <w:tcPr>
            <w:tcW w:w="2740" w:type="dxa"/>
            <w:vAlign w:val="bottom"/>
            <w:gridSpan w:val="2"/>
          </w:tcPr>
          <w:p>
            <w:pPr>
              <w:jc w:val="right"/>
              <w:ind w:right="301"/>
              <w:spacing w:after="0"/>
              <w:rPr>
                <w:sz w:val="20"/>
                <w:szCs w:val="20"/>
                <w:color w:val="auto"/>
              </w:rPr>
            </w:pPr>
            <w:r>
              <w:rPr>
                <w:rFonts w:ascii="Arial" w:cs="Arial" w:eastAsia="Arial" w:hAnsi="Arial"/>
                <w:sz w:val="13"/>
                <w:szCs w:val="13"/>
                <w:color w:val="auto"/>
              </w:rPr>
              <w:t>143</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7"/>
        </w:trPr>
        <w:tc>
          <w:tcPr>
            <w:tcW w:w="34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4" w:right="21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gridSpan w:val="2"/>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560" w:type="dxa"/>
            <w:vAlign w:val="bottom"/>
          </w:tcPr>
          <w:p>
            <w:pPr>
              <w:spacing w:after="0"/>
              <w:rPr>
                <w:sz w:val="13"/>
                <w:szCs w:val="13"/>
                <w:color w:val="auto"/>
              </w:rPr>
            </w:pPr>
          </w:p>
        </w:tc>
      </w:tr>
      <w:tr>
        <w:trPr>
          <w:trHeight w:val="322"/>
        </w:trPr>
        <w:tc>
          <w:tcPr>
            <w:tcW w:w="880" w:type="dxa"/>
            <w:vAlign w:val="bottom"/>
            <w:gridSpan w:val="2"/>
          </w:tcPr>
          <w:p>
            <w:pPr>
              <w:spacing w:after="0"/>
              <w:rPr>
                <w:sz w:val="20"/>
                <w:szCs w:val="20"/>
                <w:color w:val="auto"/>
              </w:rPr>
            </w:pPr>
            <w:r>
              <w:rPr>
                <w:rFonts w:ascii="Arial" w:cs="Arial" w:eastAsia="Arial" w:hAnsi="Arial"/>
                <w:sz w:val="16"/>
                <w:szCs w:val="16"/>
                <w:color w:val="auto"/>
              </w:rPr>
              <w:t>Exhibit</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560" w:type="dxa"/>
            <w:vAlign w:val="bottom"/>
          </w:tcPr>
          <w:p>
            <w:pPr>
              <w:spacing w:after="0"/>
              <w:rPr>
                <w:sz w:val="24"/>
                <w:szCs w:val="24"/>
                <w:color w:val="auto"/>
              </w:rPr>
            </w:pPr>
          </w:p>
        </w:tc>
      </w:tr>
      <w:tr>
        <w:trPr>
          <w:trHeight w:val="166"/>
        </w:trPr>
        <w:tc>
          <w:tcPr>
            <w:tcW w:w="580" w:type="dxa"/>
            <w:vAlign w:val="bottom"/>
          </w:tcPr>
          <w:p>
            <w:pPr>
              <w:spacing w:after="0" w:line="166" w:lineRule="exact"/>
              <w:rPr>
                <w:sz w:val="20"/>
                <w:szCs w:val="20"/>
                <w:color w:val="auto"/>
              </w:rPr>
            </w:pPr>
            <w:r>
              <w:rPr>
                <w:rFonts w:ascii="Arial" w:cs="Arial" w:eastAsia="Arial" w:hAnsi="Arial"/>
                <w:sz w:val="16"/>
                <w:szCs w:val="16"/>
                <w:color w:val="auto"/>
                <w:w w:val="86"/>
              </w:rPr>
              <w:t>Numbers</w:t>
            </w:r>
          </w:p>
        </w:tc>
        <w:tc>
          <w:tcPr>
            <w:tcW w:w="300" w:type="dxa"/>
            <w:vAlign w:val="bottom"/>
          </w:tcPr>
          <w:p>
            <w:pPr>
              <w:spacing w:after="0"/>
              <w:rPr>
                <w:sz w:val="14"/>
                <w:szCs w:val="14"/>
                <w:color w:val="auto"/>
              </w:rPr>
            </w:pPr>
          </w:p>
        </w:tc>
        <w:tc>
          <w:tcPr>
            <w:tcW w:w="10560" w:type="dxa"/>
            <w:vAlign w:val="bottom"/>
            <w:gridSpan w:val="3"/>
          </w:tcPr>
          <w:p>
            <w:pPr>
              <w:ind w:left="280"/>
              <w:spacing w:after="0" w:line="166" w:lineRule="exact"/>
              <w:rPr>
                <w:sz w:val="20"/>
                <w:szCs w:val="20"/>
                <w:color w:val="auto"/>
              </w:rPr>
            </w:pPr>
            <w:r>
              <w:rPr>
                <w:rFonts w:ascii="Arial" w:cs="Arial" w:eastAsia="Arial" w:hAnsi="Arial"/>
                <w:sz w:val="16"/>
                <w:szCs w:val="16"/>
                <w:color w:val="auto"/>
              </w:rPr>
              <w:t>Description</w:t>
            </w:r>
          </w:p>
        </w:tc>
      </w:tr>
      <w:tr>
        <w:trPr>
          <w:trHeight w:val="28"/>
        </w:trPr>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560" w:type="dxa"/>
            <w:vAlign w:val="bottom"/>
          </w:tcPr>
          <w:p>
            <w:pPr>
              <w:spacing w:after="0"/>
              <w:rPr>
                <w:sz w:val="2"/>
                <w:szCs w:val="2"/>
                <w:color w:val="auto"/>
              </w:rPr>
            </w:pPr>
          </w:p>
        </w:tc>
      </w:tr>
      <w:tr>
        <w:trPr>
          <w:trHeight w:val="197"/>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CEEFF"/>
          </w:tcPr>
          <w:p>
            <w:pPr>
              <w:spacing w:after="0"/>
              <w:rPr>
                <w:sz w:val="17"/>
                <w:szCs w:val="17"/>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Agreement and Plan of Merger, dated February 11, 2010, between Glycosan BioSystems, Inc., OrthoCyte Corporation, and BioTime, Inc. (1)</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77"/>
        </w:trPr>
        <w:tc>
          <w:tcPr>
            <w:tcW w:w="5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2.2</w:t>
            </w:r>
          </w:p>
        </w:tc>
        <w:tc>
          <w:tcPr>
            <w:tcW w:w="300" w:type="dxa"/>
            <w:vAlign w:val="bottom"/>
            <w:shd w:val="clear" w:color="auto" w:fill="CCEEFF"/>
          </w:tcPr>
          <w:p>
            <w:pPr>
              <w:spacing w:after="0"/>
              <w:rPr>
                <w:sz w:val="15"/>
                <w:szCs w:val="15"/>
                <w:color w:val="auto"/>
              </w:rPr>
            </w:pPr>
          </w:p>
        </w:tc>
        <w:tc>
          <w:tcPr>
            <w:tcW w:w="10560" w:type="dxa"/>
            <w:vAlign w:val="bottom"/>
            <w:gridSpan w:val="3"/>
            <w:shd w:val="clear" w:color="auto" w:fill="CCEEFF"/>
          </w:tcPr>
          <w:p>
            <w:pPr>
              <w:ind w:left="280"/>
              <w:spacing w:after="0" w:line="177" w:lineRule="exact"/>
              <w:rPr>
                <w:sz w:val="20"/>
                <w:szCs w:val="20"/>
                <w:color w:val="auto"/>
              </w:rPr>
            </w:pPr>
            <w:r>
              <w:rPr>
                <w:rFonts w:ascii="Arial" w:cs="Arial" w:eastAsia="Arial" w:hAnsi="Arial"/>
                <w:sz w:val="16"/>
                <w:szCs w:val="16"/>
                <w:color w:val="auto"/>
                <w:w w:val="91"/>
              </w:rPr>
              <w:t>Agreement and Plan of Merger, dated April 19, 2012, by and among XenneX, Inc., LifeMap Sciences, Inc., BioTime, Inc. and the stockholders of XenneX, Inc.</w:t>
            </w:r>
          </w:p>
        </w:tc>
      </w:tr>
      <w:tr>
        <w:trPr>
          <w:trHeight w:val="202"/>
        </w:trPr>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named therein. (Portions of this exhibit have been omitted pursuant to a request for confidential treatment). (2)</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77"/>
        </w:trPr>
        <w:tc>
          <w:tcPr>
            <w:tcW w:w="5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2.3</w:t>
            </w:r>
          </w:p>
        </w:tc>
        <w:tc>
          <w:tcPr>
            <w:tcW w:w="300" w:type="dxa"/>
            <w:vAlign w:val="bottom"/>
            <w:shd w:val="clear" w:color="auto" w:fill="CCEEFF"/>
          </w:tcPr>
          <w:p>
            <w:pPr>
              <w:spacing w:after="0"/>
              <w:rPr>
                <w:sz w:val="15"/>
                <w:szCs w:val="15"/>
                <w:color w:val="auto"/>
              </w:rPr>
            </w:pPr>
          </w:p>
        </w:tc>
        <w:tc>
          <w:tcPr>
            <w:tcW w:w="10560" w:type="dxa"/>
            <w:vAlign w:val="bottom"/>
            <w:gridSpan w:val="3"/>
            <w:shd w:val="clear" w:color="auto" w:fill="CCEEFF"/>
          </w:tcPr>
          <w:p>
            <w:pPr>
              <w:ind w:left="280"/>
              <w:spacing w:after="0" w:line="177" w:lineRule="exact"/>
              <w:rPr>
                <w:sz w:val="20"/>
                <w:szCs w:val="20"/>
                <w:color w:val="auto"/>
              </w:rPr>
            </w:pPr>
            <w:r>
              <w:rPr>
                <w:rFonts w:ascii="Arial" w:cs="Arial" w:eastAsia="Arial" w:hAnsi="Arial"/>
                <w:sz w:val="16"/>
                <w:szCs w:val="16"/>
                <w:color w:val="auto"/>
                <w:w w:val="90"/>
              </w:rPr>
              <w:t>Asset Contribution Agreement, dated January 4, 2013, by and among BioTime, Inc., BioTime Acquisition Corporation, and Geron Corporation. Schedules to the</w:t>
            </w:r>
          </w:p>
        </w:tc>
      </w:tr>
      <w:tr>
        <w:trPr>
          <w:trHeight w:val="202"/>
        </w:trPr>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89"/>
              </w:rPr>
              <w:t>Asset Contribution Agreement have been omitted. BioTime agrees to furnish supplementally a copy of the omitted schedules to the Commission upon request. (3)</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3.1</w:t>
            </w:r>
          </w:p>
        </w:tc>
        <w:tc>
          <w:tcPr>
            <w:tcW w:w="300" w:type="dxa"/>
            <w:vAlign w:val="bottom"/>
            <w:shd w:val="clear" w:color="auto" w:fill="CCEEFF"/>
          </w:tcPr>
          <w:p>
            <w:pPr>
              <w:spacing w:after="0"/>
              <w:rPr>
                <w:sz w:val="16"/>
                <w:szCs w:val="16"/>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Articles of Incorporation with all amendments (25)</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3.2</w:t>
            </w:r>
          </w:p>
        </w:tc>
        <w:tc>
          <w:tcPr>
            <w:tcW w:w="300" w:type="dxa"/>
            <w:vAlign w:val="bottom"/>
            <w:shd w:val="clear" w:color="auto" w:fill="CCEEFF"/>
          </w:tcPr>
          <w:p>
            <w:pPr>
              <w:spacing w:after="0"/>
              <w:rPr>
                <w:sz w:val="16"/>
                <w:szCs w:val="16"/>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By-Laws, As Amended. (4)</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4.1</w:t>
            </w:r>
          </w:p>
        </w:tc>
        <w:tc>
          <w:tcPr>
            <w:tcW w:w="300" w:type="dxa"/>
            <w:vAlign w:val="bottom"/>
            <w:shd w:val="clear" w:color="auto" w:fill="CCEEFF"/>
          </w:tcPr>
          <w:p>
            <w:pPr>
              <w:spacing w:after="0"/>
              <w:rPr>
                <w:sz w:val="16"/>
                <w:szCs w:val="16"/>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Specimen of Common Share Certificate. (5)</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4.2</w:t>
            </w:r>
          </w:p>
        </w:tc>
        <w:tc>
          <w:tcPr>
            <w:tcW w:w="300" w:type="dxa"/>
            <w:vAlign w:val="bottom"/>
            <w:shd w:val="clear" w:color="auto" w:fill="CCEEFF"/>
          </w:tcPr>
          <w:p>
            <w:pPr>
              <w:spacing w:after="0"/>
              <w:rPr>
                <w:sz w:val="16"/>
                <w:szCs w:val="16"/>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Specimen of Series A Convertible Preferred Stock Certificate (6)</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4.3</w:t>
            </w:r>
          </w:p>
        </w:tc>
        <w:tc>
          <w:tcPr>
            <w:tcW w:w="300" w:type="dxa"/>
            <w:vAlign w:val="bottom"/>
            <w:shd w:val="clear" w:color="auto" w:fill="CCEEFF"/>
          </w:tcPr>
          <w:p>
            <w:pPr>
              <w:spacing w:after="0"/>
              <w:rPr>
                <w:sz w:val="16"/>
                <w:szCs w:val="16"/>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Certificate of Determination of Series A Convertible Preferred Stock (6)</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4.4</w:t>
            </w:r>
          </w:p>
        </w:tc>
        <w:tc>
          <w:tcPr>
            <w:tcW w:w="300" w:type="dxa"/>
            <w:vAlign w:val="bottom"/>
            <w:shd w:val="clear" w:color="auto" w:fill="CCEEFF"/>
          </w:tcPr>
          <w:p>
            <w:pPr>
              <w:spacing w:after="0"/>
              <w:rPr>
                <w:sz w:val="16"/>
                <w:szCs w:val="16"/>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Warrant Agreement between BioTime, Inc., Broadwood Partners, L.P., and George Karfunkel. (7)</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4.5</w:t>
            </w:r>
          </w:p>
        </w:tc>
        <w:tc>
          <w:tcPr>
            <w:tcW w:w="300" w:type="dxa"/>
            <w:vAlign w:val="bottom"/>
            <w:shd w:val="clear" w:color="auto" w:fill="CCEEFF"/>
          </w:tcPr>
          <w:p>
            <w:pPr>
              <w:spacing w:after="0"/>
              <w:rPr>
                <w:sz w:val="16"/>
                <w:szCs w:val="16"/>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Form of Warrant. (7)</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4.6</w:t>
            </w:r>
          </w:p>
        </w:tc>
        <w:tc>
          <w:tcPr>
            <w:tcW w:w="300" w:type="dxa"/>
            <w:vAlign w:val="bottom"/>
            <w:shd w:val="clear" w:color="auto" w:fill="CCEEFF"/>
          </w:tcPr>
          <w:p>
            <w:pPr>
              <w:spacing w:after="0"/>
              <w:rPr>
                <w:sz w:val="16"/>
                <w:szCs w:val="16"/>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Warrant Agreement between BioTime, Inc. and Biomedical Sciences Investment Fund Pte. Ltd. (8)</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4.7</w:t>
            </w:r>
          </w:p>
        </w:tc>
        <w:tc>
          <w:tcPr>
            <w:tcW w:w="300" w:type="dxa"/>
            <w:vAlign w:val="bottom"/>
            <w:shd w:val="clear" w:color="auto" w:fill="CCEEFF"/>
          </w:tcPr>
          <w:p>
            <w:pPr>
              <w:spacing w:after="0"/>
              <w:rPr>
                <w:sz w:val="16"/>
                <w:szCs w:val="16"/>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Warrant Agreement between BioTime, Inc. and Romulus Films, Ltd. (9)</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4.8</w:t>
            </w:r>
          </w:p>
        </w:tc>
        <w:tc>
          <w:tcPr>
            <w:tcW w:w="300" w:type="dxa"/>
            <w:vAlign w:val="bottom"/>
            <w:shd w:val="clear" w:color="auto" w:fill="CCEEFF"/>
          </w:tcPr>
          <w:p>
            <w:pPr>
              <w:spacing w:after="0"/>
              <w:rPr>
                <w:sz w:val="16"/>
                <w:szCs w:val="16"/>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Form of Warrant. (included in Exhibit 4.7) (9)</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4.9</w:t>
            </w:r>
          </w:p>
        </w:tc>
        <w:tc>
          <w:tcPr>
            <w:tcW w:w="300" w:type="dxa"/>
            <w:vAlign w:val="bottom"/>
            <w:shd w:val="clear" w:color="auto" w:fill="CCEEFF"/>
          </w:tcPr>
          <w:p>
            <w:pPr>
              <w:spacing w:after="0"/>
              <w:rPr>
                <w:sz w:val="16"/>
                <w:szCs w:val="16"/>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Form of Warrant Issued June 2013 (10)</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77"/>
        </w:trPr>
        <w:tc>
          <w:tcPr>
            <w:tcW w:w="5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4.10</w:t>
            </w:r>
          </w:p>
        </w:tc>
        <w:tc>
          <w:tcPr>
            <w:tcW w:w="300" w:type="dxa"/>
            <w:vAlign w:val="bottom"/>
            <w:shd w:val="clear" w:color="auto" w:fill="CCEEFF"/>
          </w:tcPr>
          <w:p>
            <w:pPr>
              <w:spacing w:after="0"/>
              <w:rPr>
                <w:sz w:val="15"/>
                <w:szCs w:val="15"/>
                <w:color w:val="auto"/>
              </w:rPr>
            </w:pPr>
          </w:p>
        </w:tc>
        <w:tc>
          <w:tcPr>
            <w:tcW w:w="10560" w:type="dxa"/>
            <w:vAlign w:val="bottom"/>
            <w:gridSpan w:val="3"/>
            <w:shd w:val="clear" w:color="auto" w:fill="CCEEFF"/>
          </w:tcPr>
          <w:p>
            <w:pPr>
              <w:ind w:left="280"/>
              <w:spacing w:after="0" w:line="177" w:lineRule="exact"/>
              <w:rPr>
                <w:sz w:val="20"/>
                <w:szCs w:val="20"/>
                <w:color w:val="auto"/>
              </w:rPr>
            </w:pPr>
            <w:r>
              <w:rPr>
                <w:rFonts w:ascii="Arial" w:cs="Arial" w:eastAsia="Arial" w:hAnsi="Arial"/>
                <w:sz w:val="16"/>
                <w:szCs w:val="16"/>
                <w:color w:val="auto"/>
                <w:w w:val="89"/>
              </w:rPr>
              <w:t>Warrant Agreement, dated as of October 1, 2013, between BioTime, Inc. and American Stock Transfer &amp; Trust Company, LLC as Warrant Agent for the benefit of</w:t>
            </w:r>
          </w:p>
        </w:tc>
      </w:tr>
      <w:tr>
        <w:trPr>
          <w:trHeight w:val="202"/>
        </w:trPr>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Asterias Biotherapeutics, Inc. (11)</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4.11</w:t>
            </w:r>
          </w:p>
        </w:tc>
        <w:tc>
          <w:tcPr>
            <w:tcW w:w="300" w:type="dxa"/>
            <w:vAlign w:val="bottom"/>
            <w:shd w:val="clear" w:color="auto" w:fill="CCEEFF"/>
          </w:tcPr>
          <w:p>
            <w:pPr>
              <w:spacing w:after="0"/>
              <w:rPr>
                <w:sz w:val="16"/>
                <w:szCs w:val="16"/>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Warrant Issued October 1, 2013 to Asterias Biotherapeutics, Inc. (included in Exhibit 4.6) (11)</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10.1</w:t>
            </w:r>
          </w:p>
        </w:tc>
        <w:tc>
          <w:tcPr>
            <w:tcW w:w="300" w:type="dxa"/>
            <w:vAlign w:val="bottom"/>
            <w:shd w:val="clear" w:color="auto" w:fill="CCEEFF"/>
          </w:tcPr>
          <w:p>
            <w:pPr>
              <w:spacing w:after="0"/>
              <w:rPr>
                <w:sz w:val="16"/>
                <w:szCs w:val="16"/>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Intellectual Property Agreement between BioTime, Inc. and Hal Sternberg. (6)</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10.2</w:t>
            </w:r>
          </w:p>
        </w:tc>
        <w:tc>
          <w:tcPr>
            <w:tcW w:w="300" w:type="dxa"/>
            <w:vAlign w:val="bottom"/>
            <w:shd w:val="clear" w:color="auto" w:fill="CCEEFF"/>
          </w:tcPr>
          <w:p>
            <w:pPr>
              <w:spacing w:after="0"/>
              <w:rPr>
                <w:sz w:val="16"/>
                <w:szCs w:val="16"/>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Intellectual Property Agreement between BioTime, Inc. and Judith Segall. (6)</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89"/>
        </w:trPr>
        <w:tc>
          <w:tcPr>
            <w:tcW w:w="580" w:type="dxa"/>
            <w:vAlign w:val="bottom"/>
            <w:shd w:val="clear" w:color="auto" w:fill="CCEEFF"/>
          </w:tcPr>
          <w:p>
            <w:pPr>
              <w:spacing w:after="0"/>
              <w:rPr>
                <w:sz w:val="20"/>
                <w:szCs w:val="20"/>
                <w:color w:val="auto"/>
              </w:rPr>
            </w:pPr>
            <w:r>
              <w:rPr>
                <w:rFonts w:ascii="Arial" w:cs="Arial" w:eastAsia="Arial" w:hAnsi="Arial"/>
                <w:sz w:val="16"/>
                <w:szCs w:val="16"/>
                <w:color w:val="auto"/>
              </w:rPr>
              <w:t>10.3</w:t>
            </w:r>
          </w:p>
        </w:tc>
        <w:tc>
          <w:tcPr>
            <w:tcW w:w="300" w:type="dxa"/>
            <w:vAlign w:val="bottom"/>
            <w:shd w:val="clear" w:color="auto" w:fill="CCEEFF"/>
          </w:tcPr>
          <w:p>
            <w:pPr>
              <w:spacing w:after="0"/>
              <w:rPr>
                <w:sz w:val="16"/>
                <w:szCs w:val="16"/>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2002 Stock Option Plan, as amended. (12)</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77"/>
        </w:trPr>
        <w:tc>
          <w:tcPr>
            <w:tcW w:w="5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10.4</w:t>
            </w:r>
          </w:p>
        </w:tc>
        <w:tc>
          <w:tcPr>
            <w:tcW w:w="300" w:type="dxa"/>
            <w:vAlign w:val="bottom"/>
            <w:shd w:val="clear" w:color="auto" w:fill="CCEEFF"/>
          </w:tcPr>
          <w:p>
            <w:pPr>
              <w:spacing w:after="0"/>
              <w:rPr>
                <w:sz w:val="15"/>
                <w:szCs w:val="15"/>
                <w:color w:val="auto"/>
              </w:rPr>
            </w:pPr>
          </w:p>
        </w:tc>
        <w:tc>
          <w:tcPr>
            <w:tcW w:w="10560" w:type="dxa"/>
            <w:vAlign w:val="bottom"/>
            <w:gridSpan w:val="3"/>
            <w:shd w:val="clear" w:color="auto" w:fill="CCEEFF"/>
          </w:tcPr>
          <w:p>
            <w:pPr>
              <w:ind w:left="280"/>
              <w:spacing w:after="0" w:line="177" w:lineRule="exact"/>
              <w:rPr>
                <w:sz w:val="20"/>
                <w:szCs w:val="20"/>
                <w:color w:val="auto"/>
              </w:rPr>
            </w:pPr>
            <w:r>
              <w:rPr>
                <w:rFonts w:ascii="Arial" w:cs="Arial" w:eastAsia="Arial" w:hAnsi="Arial"/>
                <w:sz w:val="16"/>
                <w:szCs w:val="16"/>
                <w:color w:val="auto"/>
                <w:w w:val="92"/>
              </w:rPr>
              <w:t>Exclusive License Agreement between Abbott Laboratories and BioTime, Inc. (Portions of this exhibit have been omitted pursuant to a request for confidential</w:t>
            </w:r>
          </w:p>
        </w:tc>
      </w:tr>
      <w:tr>
        <w:trPr>
          <w:trHeight w:val="202"/>
        </w:trPr>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treatment) (13)</w:t>
            </w:r>
          </w:p>
        </w:tc>
      </w:tr>
      <w:tr>
        <w:trPr>
          <w:trHeight w:val="189"/>
        </w:trPr>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560" w:type="dxa"/>
            <w:vAlign w:val="bottom"/>
          </w:tcPr>
          <w:p>
            <w:pPr>
              <w:spacing w:after="0"/>
              <w:rPr>
                <w:sz w:val="16"/>
                <w:szCs w:val="16"/>
                <w:color w:val="auto"/>
              </w:rPr>
            </w:pPr>
          </w:p>
        </w:tc>
      </w:tr>
      <w:tr>
        <w:trPr>
          <w:trHeight w:val="177"/>
        </w:trPr>
        <w:tc>
          <w:tcPr>
            <w:tcW w:w="5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10.5</w:t>
            </w:r>
          </w:p>
        </w:tc>
        <w:tc>
          <w:tcPr>
            <w:tcW w:w="300" w:type="dxa"/>
            <w:vAlign w:val="bottom"/>
            <w:shd w:val="clear" w:color="auto" w:fill="CCEEFF"/>
          </w:tcPr>
          <w:p>
            <w:pPr>
              <w:spacing w:after="0"/>
              <w:rPr>
                <w:sz w:val="15"/>
                <w:szCs w:val="15"/>
                <w:color w:val="auto"/>
              </w:rPr>
            </w:pPr>
          </w:p>
        </w:tc>
        <w:tc>
          <w:tcPr>
            <w:tcW w:w="10560" w:type="dxa"/>
            <w:vAlign w:val="bottom"/>
            <w:gridSpan w:val="3"/>
            <w:shd w:val="clear" w:color="auto" w:fill="CCEEFF"/>
          </w:tcPr>
          <w:p>
            <w:pPr>
              <w:ind w:left="280"/>
              <w:spacing w:after="0" w:line="177" w:lineRule="exact"/>
              <w:rPr>
                <w:sz w:val="20"/>
                <w:szCs w:val="20"/>
                <w:color w:val="auto"/>
              </w:rPr>
            </w:pPr>
            <w:r>
              <w:rPr>
                <w:rFonts w:ascii="Arial" w:cs="Arial" w:eastAsia="Arial" w:hAnsi="Arial"/>
                <w:sz w:val="16"/>
                <w:szCs w:val="16"/>
                <w:color w:val="auto"/>
                <w:w w:val="90"/>
              </w:rPr>
              <w:t>Modification of Exclusive License Agreement between Abbott Laboratories and BioTime, Inc. (Portions of this exhibit have been omitted pursuant to a request for</w:t>
            </w:r>
          </w:p>
        </w:tc>
      </w:tr>
      <w:tr>
        <w:trPr>
          <w:trHeight w:val="202"/>
        </w:trPr>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56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confidential treatment). (14)</w:t>
            </w:r>
          </w:p>
        </w:tc>
      </w:tr>
      <w:tr>
        <w:trPr>
          <w:trHeight w:val="522"/>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560" w:type="dxa"/>
            <w:vAlign w:val="bottom"/>
            <w:gridSpan w:val="3"/>
          </w:tcPr>
          <w:p>
            <w:pPr>
              <w:ind w:left="4740"/>
              <w:spacing w:after="0"/>
              <w:rPr>
                <w:sz w:val="20"/>
                <w:szCs w:val="20"/>
                <w:color w:val="auto"/>
              </w:rPr>
            </w:pPr>
            <w:r>
              <w:rPr>
                <w:rFonts w:ascii="Arial" w:cs="Arial" w:eastAsia="Arial" w:hAnsi="Arial"/>
                <w:sz w:val="13"/>
                <w:szCs w:val="13"/>
                <w:color w:val="auto"/>
              </w:rPr>
              <w:t>144</w:t>
            </w:r>
          </w:p>
        </w:tc>
      </w:tr>
      <w:tr>
        <w:trPr>
          <w:trHeight w:val="37"/>
        </w:trPr>
        <w:tc>
          <w:tcPr>
            <w:tcW w:w="5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956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08" w:right="21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10560" w:type="dxa"/>
            <w:vAlign w:val="bottom"/>
          </w:tcPr>
          <w:p>
            <w:pPr>
              <w:spacing w:after="0"/>
              <w:rPr>
                <w:sz w:val="13"/>
                <w:szCs w:val="13"/>
                <w:color w:val="auto"/>
              </w:rPr>
            </w:pPr>
          </w:p>
        </w:tc>
      </w:tr>
      <w:tr>
        <w:trPr>
          <w:trHeight w:val="145"/>
        </w:trPr>
        <w:tc>
          <w:tcPr>
            <w:tcW w:w="880" w:type="dxa"/>
            <w:vAlign w:val="bottom"/>
          </w:tcPr>
          <w:p>
            <w:pPr>
              <w:spacing w:after="0"/>
              <w:rPr>
                <w:sz w:val="12"/>
                <w:szCs w:val="12"/>
                <w:color w:val="auto"/>
              </w:rPr>
            </w:pPr>
          </w:p>
        </w:tc>
        <w:tc>
          <w:tcPr>
            <w:tcW w:w="10560" w:type="dxa"/>
            <w:vAlign w:val="bottom"/>
          </w:tcPr>
          <w:p>
            <w:pPr>
              <w:spacing w:after="0"/>
              <w:rPr>
                <w:sz w:val="12"/>
                <w:szCs w:val="12"/>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10.6</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Exclusive License Agreement between BioTime, Inc. and CJ Corp. (15)</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10.7</w:t>
            </w:r>
          </w:p>
        </w:tc>
        <w:tc>
          <w:tcPr>
            <w:tcW w:w="10560" w:type="dxa"/>
            <w:vAlign w:val="bottom"/>
            <w:shd w:val="clear" w:color="auto" w:fill="CCEEFF"/>
          </w:tcPr>
          <w:p>
            <w:pPr>
              <w:ind w:left="280"/>
              <w:spacing w:after="0" w:line="189" w:lineRule="exact"/>
              <w:rPr>
                <w:sz w:val="20"/>
                <w:szCs w:val="20"/>
                <w:color w:val="auto"/>
              </w:rPr>
            </w:pPr>
            <w:r>
              <w:rPr>
                <w:rFonts w:ascii="Arial" w:cs="Arial" w:eastAsia="Arial" w:hAnsi="Arial"/>
                <w:sz w:val="13"/>
                <w:szCs w:val="13"/>
                <w:i w:val="1"/>
                <w:iCs w:val="1"/>
                <w:color w:val="auto"/>
              </w:rPr>
              <w:t>Hextend</w:t>
            </w:r>
            <w:r>
              <w:rPr>
                <w:rFonts w:ascii="Arial" w:cs="Arial" w:eastAsia="Arial" w:hAnsi="Arial"/>
                <w:sz w:val="21"/>
                <w:szCs w:val="2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and</w:t>
            </w:r>
            <w:r>
              <w:rPr>
                <w:rFonts w:ascii="Arial" w:cs="Arial" w:eastAsia="Arial" w:hAnsi="Arial"/>
                <w:sz w:val="13"/>
                <w:szCs w:val="13"/>
                <w:i w:val="1"/>
                <w:iCs w:val="1"/>
                <w:color w:val="auto"/>
              </w:rPr>
              <w:t xml:space="preserve"> PentaLyte</w:t>
            </w:r>
            <w:r>
              <w:rPr>
                <w:rFonts w:ascii="Arial" w:cs="Arial" w:eastAsia="Arial" w:hAnsi="Arial"/>
                <w:sz w:val="21"/>
                <w:szCs w:val="2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Collaboration Agreement between BioTime, Inc. and Summit Pharmaceuticals International Corporation (16)</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10.8</w:t>
            </w:r>
          </w:p>
        </w:tc>
        <w:tc>
          <w:tcPr>
            <w:tcW w:w="10560" w:type="dxa"/>
            <w:vAlign w:val="bottom"/>
            <w:shd w:val="clear" w:color="auto" w:fill="CCEEFF"/>
          </w:tcPr>
          <w:p>
            <w:pPr>
              <w:ind w:left="280"/>
              <w:spacing w:after="0" w:line="189" w:lineRule="exact"/>
              <w:rPr>
                <w:sz w:val="20"/>
                <w:szCs w:val="20"/>
                <w:color w:val="auto"/>
              </w:rPr>
            </w:pPr>
            <w:r>
              <w:rPr>
                <w:rFonts w:ascii="Arial" w:cs="Arial" w:eastAsia="Arial" w:hAnsi="Arial"/>
                <w:sz w:val="13"/>
                <w:szCs w:val="13"/>
                <w:color w:val="auto"/>
              </w:rPr>
              <w:t xml:space="preserve">Addendum to </w:t>
            </w:r>
            <w:r>
              <w:rPr>
                <w:rFonts w:ascii="Arial" w:cs="Arial" w:eastAsia="Arial" w:hAnsi="Arial"/>
                <w:sz w:val="13"/>
                <w:szCs w:val="13"/>
                <w:i w:val="1"/>
                <w:iCs w:val="1"/>
                <w:color w:val="auto"/>
              </w:rPr>
              <w:t>Hextend</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and </w:t>
            </w:r>
            <w:r>
              <w:rPr>
                <w:rFonts w:ascii="Arial" w:cs="Arial" w:eastAsia="Arial" w:hAnsi="Arial"/>
                <w:sz w:val="13"/>
                <w:szCs w:val="13"/>
                <w:i w:val="1"/>
                <w:iCs w:val="1"/>
                <w:color w:val="auto"/>
              </w:rPr>
              <w:t>PentaLyte</w:t>
            </w:r>
            <w:r>
              <w:rPr>
                <w:rFonts w:ascii="Arial" w:cs="Arial" w:eastAsia="Arial" w:hAnsi="Arial"/>
                <w:sz w:val="21"/>
                <w:szCs w:val="21"/>
                <w:color w:val="auto"/>
                <w:vertAlign w:val="superscript"/>
              </w:rPr>
              <w:t>®</w:t>
            </w:r>
            <w:r>
              <w:rPr>
                <w:rFonts w:ascii="Arial" w:cs="Arial" w:eastAsia="Arial" w:hAnsi="Arial"/>
                <w:sz w:val="13"/>
                <w:szCs w:val="13"/>
                <w:color w:val="auto"/>
              </w:rPr>
              <w:t xml:space="preserve"> Collaboration Agreement Between BioTime Inc. and Summit Pharmaceuticals International Corporation (17)</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10.9</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rPr>
              <w:t>Amendment to Exclusive License Agreement Between BioTime, Inc. and</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Hospira, Inc. (18)</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10.10</w:t>
            </w:r>
          </w:p>
        </w:tc>
        <w:tc>
          <w:tcPr>
            <w:tcW w:w="10560" w:type="dxa"/>
            <w:vAlign w:val="bottom"/>
            <w:shd w:val="clear" w:color="auto" w:fill="CCEEFF"/>
          </w:tcPr>
          <w:p>
            <w:pPr>
              <w:ind w:left="280"/>
              <w:spacing w:after="0" w:line="189" w:lineRule="exact"/>
              <w:rPr>
                <w:sz w:val="20"/>
                <w:szCs w:val="20"/>
                <w:color w:val="auto"/>
              </w:rPr>
            </w:pPr>
            <w:r>
              <w:rPr>
                <w:rFonts w:ascii="Arial" w:cs="Arial" w:eastAsia="Arial" w:hAnsi="Arial"/>
                <w:sz w:val="13"/>
                <w:szCs w:val="13"/>
                <w:i w:val="1"/>
                <w:iCs w:val="1"/>
                <w:color w:val="auto"/>
              </w:rPr>
              <w:t>Hextend</w:t>
            </w:r>
            <w:r>
              <w:rPr>
                <w:rFonts w:ascii="Arial" w:cs="Arial" w:eastAsia="Arial" w:hAnsi="Arial"/>
                <w:sz w:val="21"/>
                <w:szCs w:val="2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and</w:t>
            </w:r>
            <w:r>
              <w:rPr>
                <w:rFonts w:ascii="Arial" w:cs="Arial" w:eastAsia="Arial" w:hAnsi="Arial"/>
                <w:sz w:val="13"/>
                <w:szCs w:val="13"/>
                <w:i w:val="1"/>
                <w:iCs w:val="1"/>
                <w:color w:val="auto"/>
              </w:rPr>
              <w:t xml:space="preserve"> PentaLyte</w:t>
            </w:r>
            <w:r>
              <w:rPr>
                <w:rFonts w:ascii="Arial" w:cs="Arial" w:eastAsia="Arial" w:hAnsi="Arial"/>
                <w:sz w:val="21"/>
                <w:szCs w:val="21"/>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China License Agreement Between BioTime, Inc. and Summit Pharmaceuticals International Corporation (19)</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10.11</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Employment Agreement, dated October 10, 2007, between BioTime, Inc. and Michael D. West. (20)</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10.12</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License and Option Agreement between BioTime and Wisconsin Alumni Research Foundation (21)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10.13</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License Agreement, dated July 10, 2008, between Embryome Sciences, Inc. and Advanced Cell Technology, Inc. (22)</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10.14</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License Agreement, dated August 15, 2008 between Embryome Sciences, Inc. and Advanced Cell Technology, Inc. (23)</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10.15</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Sublicense Agreement, dated August 15, 2008 between Embryome Sciences, Inc. and Advanced Cell Technology, Inc. (23)</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10.16</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Stem Cell Agreement, dated February 23, 2009, between Embryome Sciences, Inc. and Reproductive Genetics Institute (24)</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10.17</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First Amendment of Commercial License and Option Agreement, dated March 11, 2009, between BioTime and Wisconsin Alumni Research Foundation (24)</w:t>
            </w:r>
          </w:p>
        </w:tc>
      </w:tr>
      <w:tr>
        <w:trPr>
          <w:trHeight w:val="213"/>
        </w:trPr>
        <w:tc>
          <w:tcPr>
            <w:tcW w:w="88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10.18</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Employment Agreement, dated October 10, 2007, between BioTime, Inc. and Robert Peabody (24)</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10.19</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rPr>
              <w:t>Registration Rights Agreement between OncoCyte Corporation and</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George Karfunkel (25)</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10.20</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2"/>
              </w:rPr>
              <w:t>Share Purchase Agreement, dated October 7, 2010, by and among Cell Cure Neurosciences, Limited, Teva Pharmaceutical Industries, Ltd, HBL-Hadasit Bio-</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Holdings, Ltd., and BioTime, Inc. (26)</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10.21</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3"/>
              </w:rPr>
              <w:t>Amended and Restated Shareholders Agreement, dated October 7, 2010, by and among ES Cell International Pte. Ltd, BioTime, Inc., Teva Pharmaceutical</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Industries, Limited, HBL-Hadasit Bio-Holdings, Ltd., and Cell Cure Neurosciences Ltd. (1)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10.22</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2"/>
              </w:rPr>
              <w:t>Research and Exclusive License Option Agreement, dated October 7, 2010, between Teva Pharmaceutical Industries, Ltd. and Cell Cure Neurosciences Ltd.</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(Portions of this exhibit have been omitted pursuant to a request for confidential treatment) (1)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10.23</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0"/>
              </w:rPr>
              <w:t>Amended and Restated Research and License Agreement, dated October 7, 2010, between Hadasit Medical Research Services and Development Ltd. and Cell</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Cure Neurosciences Ltd. (1)</w:t>
            </w:r>
          </w:p>
        </w:tc>
      </w:tr>
      <w:tr>
        <w:trPr>
          <w:trHeight w:val="523"/>
        </w:trPr>
        <w:tc>
          <w:tcPr>
            <w:tcW w:w="880" w:type="dxa"/>
            <w:vAlign w:val="bottom"/>
          </w:tcPr>
          <w:p>
            <w:pPr>
              <w:spacing w:after="0"/>
              <w:rPr>
                <w:sz w:val="24"/>
                <w:szCs w:val="24"/>
                <w:color w:val="auto"/>
              </w:rPr>
            </w:pPr>
          </w:p>
        </w:tc>
        <w:tc>
          <w:tcPr>
            <w:tcW w:w="10560" w:type="dxa"/>
            <w:vAlign w:val="bottom"/>
          </w:tcPr>
          <w:p>
            <w:pPr>
              <w:ind w:left="4740"/>
              <w:spacing w:after="0"/>
              <w:rPr>
                <w:sz w:val="20"/>
                <w:szCs w:val="20"/>
                <w:color w:val="auto"/>
              </w:rPr>
            </w:pPr>
            <w:r>
              <w:rPr>
                <w:rFonts w:ascii="Arial" w:cs="Arial" w:eastAsia="Arial" w:hAnsi="Arial"/>
                <w:sz w:val="13"/>
                <w:szCs w:val="13"/>
                <w:color w:val="auto"/>
              </w:rPr>
              <w:t>145</w:t>
            </w:r>
          </w:p>
        </w:tc>
      </w:tr>
      <w:tr>
        <w:trPr>
          <w:trHeight w:val="37"/>
        </w:trPr>
        <w:tc>
          <w:tcPr>
            <w:tcW w:w="880" w:type="dxa"/>
            <w:vAlign w:val="bottom"/>
            <w:tcBorders>
              <w:bottom w:val="single" w:sz="8" w:color="auto"/>
            </w:tcBorders>
          </w:tcPr>
          <w:p>
            <w:pPr>
              <w:spacing w:after="0"/>
              <w:rPr>
                <w:sz w:val="3"/>
                <w:szCs w:val="3"/>
                <w:color w:val="auto"/>
              </w:rPr>
            </w:pPr>
          </w:p>
        </w:tc>
        <w:tc>
          <w:tcPr>
            <w:tcW w:w="1056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08" w:right="21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Borders>
              <w:bottom w:val="single" w:sz="8" w:color="0000EE"/>
            </w:tcBorders>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10560" w:type="dxa"/>
            <w:vAlign w:val="bottom"/>
          </w:tcPr>
          <w:p>
            <w:pPr>
              <w:spacing w:after="0"/>
              <w:rPr>
                <w:sz w:val="13"/>
                <w:szCs w:val="13"/>
                <w:color w:val="auto"/>
              </w:rPr>
            </w:pPr>
          </w:p>
        </w:tc>
      </w:tr>
      <w:tr>
        <w:trPr>
          <w:trHeight w:val="145"/>
        </w:trPr>
        <w:tc>
          <w:tcPr>
            <w:tcW w:w="880" w:type="dxa"/>
            <w:vAlign w:val="bottom"/>
          </w:tcPr>
          <w:p>
            <w:pPr>
              <w:spacing w:after="0"/>
              <w:rPr>
                <w:sz w:val="12"/>
                <w:szCs w:val="12"/>
                <w:color w:val="auto"/>
              </w:rPr>
            </w:pPr>
          </w:p>
        </w:tc>
        <w:tc>
          <w:tcPr>
            <w:tcW w:w="10560" w:type="dxa"/>
            <w:vAlign w:val="bottom"/>
          </w:tcPr>
          <w:p>
            <w:pPr>
              <w:spacing w:after="0"/>
              <w:rPr>
                <w:sz w:val="12"/>
                <w:szCs w:val="12"/>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10.24</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89"/>
              </w:rPr>
              <w:t>Additional Research Agreement, dated October 7, 2010, between Hadasit Medical Research Services and Development Ltd. and Cell Cure Neurosciences Ltd. (1)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10.25</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Exclusive License Agreement, dated November 20, 2007, between Cell Targeting, Inc. and Burnham Institute for Medical Research. (1)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10.26</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rPr>
              <w:t>OncoCyte Corporation 2010 Stock Option Plan;</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Form of OncoCyte Corporation Stock Option Agreement (1)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10.27</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rPr>
              <w:t>OrthoCyte Corporation 2010 Stock Option Plan;</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Form of OrthoCyte Corporation Stock Option Agreement (1)</w:t>
            </w:r>
          </w:p>
        </w:tc>
      </w:tr>
      <w:tr>
        <w:trPr>
          <w:trHeight w:val="213"/>
        </w:trPr>
        <w:tc>
          <w:tcPr>
            <w:tcW w:w="88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10.28</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rPr>
              <w:t>BioTime Asia, Limited 2010 Stock Option Plan;</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Form of BioTime Asia Limited Stock Option Agreement (1)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10.29</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Lease, dated October 28, 2010, between SKS Harbor Bay Associates, LLC and BioTime, Inc. (1)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10.30</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Employment Agreement, dated June 28, 2011, between BioTime, Inc., OrthoCyte Corporation, and William P. Tew (27)</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10.31</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0"/>
              </w:rPr>
              <w:t>License Agreement between BioTime, Inc. and Cornell University (Portions of this exhibit have been omitted pursuant to a request for confidential treatment) (28)</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10.32</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0"/>
              </w:rPr>
              <w:t>License Option Agreement, dated December 15, 2011 between BioTime, Inc. and USCN Life Sciences, Inc. (Portions of this exhibit have been omitted pursuant</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 a request for confidential treatment) (29)</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10.33</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rPr>
              <w:t>LifeMap, Inc. 2011 Stock Option Plan; and</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Form of LifeMap, Inc. Stock Option Agreement (29)</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10.34</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Share Exchange and Contribution Agreement, dated July 24, 2012, among LifeMap Sciences, Inc., Alfred D. Kingsley, and Greenway Partners, L.P. (30)</w:t>
            </w:r>
          </w:p>
        </w:tc>
      </w:tr>
      <w:tr>
        <w:trPr>
          <w:trHeight w:val="213"/>
        </w:trPr>
        <w:tc>
          <w:tcPr>
            <w:tcW w:w="88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10.35</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0"/>
              </w:rPr>
              <w:t>Exclusive License Agreement, dated February 15, 2006, between Glycosan BioSystems, Inc. and the University of Utah Research Foundation, as amended (31)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10.36</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5"/>
              </w:rPr>
              <w:t>Amendment to Share Exchange and Contribution Agreement, dated September 28, 2012, by and among LifeMap Sciences, Inc., Alfred D. Kingsley, and</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Greenway Partners, L.P. (31)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10.37</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 Purchase Agreement, dated November 1, 2012, between Cell Cure Neurosciences, Ltd. and BioTime, Inc. (31)</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10.38</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5"/>
              </w:rPr>
              <w:t>Amendment to Share Exchange and Contribution Agreement, dated November 30, 2012, by and among LifeMap Sciences, Inc., Alfred D. Kingsley, and</w:t>
            </w:r>
          </w:p>
        </w:tc>
      </w:tr>
      <w:tr>
        <w:trPr>
          <w:trHeight w:val="202"/>
        </w:trPr>
        <w:tc>
          <w:tcPr>
            <w:tcW w:w="88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Greenway Partners, L.P. (32)</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10.39</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Indemnification Agreement, dated January 4, 2013, by and among BioTime, Inc., Broadwood Partners, L.P, and Neal Bradsher (3)</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10.40</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6"/>
              </w:rPr>
              <w:t>Indemnification Agreement, dated January 4, 2013, by and among BioTime, Inc., Alfred D. Kingsley, Greenbelt Corp. and Greenway Partners, L.P. (3)</w:t>
            </w:r>
          </w:p>
        </w:tc>
      </w:tr>
      <w:tr>
        <w:trPr>
          <w:trHeight w:val="189"/>
        </w:trPr>
        <w:tc>
          <w:tcPr>
            <w:tcW w:w="88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10.41</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 and Warrant Purchase Agreement, dated January 4, 2013, between BioTime, Inc. and Romulus Films, Ltd. (32)</w:t>
            </w:r>
          </w:p>
        </w:tc>
      </w:tr>
      <w:tr>
        <w:trPr>
          <w:trHeight w:val="523"/>
        </w:trPr>
        <w:tc>
          <w:tcPr>
            <w:tcW w:w="880" w:type="dxa"/>
            <w:vAlign w:val="bottom"/>
          </w:tcPr>
          <w:p>
            <w:pPr>
              <w:spacing w:after="0"/>
              <w:rPr>
                <w:sz w:val="24"/>
                <w:szCs w:val="24"/>
                <w:color w:val="auto"/>
              </w:rPr>
            </w:pPr>
          </w:p>
        </w:tc>
        <w:tc>
          <w:tcPr>
            <w:tcW w:w="10560" w:type="dxa"/>
            <w:vAlign w:val="bottom"/>
          </w:tcPr>
          <w:p>
            <w:pPr>
              <w:ind w:left="4740"/>
              <w:spacing w:after="0"/>
              <w:rPr>
                <w:sz w:val="20"/>
                <w:szCs w:val="20"/>
                <w:color w:val="auto"/>
              </w:rPr>
            </w:pPr>
            <w:r>
              <w:rPr>
                <w:rFonts w:ascii="Arial" w:cs="Arial" w:eastAsia="Arial" w:hAnsi="Arial"/>
                <w:sz w:val="13"/>
                <w:szCs w:val="13"/>
                <w:color w:val="auto"/>
              </w:rPr>
              <w:t>146</w:t>
            </w:r>
          </w:p>
        </w:tc>
      </w:tr>
      <w:tr>
        <w:trPr>
          <w:trHeight w:val="37"/>
        </w:trPr>
        <w:tc>
          <w:tcPr>
            <w:tcW w:w="880" w:type="dxa"/>
            <w:vAlign w:val="bottom"/>
            <w:tcBorders>
              <w:bottom w:val="single" w:sz="8" w:color="auto"/>
            </w:tcBorders>
          </w:tcPr>
          <w:p>
            <w:pPr>
              <w:spacing w:after="0"/>
              <w:rPr>
                <w:sz w:val="3"/>
                <w:szCs w:val="3"/>
                <w:color w:val="auto"/>
              </w:rPr>
            </w:pPr>
          </w:p>
        </w:tc>
        <w:tc>
          <w:tcPr>
            <w:tcW w:w="1056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08" w:right="219" w:bottom="1440" w:gutter="0" w:footer="0" w:header="0"/>
        </w:sectPr>
      </w:pPr>
    </w:p>
    <w:bookmarkStart w:id="146" w:name="page147"/>
    <w:bookmarkEnd w:id="146"/>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880" w:type="dxa"/>
            <w:vAlign w:val="bottom"/>
            <w:tcBorders>
              <w:bottom w:val="single" w:sz="8" w:color="0000EE"/>
            </w:tcBorders>
            <w:gridSpan w:val="3"/>
          </w:tcPr>
          <w:p>
            <w:pPr>
              <w:spacing w:after="0"/>
              <w:rPr>
                <w:rFonts w:ascii="Arial" w:cs="Arial" w:eastAsia="Arial" w:hAnsi="Arial"/>
                <w:sz w:val="13"/>
                <w:szCs w:val="13"/>
                <w:i w:val="1"/>
                <w:iCs w:val="1"/>
                <w:color w:val="0000EE"/>
                <w:w w:val="83"/>
              </w:rPr>
            </w:pPr>
            <w:hyperlink w:anchor="page3">
              <w:r>
                <w:rPr>
                  <w:rFonts w:ascii="Arial" w:cs="Arial" w:eastAsia="Arial" w:hAnsi="Arial"/>
                  <w:sz w:val="13"/>
                  <w:szCs w:val="13"/>
                  <w:i w:val="1"/>
                  <w:iCs w:val="1"/>
                  <w:color w:val="0000EE"/>
                  <w:w w:val="83"/>
                </w:rPr>
                <w:t>Table of Contents</w:t>
              </w:r>
            </w:hyperlink>
          </w:p>
        </w:tc>
        <w:tc>
          <w:tcPr>
            <w:tcW w:w="10560" w:type="dxa"/>
            <w:vAlign w:val="bottom"/>
          </w:tcPr>
          <w:p>
            <w:pPr>
              <w:spacing w:after="0"/>
              <w:rPr>
                <w:sz w:val="13"/>
                <w:szCs w:val="13"/>
                <w:color w:val="auto"/>
              </w:rPr>
            </w:pPr>
          </w:p>
        </w:tc>
      </w:tr>
      <w:tr>
        <w:trPr>
          <w:trHeight w:val="145"/>
        </w:trPr>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560" w:type="dxa"/>
            <w:vAlign w:val="bottom"/>
          </w:tcPr>
          <w:p>
            <w:pPr>
              <w:spacing w:after="0"/>
              <w:rPr>
                <w:sz w:val="12"/>
                <w:szCs w:val="12"/>
                <w:color w:val="auto"/>
              </w:rPr>
            </w:pPr>
          </w:p>
        </w:tc>
      </w:tr>
      <w:tr>
        <w:trPr>
          <w:trHeight w:val="189"/>
        </w:trPr>
        <w:tc>
          <w:tcPr>
            <w:tcW w:w="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10.42</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 and Warrant Purchase Agreement, dated January 4, 2013, between BioTime Acquisition Corporation and Romulus Films, Ltd. (32)</w:t>
            </w:r>
          </w:p>
        </w:tc>
      </w:tr>
      <w:tr>
        <w:trPr>
          <w:trHeight w:val="189"/>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10.43</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Business Park Lease, dated January 7, 2013, between David D. Bohannon Organization and BioTime, Inc. (32)</w:t>
            </w:r>
          </w:p>
        </w:tc>
      </w:tr>
      <w:tr>
        <w:trPr>
          <w:trHeight w:val="189"/>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10.44</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 Purchase Agreement, dated January 7, 2013, between David D. Bohannon Organization and BioTime, Inc. (32)</w:t>
            </w:r>
          </w:p>
        </w:tc>
      </w:tr>
      <w:tr>
        <w:trPr>
          <w:trHeight w:val="189"/>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10.45</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Amendment of Stock and Warrant Purchase Agreement, dated March 7, 2013, between BioTime, Inc. and Romulus Films, Ltd. (32)</w:t>
            </w:r>
          </w:p>
        </w:tc>
      </w:tr>
      <w:tr>
        <w:trPr>
          <w:trHeight w:val="189"/>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10.46</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 and Warrant Purchase Agreement, dated June 3, 2013, between BioTime, Inc. and certain investors (33)</w:t>
            </w:r>
          </w:p>
        </w:tc>
      </w:tr>
      <w:tr>
        <w:trPr>
          <w:trHeight w:val="189"/>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10.47</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Option Agreement, dated June 3, 2013, between BioTime, Inc. and certain investors (33)</w:t>
            </w:r>
          </w:p>
        </w:tc>
      </w:tr>
      <w:tr>
        <w:trPr>
          <w:trHeight w:val="189"/>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10.48</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Client Referral and Solicitation Agreement, dated April 1, 2013, between BioTime, Inc., LifeMap Sciences, Inc. and OBEX Securities, LLC (10)</w:t>
            </w:r>
          </w:p>
        </w:tc>
      </w:tr>
      <w:tr>
        <w:trPr>
          <w:trHeight w:val="189"/>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10.49</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Royalty Agreement, dated October 1, 2013, between Asterias Biotherapeutics, Inc. and Geron Corporation (34)</w:t>
            </w:r>
          </w:p>
        </w:tc>
      </w:tr>
      <w:tr>
        <w:trPr>
          <w:trHeight w:val="189"/>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10.50</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Exclusive Sublicense Agreement, dated October 1, 2013, between Geron Corporation and Asterias Biotherapeutics, Inc. (34)</w:t>
            </w:r>
          </w:p>
        </w:tc>
      </w:tr>
      <w:tr>
        <w:trPr>
          <w:trHeight w:val="189"/>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gridSpan w:val="3"/>
            <w:shd w:val="clear" w:color="auto" w:fill="CCEEFF"/>
          </w:tcPr>
          <w:p>
            <w:pPr>
              <w:spacing w:after="0" w:line="177" w:lineRule="exact"/>
              <w:rPr>
                <w:sz w:val="20"/>
                <w:szCs w:val="20"/>
                <w:color w:val="auto"/>
              </w:rPr>
            </w:pPr>
            <w:r>
              <w:rPr>
                <w:rFonts w:ascii="Arial" w:cs="Arial" w:eastAsia="Arial" w:hAnsi="Arial"/>
                <w:sz w:val="16"/>
                <w:szCs w:val="16"/>
                <w:color w:val="auto"/>
              </w:rPr>
              <w:t>10.51</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93"/>
              </w:rPr>
              <w:t>Exclusive License Agreement, dated February 20, 2003, and First Amendment thereto dated September 7, 2004, between The Regents of the University of</w:t>
            </w:r>
          </w:p>
        </w:tc>
      </w:tr>
      <w:tr>
        <w:trPr>
          <w:trHeight w:val="202"/>
        </w:trPr>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California and Geron Corporation (34)</w:t>
            </w:r>
          </w:p>
        </w:tc>
      </w:tr>
      <w:tr>
        <w:trPr>
          <w:trHeight w:val="189"/>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77"/>
        </w:trPr>
        <w:tc>
          <w:tcPr>
            <w:tcW w:w="880" w:type="dxa"/>
            <w:vAlign w:val="bottom"/>
            <w:gridSpan w:val="3"/>
            <w:shd w:val="clear" w:color="auto" w:fill="CCEEFF"/>
          </w:tcPr>
          <w:p>
            <w:pPr>
              <w:spacing w:after="0" w:line="177" w:lineRule="exact"/>
              <w:rPr>
                <w:sz w:val="20"/>
                <w:szCs w:val="20"/>
                <w:color w:val="auto"/>
              </w:rPr>
            </w:pPr>
            <w:r>
              <w:rPr>
                <w:rFonts w:ascii="Arial" w:cs="Arial" w:eastAsia="Arial" w:hAnsi="Arial"/>
                <w:sz w:val="16"/>
                <w:szCs w:val="16"/>
                <w:color w:val="auto"/>
              </w:rPr>
              <w:t>10.52</w:t>
            </w:r>
          </w:p>
        </w:tc>
        <w:tc>
          <w:tcPr>
            <w:tcW w:w="10560" w:type="dxa"/>
            <w:vAlign w:val="bottom"/>
            <w:shd w:val="clear" w:color="auto" w:fill="CCEEFF"/>
          </w:tcPr>
          <w:p>
            <w:pPr>
              <w:ind w:left="280"/>
              <w:spacing w:after="0" w:line="177" w:lineRule="exact"/>
              <w:rPr>
                <w:sz w:val="20"/>
                <w:szCs w:val="20"/>
                <w:color w:val="auto"/>
              </w:rPr>
            </w:pPr>
            <w:r>
              <w:rPr>
                <w:rFonts w:ascii="Arial" w:cs="Arial" w:eastAsia="Arial" w:hAnsi="Arial"/>
                <w:sz w:val="16"/>
                <w:szCs w:val="16"/>
                <w:color w:val="auto"/>
                <w:w w:val="89"/>
              </w:rPr>
              <w:t>Non-Exclusive License Agreement, dated as of October 7, 2013, between the Wisconsin Alumni Research Foundation and Asterias Biotherapeutics, Inc. (Portions</w:t>
            </w:r>
          </w:p>
        </w:tc>
      </w:tr>
      <w:tr>
        <w:trPr>
          <w:trHeight w:val="202"/>
        </w:trPr>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of this exhibit have been omitted pursuant to a request for confidential treatment) (34)</w:t>
            </w:r>
          </w:p>
        </w:tc>
      </w:tr>
      <w:tr>
        <w:trPr>
          <w:trHeight w:val="213"/>
        </w:trPr>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560" w:type="dxa"/>
            <w:vAlign w:val="bottom"/>
          </w:tcPr>
          <w:p>
            <w:pPr>
              <w:spacing w:after="0"/>
              <w:rPr>
                <w:sz w:val="18"/>
                <w:szCs w:val="18"/>
                <w:color w:val="auto"/>
              </w:rPr>
            </w:pPr>
          </w:p>
        </w:tc>
      </w:tr>
      <w:tr>
        <w:trPr>
          <w:trHeight w:val="189"/>
        </w:trPr>
        <w:tc>
          <w:tcPr>
            <w:tcW w:w="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10.53</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Employment Agreement, dated August 15, 2013, between BioTime, Inc. and Lesley Stoltz (34)</w:t>
            </w:r>
          </w:p>
        </w:tc>
      </w:tr>
      <w:tr>
        <w:trPr>
          <w:trHeight w:val="189"/>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10.54</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Equity Incentive Plan (34)</w:t>
            </w:r>
          </w:p>
        </w:tc>
      </w:tr>
      <w:tr>
        <w:trPr>
          <w:trHeight w:val="189"/>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10.55</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Form of Employee Incentive Stock Option Agreement (34)</w:t>
            </w:r>
          </w:p>
        </w:tc>
      </w:tr>
      <w:tr>
        <w:trPr>
          <w:trHeight w:val="189"/>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89"/>
        </w:trPr>
        <w:tc>
          <w:tcPr>
            <w:tcW w:w="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10.56</w:t>
            </w:r>
          </w:p>
        </w:tc>
        <w:tc>
          <w:tcPr>
            <w:tcW w:w="105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Form of Non-employee Director Stock Option Agreement (34)</w:t>
            </w:r>
          </w:p>
        </w:tc>
      </w:tr>
      <w:tr>
        <w:trPr>
          <w:trHeight w:val="189"/>
        </w:trPr>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169"/>
        </w:trPr>
        <w:tc>
          <w:tcPr>
            <w:tcW w:w="880" w:type="dxa"/>
            <w:vAlign w:val="bottom"/>
            <w:gridSpan w:val="3"/>
            <w:shd w:val="clear" w:color="auto" w:fill="CCEEFF"/>
          </w:tcPr>
          <w:p>
            <w:pPr>
              <w:spacing w:after="0" w:line="154" w:lineRule="exact"/>
              <w:rPr>
                <w:sz w:val="20"/>
                <w:szCs w:val="20"/>
                <w:color w:val="auto"/>
              </w:rPr>
            </w:pPr>
            <w:r>
              <w:rPr>
                <w:rFonts w:ascii="Arial" w:cs="Arial" w:eastAsia="Arial" w:hAnsi="Arial"/>
                <w:sz w:val="16"/>
                <w:szCs w:val="16"/>
                <w:color w:val="0000EE"/>
              </w:rPr>
              <w:t>10.</w:t>
            </w:r>
            <w:r>
              <w:rPr>
                <w:rFonts w:ascii="Arial" w:cs="Arial" w:eastAsia="Arial" w:hAnsi="Arial"/>
                <w:sz w:val="16"/>
                <w:szCs w:val="16"/>
                <w:u w:val="single" w:color="auto"/>
                <w:color w:val="0000EE"/>
              </w:rPr>
              <w:t>57</w:t>
            </w:r>
          </w:p>
        </w:tc>
        <w:tc>
          <w:tcPr>
            <w:tcW w:w="10560" w:type="dxa"/>
            <w:vAlign w:val="bottom"/>
            <w:shd w:val="clear" w:color="auto" w:fill="CCEEFF"/>
          </w:tcPr>
          <w:p>
            <w:pPr>
              <w:ind w:left="280"/>
              <w:spacing w:after="0" w:line="154" w:lineRule="exact"/>
              <w:rPr>
                <w:sz w:val="20"/>
                <w:szCs w:val="20"/>
                <w:color w:val="auto"/>
              </w:rPr>
            </w:pPr>
            <w:r>
              <w:rPr>
                <w:rFonts w:ascii="Arial" w:cs="Arial" w:eastAsia="Arial" w:hAnsi="Arial"/>
                <w:sz w:val="16"/>
                <w:szCs w:val="16"/>
                <w:color w:val="auto"/>
              </w:rPr>
              <w:t>Lease, dated December 30, 2013, by and between BMR 6300 Dumbarton Circle, LP, and Asterias Biotherapeutics, Inc.*</w:t>
            </w:r>
          </w:p>
        </w:tc>
      </w:tr>
      <w:tr>
        <w:trPr>
          <w:trHeight w:val="189"/>
        </w:trPr>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560" w:type="dxa"/>
            <w:vAlign w:val="bottom"/>
            <w:tcBorders>
              <w:top w:val="single" w:sz="8" w:color="CCEEFF"/>
            </w:tcBorders>
          </w:tcPr>
          <w:p>
            <w:pPr>
              <w:spacing w:after="0"/>
              <w:rPr>
                <w:sz w:val="16"/>
                <w:szCs w:val="16"/>
                <w:color w:val="auto"/>
              </w:rPr>
            </w:pPr>
          </w:p>
        </w:tc>
      </w:tr>
      <w:tr>
        <w:trPr>
          <w:trHeight w:val="169"/>
        </w:trPr>
        <w:tc>
          <w:tcPr>
            <w:tcW w:w="880" w:type="dxa"/>
            <w:vAlign w:val="bottom"/>
            <w:gridSpan w:val="3"/>
            <w:shd w:val="clear" w:color="auto" w:fill="CCEEFF"/>
          </w:tcPr>
          <w:p>
            <w:pPr>
              <w:spacing w:after="0" w:line="154" w:lineRule="exact"/>
              <w:rPr>
                <w:sz w:val="20"/>
                <w:szCs w:val="20"/>
                <w:color w:val="auto"/>
              </w:rPr>
            </w:pPr>
            <w:r>
              <w:rPr>
                <w:rFonts w:ascii="Arial" w:cs="Arial" w:eastAsia="Arial" w:hAnsi="Arial"/>
                <w:sz w:val="16"/>
                <w:szCs w:val="16"/>
                <w:color w:val="0000EE"/>
              </w:rPr>
              <w:t>10.</w:t>
            </w:r>
            <w:r>
              <w:rPr>
                <w:rFonts w:ascii="Arial" w:cs="Arial" w:eastAsia="Arial" w:hAnsi="Arial"/>
                <w:sz w:val="16"/>
                <w:szCs w:val="16"/>
                <w:u w:val="single" w:color="auto"/>
                <w:color w:val="0000EE"/>
              </w:rPr>
              <w:t>58</w:t>
            </w:r>
          </w:p>
        </w:tc>
        <w:tc>
          <w:tcPr>
            <w:tcW w:w="10560" w:type="dxa"/>
            <w:vAlign w:val="bottom"/>
            <w:shd w:val="clear" w:color="auto" w:fill="CCEEFF"/>
          </w:tcPr>
          <w:p>
            <w:pPr>
              <w:ind w:left="280"/>
              <w:spacing w:after="0" w:line="154" w:lineRule="exact"/>
              <w:rPr>
                <w:sz w:val="20"/>
                <w:szCs w:val="20"/>
                <w:color w:val="auto"/>
              </w:rPr>
            </w:pPr>
            <w:r>
              <w:rPr>
                <w:rFonts w:ascii="Arial" w:cs="Arial" w:eastAsia="Arial" w:hAnsi="Arial"/>
                <w:sz w:val="16"/>
                <w:szCs w:val="16"/>
                <w:color w:val="auto"/>
              </w:rPr>
              <w:t>Preferred Stock Purchase Agreement, dated March 4, 2013, between BioTime and certain investors*</w:t>
            </w:r>
          </w:p>
        </w:tc>
      </w:tr>
      <w:tr>
        <w:trPr>
          <w:trHeight w:val="189"/>
        </w:trPr>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560" w:type="dxa"/>
            <w:vAlign w:val="bottom"/>
            <w:tcBorders>
              <w:top w:val="single" w:sz="8" w:color="CCEEFF"/>
            </w:tcBorders>
          </w:tcPr>
          <w:p>
            <w:pPr>
              <w:spacing w:after="0"/>
              <w:rPr>
                <w:sz w:val="16"/>
                <w:szCs w:val="16"/>
                <w:color w:val="auto"/>
              </w:rPr>
            </w:pPr>
          </w:p>
        </w:tc>
      </w:tr>
      <w:tr>
        <w:trPr>
          <w:trHeight w:val="169"/>
        </w:trPr>
        <w:tc>
          <w:tcPr>
            <w:tcW w:w="880" w:type="dxa"/>
            <w:vAlign w:val="bottom"/>
            <w:gridSpan w:val="3"/>
            <w:shd w:val="clear" w:color="auto" w:fill="CCEEFF"/>
          </w:tcPr>
          <w:p>
            <w:pPr>
              <w:spacing w:after="0" w:line="154" w:lineRule="exact"/>
              <w:rPr>
                <w:sz w:val="20"/>
                <w:szCs w:val="20"/>
                <w:color w:val="auto"/>
              </w:rPr>
            </w:pPr>
            <w:r>
              <w:rPr>
                <w:rFonts w:ascii="Arial" w:cs="Arial" w:eastAsia="Arial" w:hAnsi="Arial"/>
                <w:sz w:val="16"/>
                <w:szCs w:val="16"/>
                <w:color w:val="0000EE"/>
              </w:rPr>
              <w:t>10.</w:t>
            </w:r>
            <w:r>
              <w:rPr>
                <w:rFonts w:ascii="Arial" w:cs="Arial" w:eastAsia="Arial" w:hAnsi="Arial"/>
                <w:sz w:val="16"/>
                <w:szCs w:val="16"/>
                <w:u w:val="single" w:color="auto"/>
                <w:color w:val="0000EE"/>
              </w:rPr>
              <w:t>59</w:t>
            </w:r>
          </w:p>
        </w:tc>
        <w:tc>
          <w:tcPr>
            <w:tcW w:w="10560" w:type="dxa"/>
            <w:vAlign w:val="bottom"/>
            <w:shd w:val="clear" w:color="auto" w:fill="CCEEFF"/>
          </w:tcPr>
          <w:p>
            <w:pPr>
              <w:ind w:left="280"/>
              <w:spacing w:after="0" w:line="154" w:lineRule="exact"/>
              <w:rPr>
                <w:sz w:val="20"/>
                <w:szCs w:val="20"/>
                <w:color w:val="auto"/>
              </w:rPr>
            </w:pPr>
            <w:r>
              <w:rPr>
                <w:rFonts w:ascii="Arial" w:cs="Arial" w:eastAsia="Arial" w:hAnsi="Arial"/>
                <w:sz w:val="16"/>
                <w:szCs w:val="16"/>
                <w:color w:val="auto"/>
              </w:rPr>
              <w:t>Option Agreement, dated March 4, 2014, between BioTime and certain investors*</w:t>
            </w:r>
          </w:p>
        </w:tc>
      </w:tr>
      <w:tr>
        <w:trPr>
          <w:trHeight w:val="189"/>
        </w:trPr>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560" w:type="dxa"/>
            <w:vAlign w:val="bottom"/>
            <w:tcBorders>
              <w:top w:val="single" w:sz="8" w:color="CCEEFF"/>
            </w:tcBorders>
          </w:tcPr>
          <w:p>
            <w:pPr>
              <w:spacing w:after="0"/>
              <w:rPr>
                <w:sz w:val="16"/>
                <w:szCs w:val="16"/>
                <w:color w:val="auto"/>
              </w:rPr>
            </w:pPr>
          </w:p>
        </w:tc>
      </w:tr>
      <w:tr>
        <w:trPr>
          <w:trHeight w:val="169"/>
        </w:trPr>
        <w:tc>
          <w:tcPr>
            <w:tcW w:w="340" w:type="dxa"/>
            <w:vAlign w:val="bottom"/>
            <w:gridSpan w:val="2"/>
            <w:shd w:val="clear" w:color="auto" w:fill="CCEEFF"/>
          </w:tcPr>
          <w:p>
            <w:pPr>
              <w:spacing w:after="0" w:line="154" w:lineRule="exact"/>
              <w:rPr>
                <w:sz w:val="20"/>
                <w:szCs w:val="20"/>
                <w:color w:val="auto"/>
              </w:rPr>
            </w:pPr>
            <w:r>
              <w:rPr>
                <w:rFonts w:ascii="Arial" w:cs="Arial" w:eastAsia="Arial" w:hAnsi="Arial"/>
                <w:sz w:val="16"/>
                <w:szCs w:val="16"/>
                <w:color w:val="0000EE"/>
              </w:rPr>
              <w:t>21.</w:t>
            </w:r>
            <w:r>
              <w:rPr>
                <w:rFonts w:ascii="Arial" w:cs="Arial" w:eastAsia="Arial" w:hAnsi="Arial"/>
                <w:sz w:val="16"/>
                <w:szCs w:val="16"/>
                <w:u w:val="single" w:color="auto"/>
                <w:color w:val="0000EE"/>
              </w:rPr>
              <w:t>1</w:t>
            </w:r>
          </w:p>
        </w:tc>
        <w:tc>
          <w:tcPr>
            <w:tcW w:w="540" w:type="dxa"/>
            <w:vAlign w:val="bottom"/>
            <w:shd w:val="clear" w:color="auto" w:fill="CCEEFF"/>
          </w:tcPr>
          <w:p>
            <w:pPr>
              <w:spacing w:after="0"/>
              <w:rPr>
                <w:sz w:val="14"/>
                <w:szCs w:val="14"/>
                <w:color w:val="auto"/>
              </w:rPr>
            </w:pPr>
          </w:p>
        </w:tc>
        <w:tc>
          <w:tcPr>
            <w:tcW w:w="10560" w:type="dxa"/>
            <w:vAlign w:val="bottom"/>
            <w:shd w:val="clear" w:color="auto" w:fill="CCEEFF"/>
          </w:tcPr>
          <w:p>
            <w:pPr>
              <w:ind w:left="280"/>
              <w:spacing w:after="0" w:line="154" w:lineRule="exact"/>
              <w:rPr>
                <w:sz w:val="20"/>
                <w:szCs w:val="20"/>
                <w:color w:val="auto"/>
              </w:rPr>
            </w:pPr>
            <w:r>
              <w:rPr>
                <w:rFonts w:ascii="Arial" w:cs="Arial" w:eastAsia="Arial" w:hAnsi="Arial"/>
                <w:sz w:val="16"/>
                <w:szCs w:val="16"/>
                <w:color w:val="auto"/>
              </w:rPr>
              <w:t>List of Subsidiaries*</w:t>
            </w:r>
          </w:p>
        </w:tc>
      </w:tr>
      <w:tr>
        <w:trPr>
          <w:trHeight w:val="189"/>
        </w:trPr>
        <w:tc>
          <w:tcPr>
            <w:tcW w:w="28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0560" w:type="dxa"/>
            <w:vAlign w:val="bottom"/>
            <w:tcBorders>
              <w:top w:val="single" w:sz="8" w:color="CCEEFF"/>
            </w:tcBorders>
          </w:tcPr>
          <w:p>
            <w:pPr>
              <w:spacing w:after="0"/>
              <w:rPr>
                <w:sz w:val="16"/>
                <w:szCs w:val="16"/>
                <w:color w:val="auto"/>
              </w:rPr>
            </w:pPr>
          </w:p>
        </w:tc>
      </w:tr>
      <w:tr>
        <w:trPr>
          <w:trHeight w:val="169"/>
        </w:trPr>
        <w:tc>
          <w:tcPr>
            <w:tcW w:w="280" w:type="dxa"/>
            <w:vAlign w:val="bottom"/>
            <w:tcBorders>
              <w:bottom w:val="single" w:sz="8" w:color="0000EE"/>
            </w:tcBorders>
            <w:shd w:val="clear" w:color="auto" w:fill="CCEEFF"/>
          </w:tcPr>
          <w:p>
            <w:pPr>
              <w:spacing w:after="0" w:line="154" w:lineRule="exact"/>
              <w:rPr>
                <w:sz w:val="20"/>
                <w:szCs w:val="20"/>
                <w:color w:val="auto"/>
              </w:rPr>
            </w:pPr>
            <w:r>
              <w:rPr>
                <w:rFonts w:ascii="Arial" w:cs="Arial" w:eastAsia="Arial" w:hAnsi="Arial"/>
                <w:sz w:val="16"/>
                <w:szCs w:val="16"/>
                <w:color w:val="0000EE"/>
                <w:w w:val="83"/>
              </w:rPr>
              <w:t>23.</w:t>
            </w:r>
            <w:r>
              <w:rPr>
                <w:rFonts w:ascii="Arial" w:cs="Arial" w:eastAsia="Arial" w:hAnsi="Arial"/>
                <w:sz w:val="16"/>
                <w:szCs w:val="16"/>
                <w:u w:val="single" w:color="auto"/>
                <w:color w:val="0000EE"/>
                <w:w w:val="83"/>
              </w:rPr>
              <w:t>1</w:t>
            </w:r>
          </w:p>
        </w:tc>
        <w:tc>
          <w:tcPr>
            <w:tcW w:w="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560" w:type="dxa"/>
            <w:vAlign w:val="bottom"/>
            <w:tcBorders>
              <w:bottom w:val="single" w:sz="8" w:color="CCEEFF"/>
            </w:tcBorders>
            <w:shd w:val="clear" w:color="auto" w:fill="CCEEFF"/>
          </w:tcPr>
          <w:p>
            <w:pPr>
              <w:ind w:left="280"/>
              <w:spacing w:after="0" w:line="154" w:lineRule="exact"/>
              <w:rPr>
                <w:sz w:val="20"/>
                <w:szCs w:val="20"/>
                <w:color w:val="auto"/>
              </w:rPr>
            </w:pPr>
            <w:r>
              <w:rPr>
                <w:rFonts w:ascii="Arial" w:cs="Arial" w:eastAsia="Arial" w:hAnsi="Arial"/>
                <w:sz w:val="16"/>
                <w:szCs w:val="16"/>
                <w:color w:val="auto"/>
              </w:rPr>
              <w:t>Consent of Rothstein Kass*</w:t>
            </w:r>
          </w:p>
        </w:tc>
      </w:tr>
    </w:tbl>
    <w:p>
      <w:pPr>
        <w:spacing w:after="0" w:line="177" w:lineRule="exact"/>
        <w:rPr>
          <w:sz w:val="20"/>
          <w:szCs w:val="20"/>
          <w:color w:val="auto"/>
        </w:rPr>
      </w:pPr>
    </w:p>
    <w:p>
      <w:pPr>
        <w:ind w:left="1165" w:hanging="1165"/>
        <w:spacing w:after="0"/>
        <w:tabs>
          <w:tab w:leader="none" w:pos="1165" w:val="left"/>
        </w:tabs>
        <w:numPr>
          <w:ilvl w:val="0"/>
          <w:numId w:val="62"/>
        </w:numPr>
        <w:rPr>
          <w:rFonts w:ascii="Arial" w:cs="Arial" w:eastAsia="Arial" w:hAnsi="Arial"/>
          <w:sz w:val="16"/>
          <w:szCs w:val="16"/>
          <w:u w:val="single" w:color="auto"/>
          <w:color w:val="0000EE"/>
        </w:rPr>
      </w:pPr>
      <w:r>
        <w:rPr>
          <w:rFonts w:ascii="Arial" w:cs="Arial" w:eastAsia="Arial" w:hAnsi="Arial"/>
          <w:sz w:val="16"/>
          <w:szCs w:val="16"/>
          <w:color w:val="auto"/>
        </w:rPr>
        <w:t>Rule 13a-14(a)/15d-14(a) Certification.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63765" cy="120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spacing w:after="0" w:line="360"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08" w:right="219" w:bottom="1440" w:gutter="0" w:footer="0" w:header="0"/>
        </w:sectPr>
      </w:pPr>
    </w:p>
    <w:bookmarkStart w:id="147" w:name="page148"/>
    <w:bookmarkEnd w:id="147"/>
    <w:p>
      <w:pPr>
        <w:ind w:left="5"/>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7" w:lineRule="exact"/>
        <w:rPr>
          <w:sz w:val="20"/>
          <w:szCs w:val="20"/>
          <w:color w:val="auto"/>
        </w:rPr>
      </w:pPr>
    </w:p>
    <w:p>
      <w:pPr>
        <w:ind w:left="1165" w:hanging="1165"/>
        <w:spacing w:after="0"/>
        <w:tabs>
          <w:tab w:leader="none" w:pos="1165" w:val="left"/>
        </w:tabs>
        <w:numPr>
          <w:ilvl w:val="0"/>
          <w:numId w:val="63"/>
        </w:numPr>
        <w:rPr>
          <w:rFonts w:ascii="Arial" w:cs="Arial" w:eastAsia="Arial" w:hAnsi="Arial"/>
          <w:sz w:val="16"/>
          <w:szCs w:val="16"/>
          <w:u w:val="single" w:color="auto"/>
          <w:color w:val="0000EE"/>
        </w:rPr>
      </w:pPr>
      <w:r>
        <w:rPr>
          <w:rFonts w:ascii="Arial" w:cs="Arial" w:eastAsia="Arial" w:hAnsi="Arial"/>
          <w:sz w:val="16"/>
          <w:szCs w:val="16"/>
          <w:color w:val="auto"/>
        </w:rPr>
        <w:t>Section 1350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63765" cy="1200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101</w:t>
            </w:r>
          </w:p>
        </w:tc>
        <w:tc>
          <w:tcPr>
            <w:tcW w:w="10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Interactive Data File. *</w:t>
            </w:r>
          </w:p>
        </w:tc>
      </w:tr>
      <w:tr>
        <w:trPr>
          <w:trHeight w:val="189"/>
        </w:trPr>
        <w:tc>
          <w:tcPr>
            <w:tcW w:w="860" w:type="dxa"/>
            <w:vAlign w:val="bottom"/>
          </w:tcPr>
          <w:p>
            <w:pPr>
              <w:spacing w:after="0"/>
              <w:rPr>
                <w:sz w:val="16"/>
                <w:szCs w:val="16"/>
                <w:color w:val="auto"/>
              </w:rPr>
            </w:pPr>
          </w:p>
        </w:tc>
        <w:tc>
          <w:tcPr>
            <w:tcW w:w="10580" w:type="dxa"/>
            <w:vAlign w:val="bottom"/>
          </w:tcPr>
          <w:p>
            <w:pPr>
              <w:spacing w:after="0"/>
              <w:rPr>
                <w:sz w:val="16"/>
                <w:szCs w:val="16"/>
                <w:color w:val="auto"/>
              </w:rPr>
            </w:pPr>
          </w:p>
        </w:tc>
      </w:tr>
      <w:tr>
        <w:trPr>
          <w:trHeight w:val="189"/>
        </w:trPr>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101.INS</w:t>
            </w:r>
          </w:p>
        </w:tc>
        <w:tc>
          <w:tcPr>
            <w:tcW w:w="10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XBRL Instance Document. *</w:t>
            </w:r>
          </w:p>
        </w:tc>
      </w:tr>
      <w:tr>
        <w:trPr>
          <w:trHeight w:val="189"/>
        </w:trPr>
        <w:tc>
          <w:tcPr>
            <w:tcW w:w="860" w:type="dxa"/>
            <w:vAlign w:val="bottom"/>
          </w:tcPr>
          <w:p>
            <w:pPr>
              <w:spacing w:after="0"/>
              <w:rPr>
                <w:sz w:val="16"/>
                <w:szCs w:val="16"/>
                <w:color w:val="auto"/>
              </w:rPr>
            </w:pPr>
          </w:p>
        </w:tc>
        <w:tc>
          <w:tcPr>
            <w:tcW w:w="10580" w:type="dxa"/>
            <w:vAlign w:val="bottom"/>
          </w:tcPr>
          <w:p>
            <w:pPr>
              <w:spacing w:after="0"/>
              <w:rPr>
                <w:sz w:val="16"/>
                <w:szCs w:val="16"/>
                <w:color w:val="auto"/>
              </w:rPr>
            </w:pPr>
          </w:p>
        </w:tc>
      </w:tr>
      <w:tr>
        <w:trPr>
          <w:trHeight w:val="189"/>
        </w:trPr>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101.SCH</w:t>
            </w:r>
          </w:p>
        </w:tc>
        <w:tc>
          <w:tcPr>
            <w:tcW w:w="10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XBRL Taxonomy Extension Schema. *</w:t>
            </w:r>
          </w:p>
        </w:tc>
      </w:tr>
      <w:tr>
        <w:trPr>
          <w:trHeight w:val="189"/>
        </w:trPr>
        <w:tc>
          <w:tcPr>
            <w:tcW w:w="860" w:type="dxa"/>
            <w:vAlign w:val="bottom"/>
          </w:tcPr>
          <w:p>
            <w:pPr>
              <w:spacing w:after="0"/>
              <w:rPr>
                <w:sz w:val="16"/>
                <w:szCs w:val="16"/>
                <w:color w:val="auto"/>
              </w:rPr>
            </w:pPr>
          </w:p>
        </w:tc>
        <w:tc>
          <w:tcPr>
            <w:tcW w:w="10580" w:type="dxa"/>
            <w:vAlign w:val="bottom"/>
          </w:tcPr>
          <w:p>
            <w:pPr>
              <w:spacing w:after="0"/>
              <w:rPr>
                <w:sz w:val="16"/>
                <w:szCs w:val="16"/>
                <w:color w:val="auto"/>
              </w:rPr>
            </w:pPr>
          </w:p>
        </w:tc>
      </w:tr>
      <w:tr>
        <w:trPr>
          <w:trHeight w:val="189"/>
        </w:trPr>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101.CAL</w:t>
            </w:r>
          </w:p>
        </w:tc>
        <w:tc>
          <w:tcPr>
            <w:tcW w:w="10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XBRL Taxonomy Extension Calculation Linkbase. *</w:t>
            </w:r>
          </w:p>
        </w:tc>
      </w:tr>
      <w:tr>
        <w:trPr>
          <w:trHeight w:val="189"/>
        </w:trPr>
        <w:tc>
          <w:tcPr>
            <w:tcW w:w="860" w:type="dxa"/>
            <w:vAlign w:val="bottom"/>
          </w:tcPr>
          <w:p>
            <w:pPr>
              <w:spacing w:after="0"/>
              <w:rPr>
                <w:sz w:val="16"/>
                <w:szCs w:val="16"/>
                <w:color w:val="auto"/>
              </w:rPr>
            </w:pPr>
          </w:p>
        </w:tc>
        <w:tc>
          <w:tcPr>
            <w:tcW w:w="10580" w:type="dxa"/>
            <w:vAlign w:val="bottom"/>
          </w:tcPr>
          <w:p>
            <w:pPr>
              <w:spacing w:after="0"/>
              <w:rPr>
                <w:sz w:val="16"/>
                <w:szCs w:val="16"/>
                <w:color w:val="auto"/>
              </w:rPr>
            </w:pPr>
          </w:p>
        </w:tc>
      </w:tr>
      <w:tr>
        <w:trPr>
          <w:trHeight w:val="189"/>
        </w:trPr>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101.DEF</w:t>
            </w:r>
          </w:p>
        </w:tc>
        <w:tc>
          <w:tcPr>
            <w:tcW w:w="10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XBRL Taxonomy Extension Definition Linkbase. *</w:t>
            </w:r>
          </w:p>
        </w:tc>
      </w:tr>
      <w:tr>
        <w:trPr>
          <w:trHeight w:val="189"/>
        </w:trPr>
        <w:tc>
          <w:tcPr>
            <w:tcW w:w="860" w:type="dxa"/>
            <w:vAlign w:val="bottom"/>
          </w:tcPr>
          <w:p>
            <w:pPr>
              <w:spacing w:after="0"/>
              <w:rPr>
                <w:sz w:val="16"/>
                <w:szCs w:val="16"/>
                <w:color w:val="auto"/>
              </w:rPr>
            </w:pPr>
          </w:p>
        </w:tc>
        <w:tc>
          <w:tcPr>
            <w:tcW w:w="10580" w:type="dxa"/>
            <w:vAlign w:val="bottom"/>
          </w:tcPr>
          <w:p>
            <w:pPr>
              <w:spacing w:after="0"/>
              <w:rPr>
                <w:sz w:val="16"/>
                <w:szCs w:val="16"/>
                <w:color w:val="auto"/>
              </w:rPr>
            </w:pPr>
          </w:p>
        </w:tc>
      </w:tr>
      <w:tr>
        <w:trPr>
          <w:trHeight w:val="189"/>
        </w:trPr>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101.LAB</w:t>
            </w:r>
          </w:p>
        </w:tc>
        <w:tc>
          <w:tcPr>
            <w:tcW w:w="10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XBRL Taxonomy Extension Label Linkbase. *</w:t>
            </w:r>
          </w:p>
        </w:tc>
      </w:tr>
      <w:tr>
        <w:trPr>
          <w:trHeight w:val="189"/>
        </w:trPr>
        <w:tc>
          <w:tcPr>
            <w:tcW w:w="860" w:type="dxa"/>
            <w:vAlign w:val="bottom"/>
          </w:tcPr>
          <w:p>
            <w:pPr>
              <w:spacing w:after="0"/>
              <w:rPr>
                <w:sz w:val="16"/>
                <w:szCs w:val="16"/>
                <w:color w:val="auto"/>
              </w:rPr>
            </w:pPr>
          </w:p>
        </w:tc>
        <w:tc>
          <w:tcPr>
            <w:tcW w:w="10580" w:type="dxa"/>
            <w:vAlign w:val="bottom"/>
          </w:tcPr>
          <w:p>
            <w:pPr>
              <w:spacing w:after="0"/>
              <w:rPr>
                <w:sz w:val="16"/>
                <w:szCs w:val="16"/>
                <w:color w:val="auto"/>
              </w:rPr>
            </w:pPr>
          </w:p>
        </w:tc>
      </w:tr>
      <w:tr>
        <w:trPr>
          <w:trHeight w:val="189"/>
        </w:trPr>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101.PRE</w:t>
            </w:r>
          </w:p>
        </w:tc>
        <w:tc>
          <w:tcPr>
            <w:tcW w:w="10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XBRL Taxonomy Extension Presentation Linkbase. *</w:t>
            </w:r>
          </w:p>
        </w:tc>
      </w:tr>
    </w:tbl>
    <w:p>
      <w:pPr>
        <w:spacing w:after="0" w:line="200" w:lineRule="exact"/>
        <w:rPr>
          <w:sz w:val="20"/>
          <w:szCs w:val="20"/>
          <w:color w:val="auto"/>
        </w:rPr>
      </w:pPr>
    </w:p>
    <w:p>
      <w:pPr>
        <w:spacing w:after="0" w:line="213" w:lineRule="exact"/>
        <w:rPr>
          <w:sz w:val="20"/>
          <w:szCs w:val="20"/>
          <w:color w:val="auto"/>
        </w:rPr>
      </w:pPr>
    </w:p>
    <w:p>
      <w:pPr>
        <w:ind w:left="705" w:hanging="422"/>
        <w:spacing w:after="0"/>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BioTime’s Annual Report on Form 10-K for the year ended December 31, 2010.</w:t>
      </w:r>
    </w:p>
    <w:p>
      <w:pPr>
        <w:spacing w:after="0" w:line="217" w:lineRule="exact"/>
        <w:rPr>
          <w:rFonts w:ascii="Arial" w:cs="Arial" w:eastAsia="Arial" w:hAnsi="Arial"/>
          <w:sz w:val="16"/>
          <w:szCs w:val="16"/>
          <w:color w:val="auto"/>
        </w:rPr>
      </w:pPr>
    </w:p>
    <w:p>
      <w:pPr>
        <w:ind w:left="705" w:hanging="422"/>
        <w:spacing w:after="0"/>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March 31, 2012.</w:t>
      </w:r>
    </w:p>
    <w:p>
      <w:pPr>
        <w:spacing w:after="0" w:line="217" w:lineRule="exact"/>
        <w:rPr>
          <w:rFonts w:ascii="Arial" w:cs="Arial" w:eastAsia="Arial" w:hAnsi="Arial"/>
          <w:sz w:val="16"/>
          <w:szCs w:val="16"/>
          <w:color w:val="auto"/>
        </w:rPr>
      </w:pPr>
    </w:p>
    <w:p>
      <w:pPr>
        <w:ind w:left="705" w:hanging="422"/>
        <w:spacing w:after="0"/>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with the Securities and Exchange Commission on January 8, 2013</w:t>
      </w:r>
    </w:p>
    <w:p>
      <w:pPr>
        <w:spacing w:after="0" w:line="217" w:lineRule="exact"/>
        <w:rPr>
          <w:rFonts w:ascii="Arial" w:cs="Arial" w:eastAsia="Arial" w:hAnsi="Arial"/>
          <w:sz w:val="16"/>
          <w:szCs w:val="16"/>
          <w:color w:val="auto"/>
        </w:rPr>
      </w:pPr>
    </w:p>
    <w:p>
      <w:pPr>
        <w:ind w:left="705" w:right="20" w:hanging="422"/>
        <w:spacing w:after="0" w:line="267"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Registration Statement on Form S-1, File Number 33-48717 and Post-Effective Amendment No. 1 thereto filed with the Securities and Exchange Commission on June 22, 1992, and August 27, 1992, respectively</w:t>
      </w:r>
    </w:p>
    <w:p>
      <w:pPr>
        <w:spacing w:after="0" w:line="181" w:lineRule="exact"/>
        <w:rPr>
          <w:rFonts w:ascii="Arial" w:cs="Arial" w:eastAsia="Arial" w:hAnsi="Arial"/>
          <w:sz w:val="16"/>
          <w:szCs w:val="16"/>
          <w:color w:val="auto"/>
        </w:rPr>
      </w:pPr>
    </w:p>
    <w:p>
      <w:pPr>
        <w:ind w:left="705" w:right="20" w:hanging="422"/>
        <w:spacing w:after="0" w:line="340" w:lineRule="auto"/>
        <w:tabs>
          <w:tab w:leader="none" w:pos="705"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Incorporated by reference to Registration Statement on Form S-1, File Number 33-44549 filed with the Securities and Exchange Commission on December 18, 1991, and Amendment No. 1 and Amendment No. 2 thereto filed with the Securities and Exchange Commission on February 6, 1992 and March 7, 1992, respectively</w:t>
      </w:r>
    </w:p>
    <w:p>
      <w:pPr>
        <w:spacing w:after="0" w:line="134" w:lineRule="exact"/>
        <w:rPr>
          <w:rFonts w:ascii="Arial" w:cs="Arial" w:eastAsia="Arial" w:hAnsi="Arial"/>
          <w:sz w:val="14"/>
          <w:szCs w:val="14"/>
          <w:color w:val="auto"/>
        </w:rPr>
      </w:pPr>
    </w:p>
    <w:p>
      <w:pPr>
        <w:ind w:left="705" w:hanging="422"/>
        <w:spacing w:after="0"/>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with the Securities and Exchange Commission on March 5, 2014</w:t>
      </w:r>
    </w:p>
    <w:p>
      <w:pPr>
        <w:spacing w:after="0" w:line="217" w:lineRule="exact"/>
        <w:rPr>
          <w:rFonts w:ascii="Arial" w:cs="Arial" w:eastAsia="Arial" w:hAnsi="Arial"/>
          <w:sz w:val="16"/>
          <w:szCs w:val="16"/>
          <w:color w:val="auto"/>
        </w:rPr>
      </w:pPr>
    </w:p>
    <w:p>
      <w:pPr>
        <w:ind w:left="705" w:hanging="422"/>
        <w:spacing w:after="0"/>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March 31, 2009</w:t>
      </w:r>
    </w:p>
    <w:p>
      <w:pPr>
        <w:spacing w:after="0" w:line="217" w:lineRule="exact"/>
        <w:rPr>
          <w:rFonts w:ascii="Arial" w:cs="Arial" w:eastAsia="Arial" w:hAnsi="Arial"/>
          <w:sz w:val="16"/>
          <w:szCs w:val="16"/>
          <w:color w:val="auto"/>
        </w:rPr>
      </w:pPr>
    </w:p>
    <w:p>
      <w:pPr>
        <w:ind w:left="705" w:hanging="422"/>
        <w:spacing w:after="0"/>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March 31, 2010</w:t>
      </w:r>
    </w:p>
    <w:p>
      <w:pPr>
        <w:spacing w:after="0" w:line="217" w:lineRule="exact"/>
        <w:rPr>
          <w:rFonts w:ascii="Arial" w:cs="Arial" w:eastAsia="Arial" w:hAnsi="Arial"/>
          <w:sz w:val="16"/>
          <w:szCs w:val="16"/>
          <w:color w:val="auto"/>
        </w:rPr>
      </w:pPr>
    </w:p>
    <w:p>
      <w:pPr>
        <w:ind w:left="705" w:hanging="422"/>
        <w:spacing w:after="0"/>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BioTime’s Annual Report on Form 10-K for the year ended December 31, 2012</w:t>
      </w:r>
    </w:p>
    <w:p>
      <w:pPr>
        <w:spacing w:after="0" w:line="217" w:lineRule="exact"/>
        <w:rPr>
          <w:rFonts w:ascii="Arial" w:cs="Arial" w:eastAsia="Arial" w:hAnsi="Arial"/>
          <w:sz w:val="16"/>
          <w:szCs w:val="16"/>
          <w:color w:val="auto"/>
        </w:rPr>
      </w:pPr>
    </w:p>
    <w:p>
      <w:pPr>
        <w:ind w:left="705" w:hanging="422"/>
        <w:spacing w:after="0"/>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with the Securities and Exchange Commission on June 3, 2013</w:t>
      </w:r>
    </w:p>
    <w:p>
      <w:pPr>
        <w:spacing w:after="0" w:line="217" w:lineRule="exact"/>
        <w:rPr>
          <w:rFonts w:ascii="Arial" w:cs="Arial" w:eastAsia="Arial" w:hAnsi="Arial"/>
          <w:sz w:val="16"/>
          <w:szCs w:val="16"/>
          <w:color w:val="auto"/>
        </w:rPr>
      </w:pPr>
    </w:p>
    <w:p>
      <w:pPr>
        <w:ind w:left="705" w:hanging="422"/>
        <w:spacing w:after="0"/>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with the Securities and Exchange Commission on October 1, 2013</w:t>
      </w:r>
    </w:p>
    <w:p>
      <w:pPr>
        <w:spacing w:after="0" w:line="217" w:lineRule="exact"/>
        <w:rPr>
          <w:rFonts w:ascii="Arial" w:cs="Arial" w:eastAsia="Arial" w:hAnsi="Arial"/>
          <w:sz w:val="16"/>
          <w:szCs w:val="16"/>
          <w:color w:val="auto"/>
        </w:rPr>
      </w:pPr>
    </w:p>
    <w:p>
      <w:pPr>
        <w:ind w:left="705" w:hanging="422"/>
        <w:spacing w:after="0"/>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June 30, 2009</w:t>
      </w:r>
    </w:p>
    <w:p>
      <w:pPr>
        <w:spacing w:after="0" w:line="217" w:lineRule="exact"/>
        <w:rPr>
          <w:rFonts w:ascii="Arial" w:cs="Arial" w:eastAsia="Arial" w:hAnsi="Arial"/>
          <w:sz w:val="16"/>
          <w:szCs w:val="16"/>
          <w:color w:val="auto"/>
        </w:rPr>
      </w:pPr>
    </w:p>
    <w:p>
      <w:pPr>
        <w:ind w:left="705" w:hanging="422"/>
        <w:spacing w:after="0"/>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April 24, 1997</w:t>
      </w:r>
    </w:p>
    <w:p>
      <w:pPr>
        <w:spacing w:after="0" w:line="217" w:lineRule="exact"/>
        <w:rPr>
          <w:rFonts w:ascii="Arial" w:cs="Arial" w:eastAsia="Arial" w:hAnsi="Arial"/>
          <w:sz w:val="16"/>
          <w:szCs w:val="16"/>
          <w:color w:val="auto"/>
        </w:rPr>
      </w:pPr>
    </w:p>
    <w:p>
      <w:pPr>
        <w:ind w:left="705" w:hanging="422"/>
        <w:spacing w:after="0"/>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BioTime’s Form Quarterly Report on 10-Q for the quarter ended June 30, 1999</w:t>
      </w:r>
    </w:p>
    <w:p>
      <w:pPr>
        <w:spacing w:after="0" w:line="217" w:lineRule="exact"/>
        <w:rPr>
          <w:rFonts w:ascii="Arial" w:cs="Arial" w:eastAsia="Arial" w:hAnsi="Arial"/>
          <w:sz w:val="16"/>
          <w:szCs w:val="16"/>
          <w:color w:val="auto"/>
        </w:rPr>
      </w:pPr>
    </w:p>
    <w:p>
      <w:pPr>
        <w:ind w:left="705" w:hanging="422"/>
        <w:spacing w:after="0"/>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BioTime’s Annual Report on Form 10-K/A-1 for the year ended December 31, 2002</w:t>
      </w:r>
    </w:p>
    <w:p>
      <w:pPr>
        <w:spacing w:after="0" w:line="217" w:lineRule="exact"/>
        <w:rPr>
          <w:rFonts w:ascii="Arial" w:cs="Arial" w:eastAsia="Arial" w:hAnsi="Arial"/>
          <w:sz w:val="16"/>
          <w:szCs w:val="16"/>
          <w:color w:val="auto"/>
        </w:rPr>
      </w:pPr>
    </w:p>
    <w:p>
      <w:pPr>
        <w:ind w:left="705" w:hanging="422"/>
        <w:spacing w:after="0"/>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December 30, 2004</w:t>
      </w:r>
    </w:p>
    <w:p>
      <w:pPr>
        <w:spacing w:after="0" w:line="380"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148" w:name="page149"/>
    <w:bookmarkEnd w:id="14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December 20, 2005</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January 13, 2006</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March 30, 2006</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Annual Report on Form 10-KSB for the year ended December 31, 2007</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January 9, 2008</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June 30, 2008</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September 30, 2008</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Annual Report on Form 10-K for the year ended December 31, 2008</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September 30, 2009</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Current Report on Form 8-K filed October 19, 2010</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June 30, 2011</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September 30, 2011</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Annual Report on Form 10-K for the year ended December 31, 2011</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4"/>
          <w:szCs w:val="14"/>
          <w:color w:val="auto"/>
        </w:rPr>
      </w:pPr>
      <w:r>
        <w:rPr>
          <w:rFonts w:ascii="Arial" w:cs="Arial" w:eastAsia="Arial" w:hAnsi="Arial"/>
          <w:sz w:val="14"/>
          <w:szCs w:val="14"/>
          <w:color w:val="auto"/>
        </w:rPr>
        <w:t>Incorporated by reference to Registration Statement on Form S-3, File Number 333-182964 filed with the Securities and Exchange Commission on July 31, 2012</w:t>
      </w:r>
    </w:p>
    <w:p>
      <w:pPr>
        <w:spacing w:after="0" w:line="240" w:lineRule="exact"/>
        <w:rPr>
          <w:rFonts w:ascii="Arial" w:cs="Arial" w:eastAsia="Arial" w:hAnsi="Arial"/>
          <w:sz w:val="14"/>
          <w:szCs w:val="14"/>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September 30, 2012</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Annual Report on Form 10-K for the year ended December 31, 2012</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June 30, 2013</w:t>
      </w:r>
    </w:p>
    <w:p>
      <w:pPr>
        <w:spacing w:after="0" w:line="217" w:lineRule="exact"/>
        <w:rPr>
          <w:rFonts w:ascii="Arial" w:cs="Arial" w:eastAsia="Arial" w:hAnsi="Arial"/>
          <w:sz w:val="16"/>
          <w:szCs w:val="16"/>
          <w:color w:val="auto"/>
        </w:rPr>
      </w:pPr>
    </w:p>
    <w:p>
      <w:pPr>
        <w:ind w:left="700" w:hanging="422"/>
        <w:spacing w:after="0"/>
        <w:tabs>
          <w:tab w:leader="none" w:pos="7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Incorporated by reference to BioTime’s Quarterly Report on Form 10-Q for the quarter ended September 30, 2013</w:t>
      </w:r>
    </w:p>
    <w:p>
      <w:pPr>
        <w:spacing w:after="0" w:line="21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Filed herewith</w:t>
      </w:r>
    </w:p>
    <w:p>
      <w:pPr>
        <w:spacing w:after="0" w:line="200" w:lineRule="exact"/>
        <w:rPr>
          <w:sz w:val="20"/>
          <w:szCs w:val="20"/>
          <w:color w:val="auto"/>
        </w:rPr>
      </w:pPr>
    </w:p>
    <w:p>
      <w:pPr>
        <w:spacing w:after="0" w:line="227"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55245</wp:posOffset>
            </wp:positionV>
            <wp:extent cx="7268845" cy="349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8845" cy="34925"/>
                    </a:xfrm>
                    <a:prstGeom prst="rect">
                      <a:avLst/>
                    </a:prstGeom>
                    <a:noFill/>
                  </pic:spPr>
                </pic:pic>
              </a:graphicData>
            </a:graphic>
          </wp:anchor>
        </w:drawing>
      </w:r>
    </w:p>
    <w:p>
      <w:pPr>
        <w:sectPr>
          <w:pgSz w:w="11900" w:h="16838" w:orient="portrait"/>
          <w:cols w:equalWidth="0" w:num="1">
            <w:col w:w="10880"/>
          </w:cols>
          <w:pgMar w:left="240" w:top="124" w:right="779" w:bottom="1440" w:gutter="0" w:footer="0" w:header="0"/>
        </w:sectPr>
      </w:pPr>
    </w:p>
    <w:bookmarkStart w:id="149" w:name="page150"/>
    <w:bookmarkEnd w:id="149"/>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68845" cy="476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8845" cy="47625"/>
                    </a:xfrm>
                    <a:prstGeom prst="rect">
                      <a:avLst/>
                    </a:prstGeom>
                    <a:noFill/>
                  </pic:spPr>
                </pic:pic>
              </a:graphicData>
            </a:graphic>
          </wp:anchor>
        </w:drawing>
        <w:t>EXHIBIT 10.57</w:t>
      </w:r>
    </w:p>
    <w:p>
      <w:pPr>
        <w:spacing w:after="0" w:line="198"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LEASE</w:t>
      </w:r>
    </w:p>
    <w:p>
      <w:pPr>
        <w:spacing w:after="0" w:line="218"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by and between</w:t>
      </w:r>
    </w:p>
    <w:p>
      <w:pPr>
        <w:spacing w:after="0" w:line="218"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BMR-6300 DUMBARTON CIRCLE LP,</w:t>
      </w:r>
    </w:p>
    <w:p>
      <w:pPr>
        <w:spacing w:after="0" w:line="28"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 Delaware limited partnership</w:t>
      </w:r>
    </w:p>
    <w:p>
      <w:pPr>
        <w:spacing w:after="0" w:line="207"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and</w:t>
      </w:r>
    </w:p>
    <w:p>
      <w:pPr>
        <w:spacing w:after="0" w:line="218"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ASTERIAS BIOTHERAPEUTICS, INC.,</w:t>
      </w:r>
    </w:p>
    <w:p>
      <w:pPr>
        <w:spacing w:after="0" w:line="28"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101600</wp:posOffset>
            </wp:positionV>
            <wp:extent cx="726376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40"/>
          </w:cols>
          <w:pgMar w:left="1440" w:top="277" w:right="219" w:bottom="1440" w:gutter="0" w:footer="0" w:header="0"/>
        </w:sectPr>
      </w:pPr>
    </w:p>
    <w:bookmarkStart w:id="150" w:name="page151"/>
    <w:bookmarkEnd w:id="150"/>
    <w:p>
      <w:pPr>
        <w:jc w:val="center"/>
        <w:ind w:right="-4"/>
        <w:spacing w:after="0"/>
        <w:rPr>
          <w:sz w:val="20"/>
          <w:szCs w:val="20"/>
          <w:color w:val="auto"/>
        </w:rPr>
      </w:pPr>
      <w:r>
        <w:rPr>
          <w:rFonts w:ascii="Arial" w:cs="Arial" w:eastAsia="Arial" w:hAnsi="Arial"/>
          <w:sz w:val="16"/>
          <w:szCs w:val="16"/>
          <w:b w:val="1"/>
          <w:bCs w:val="1"/>
          <w:u w:val="single" w:color="auto"/>
          <w:color w:val="auto"/>
        </w:rPr>
        <w:t>LEASE</w:t>
      </w:r>
    </w:p>
    <w:p>
      <w:pPr>
        <w:spacing w:after="0" w:line="222" w:lineRule="exact"/>
        <w:rPr>
          <w:sz w:val="20"/>
          <w:szCs w:val="20"/>
          <w:color w:val="auto"/>
        </w:rPr>
      </w:pPr>
    </w:p>
    <w:p>
      <w:pPr>
        <w:ind w:left="5" w:firstLine="567"/>
        <w:spacing w:after="0" w:line="267" w:lineRule="auto"/>
        <w:rPr>
          <w:sz w:val="20"/>
          <w:szCs w:val="20"/>
          <w:color w:val="auto"/>
        </w:rPr>
      </w:pPr>
      <w:r>
        <w:rPr>
          <w:rFonts w:ascii="Arial" w:cs="Arial" w:eastAsia="Arial" w:hAnsi="Arial"/>
          <w:sz w:val="16"/>
          <w:szCs w:val="16"/>
          <w:color w:val="auto"/>
        </w:rPr>
        <w:t>THIS LEASE (this “</w:t>
      </w:r>
      <w:r>
        <w:rPr>
          <w:rFonts w:ascii="Arial" w:cs="Arial" w:eastAsia="Arial" w:hAnsi="Arial"/>
          <w:sz w:val="16"/>
          <w:szCs w:val="16"/>
          <w:u w:val="single" w:color="auto"/>
          <w:color w:val="auto"/>
        </w:rPr>
        <w:t>Lease</w:t>
      </w:r>
      <w:r>
        <w:rPr>
          <w:rFonts w:ascii="Arial" w:cs="Arial" w:eastAsia="Arial" w:hAnsi="Arial"/>
          <w:sz w:val="16"/>
          <w:szCs w:val="16"/>
          <w:color w:val="auto"/>
        </w:rPr>
        <w:t>”) is entered into as of this 30th day of December, 2013 (the “</w:t>
      </w:r>
      <w:r>
        <w:rPr>
          <w:rFonts w:ascii="Arial" w:cs="Arial" w:eastAsia="Arial" w:hAnsi="Arial"/>
          <w:sz w:val="16"/>
          <w:szCs w:val="16"/>
          <w:u w:val="single" w:color="auto"/>
          <w:color w:val="auto"/>
        </w:rPr>
        <w:t>Execution Date</w:t>
      </w:r>
      <w:r>
        <w:rPr>
          <w:rFonts w:ascii="Arial" w:cs="Arial" w:eastAsia="Arial" w:hAnsi="Arial"/>
          <w:sz w:val="16"/>
          <w:szCs w:val="16"/>
          <w:color w:val="auto"/>
        </w:rPr>
        <w:t>”), by and between BMR-6300 DUMBARTON CIRCLE LP, a Delaware limited partnership (“</w:t>
      </w:r>
      <w:r>
        <w:rPr>
          <w:rFonts w:ascii="Arial" w:cs="Arial" w:eastAsia="Arial" w:hAnsi="Arial"/>
          <w:sz w:val="16"/>
          <w:szCs w:val="16"/>
          <w:u w:val="single" w:color="auto"/>
          <w:color w:val="auto"/>
        </w:rPr>
        <w:t>Landlord</w:t>
      </w:r>
      <w:r>
        <w:rPr>
          <w:rFonts w:ascii="Arial" w:cs="Arial" w:eastAsia="Arial" w:hAnsi="Arial"/>
          <w:sz w:val="16"/>
          <w:szCs w:val="16"/>
          <w:color w:val="auto"/>
        </w:rPr>
        <w:t>”), and ASTERIAS BIOTHERAPEUTICS, INC., a Delaware corporation (“</w:t>
      </w:r>
      <w:r>
        <w:rPr>
          <w:rFonts w:ascii="Arial" w:cs="Arial" w:eastAsia="Arial" w:hAnsi="Arial"/>
          <w:sz w:val="16"/>
          <w:szCs w:val="16"/>
          <w:u w:val="single" w:color="auto"/>
          <w:color w:val="auto"/>
        </w:rPr>
        <w:t>Tenant</w:t>
      </w:r>
      <w:r>
        <w:rPr>
          <w:rFonts w:ascii="Arial" w:cs="Arial" w:eastAsia="Arial" w:hAnsi="Arial"/>
          <w:sz w:val="16"/>
          <w:szCs w:val="16"/>
          <w:color w:val="auto"/>
        </w:rPr>
        <w:t>”).</w:t>
      </w:r>
    </w:p>
    <w:p>
      <w:pPr>
        <w:spacing w:after="0" w:line="177"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u w:val="single" w:color="auto"/>
          <w:color w:val="auto"/>
        </w:rPr>
        <w:t>RECITALS</w:t>
      </w:r>
    </w:p>
    <w:p>
      <w:pPr>
        <w:spacing w:after="0" w:line="222" w:lineRule="exact"/>
        <w:rPr>
          <w:sz w:val="20"/>
          <w:szCs w:val="20"/>
          <w:color w:val="auto"/>
        </w:rPr>
      </w:pPr>
    </w:p>
    <w:p>
      <w:pPr>
        <w:ind w:left="5" w:right="200" w:firstLine="562"/>
        <w:spacing w:after="0" w:line="267" w:lineRule="auto"/>
        <w:tabs>
          <w:tab w:leader="none" w:pos="109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WHEREAS, Landlord owns certain real property (the “</w:t>
      </w:r>
      <w:r>
        <w:rPr>
          <w:rFonts w:ascii="Arial" w:cs="Arial" w:eastAsia="Arial" w:hAnsi="Arial"/>
          <w:sz w:val="16"/>
          <w:szCs w:val="16"/>
          <w:u w:val="single" w:color="auto"/>
          <w:color w:val="auto"/>
        </w:rPr>
        <w:t>Property</w:t>
      </w:r>
      <w:r>
        <w:rPr>
          <w:rFonts w:ascii="Arial" w:cs="Arial" w:eastAsia="Arial" w:hAnsi="Arial"/>
          <w:sz w:val="16"/>
          <w:szCs w:val="16"/>
          <w:color w:val="auto"/>
        </w:rPr>
        <w:t>”) and the improvements on the Property located at 6300 Dumbarton Circle, Fremont, California, including the building located thereon (the “</w:t>
      </w:r>
      <w:r>
        <w:rPr>
          <w:rFonts w:ascii="Arial" w:cs="Arial" w:eastAsia="Arial" w:hAnsi="Arial"/>
          <w:sz w:val="16"/>
          <w:szCs w:val="16"/>
          <w:u w:val="single" w:color="auto"/>
          <w:color w:val="auto"/>
        </w:rPr>
        <w:t>Building</w:t>
      </w:r>
      <w:r>
        <w:rPr>
          <w:rFonts w:ascii="Arial" w:cs="Arial" w:eastAsia="Arial" w:hAnsi="Arial"/>
          <w:sz w:val="16"/>
          <w:szCs w:val="16"/>
          <w:color w:val="auto"/>
        </w:rPr>
        <w:t>”); and</w:t>
      </w:r>
    </w:p>
    <w:p>
      <w:pPr>
        <w:spacing w:after="0" w:line="181" w:lineRule="exact"/>
        <w:rPr>
          <w:rFonts w:ascii="Arial" w:cs="Arial" w:eastAsia="Arial" w:hAnsi="Arial"/>
          <w:sz w:val="16"/>
          <w:szCs w:val="16"/>
          <w:color w:val="auto"/>
        </w:rPr>
      </w:pPr>
    </w:p>
    <w:p>
      <w:pPr>
        <w:ind w:left="5" w:right="140" w:firstLine="562"/>
        <w:spacing w:after="0" w:line="267" w:lineRule="auto"/>
        <w:tabs>
          <w:tab w:leader="none" w:pos="1101" w:val="left"/>
        </w:tabs>
        <w:numPr>
          <w:ilvl w:val="0"/>
          <w:numId w:val="66"/>
        </w:numPr>
        <w:rPr>
          <w:rFonts w:ascii="Arial" w:cs="Arial" w:eastAsia="Arial" w:hAnsi="Arial"/>
          <w:sz w:val="16"/>
          <w:szCs w:val="16"/>
          <w:color w:val="auto"/>
        </w:rPr>
      </w:pPr>
      <w:r>
        <w:rPr>
          <w:rFonts w:ascii="Arial" w:cs="Arial" w:eastAsia="Arial" w:hAnsi="Arial"/>
          <w:sz w:val="16"/>
          <w:szCs w:val="16"/>
          <w:color w:val="auto"/>
        </w:rPr>
        <w:t>WHEREAS, Landlord wishes to lease to Tenant, and Tenant desires to lease from Landlord, the Premises (as defined below), pursuant to the terms and conditions of this Lease, as detailed below.</w:t>
      </w:r>
    </w:p>
    <w:p>
      <w:pPr>
        <w:spacing w:after="0" w:line="177"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u w:val="single" w:color="auto"/>
          <w:color w:val="auto"/>
        </w:rPr>
        <w:t>AGREEMENT</w:t>
      </w:r>
    </w:p>
    <w:p>
      <w:pPr>
        <w:spacing w:after="0" w:line="222" w:lineRule="exact"/>
        <w:rPr>
          <w:sz w:val="20"/>
          <w:szCs w:val="20"/>
          <w:color w:val="auto"/>
        </w:rPr>
      </w:pPr>
    </w:p>
    <w:p>
      <w:pPr>
        <w:ind w:left="5" w:right="20" w:firstLine="567"/>
        <w:spacing w:after="0" w:line="267" w:lineRule="auto"/>
        <w:rPr>
          <w:sz w:val="20"/>
          <w:szCs w:val="20"/>
          <w:color w:val="auto"/>
        </w:rPr>
      </w:pPr>
      <w:r>
        <w:rPr>
          <w:rFonts w:ascii="Arial" w:cs="Arial" w:eastAsia="Arial" w:hAnsi="Arial"/>
          <w:sz w:val="16"/>
          <w:szCs w:val="16"/>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81" w:lineRule="exact"/>
        <w:rPr>
          <w:sz w:val="20"/>
          <w:szCs w:val="20"/>
          <w:color w:val="auto"/>
        </w:rPr>
      </w:pPr>
    </w:p>
    <w:p>
      <w:pPr>
        <w:jc w:val="both"/>
        <w:ind w:left="5" w:hanging="5"/>
        <w:spacing w:after="0" w:line="311" w:lineRule="auto"/>
        <w:tabs>
          <w:tab w:leader="none" w:pos="507" w:val="left"/>
        </w:tabs>
        <w:numPr>
          <w:ilvl w:val="0"/>
          <w:numId w:val="67"/>
        </w:numPr>
        <w:rPr>
          <w:rFonts w:ascii="Arial" w:cs="Arial" w:eastAsia="Arial" w:hAnsi="Arial"/>
          <w:sz w:val="14"/>
          <w:szCs w:val="14"/>
          <w:color w:val="auto"/>
        </w:rPr>
      </w:pPr>
      <w:r>
        <w:rPr>
          <w:rFonts w:ascii="Arial" w:cs="Arial" w:eastAsia="Arial" w:hAnsi="Arial"/>
          <w:sz w:val="14"/>
          <w:szCs w:val="14"/>
          <w:u w:val="single" w:color="auto"/>
          <w:color w:val="auto"/>
        </w:rPr>
        <w:t>Lease of Premises</w:t>
      </w:r>
      <w:r>
        <w:rPr>
          <w:rFonts w:ascii="Arial" w:cs="Arial" w:eastAsia="Arial" w:hAnsi="Arial"/>
          <w:sz w:val="14"/>
          <w:szCs w:val="14"/>
          <w:color w:val="auto"/>
        </w:rPr>
        <w:t xml:space="preserve">. Effective on the Term Commencement Date (as defined below), Landlord hereby leases to Tenant, and Tenant hereby leases from Landlord, the premises shown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attached hereto, including shafts, cable runs, mechanical spaces, rooftop areas, landscaping, parking facilities, private drives and other improvements and appurtenances related thereto (including the Building), for use by Tenant in accordance with the Permitted Use (as defined below) and no other uses (collectively, the “</w:t>
      </w:r>
      <w:r>
        <w:rPr>
          <w:rFonts w:ascii="Arial" w:cs="Arial" w:eastAsia="Arial" w:hAnsi="Arial"/>
          <w:sz w:val="14"/>
          <w:szCs w:val="14"/>
          <w:u w:val="single" w:color="auto"/>
          <w:color w:val="auto"/>
        </w:rPr>
        <w:t>Premises</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ind w:left="5" w:right="20" w:hanging="5"/>
        <w:spacing w:after="0" w:line="267" w:lineRule="auto"/>
        <w:tabs>
          <w:tab w:leader="none" w:pos="767"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Basic Lease Provisions</w:t>
      </w:r>
      <w:r>
        <w:rPr>
          <w:rFonts w:ascii="Arial" w:cs="Arial" w:eastAsia="Arial" w:hAnsi="Arial"/>
          <w:sz w:val="16"/>
          <w:szCs w:val="16"/>
          <w:color w:val="auto"/>
        </w:rPr>
        <w:t>. For convenience of the parties, certain basic provisions of this Lease are set forth herein. The provisions set forth herein are subject to the remaining terms and conditions of this Lease and are to be interpreted in light of such remaining terms and conditions.</w:t>
      </w:r>
    </w:p>
    <w:p>
      <w:pPr>
        <w:spacing w:after="0" w:line="181" w:lineRule="exact"/>
        <w:rPr>
          <w:sz w:val="20"/>
          <w:szCs w:val="20"/>
          <w:color w:val="auto"/>
        </w:rPr>
      </w:pPr>
    </w:p>
    <w:p>
      <w:pPr>
        <w:ind w:left="5" w:right="20" w:firstLine="567"/>
        <w:spacing w:after="0" w:line="267" w:lineRule="auto"/>
        <w:rPr>
          <w:sz w:val="20"/>
          <w:szCs w:val="20"/>
          <w:color w:val="auto"/>
        </w:rPr>
      </w:pPr>
      <w:r>
        <w:rPr>
          <w:rFonts w:ascii="Arial" w:cs="Arial" w:eastAsia="Arial" w:hAnsi="Arial"/>
          <w:sz w:val="16"/>
          <w:szCs w:val="16"/>
          <w:color w:val="auto"/>
        </w:rPr>
        <w:t>2.1. This Lease shall take effect upon the Execution Date and, except as specifically otherwise provided within this Lease, each of the provisions hereof shall be binding upon and inure to the benefit of Landlord and Tenant from the date of execution and delivery hereof by all parties hereto.</w:t>
      </w:r>
    </w:p>
    <w:p>
      <w:pPr>
        <w:spacing w:after="0" w:line="181" w:lineRule="exact"/>
        <w:rPr>
          <w:sz w:val="20"/>
          <w:szCs w:val="20"/>
          <w:color w:val="auto"/>
        </w:rPr>
      </w:pPr>
    </w:p>
    <w:p>
      <w:pPr>
        <w:ind w:left="565"/>
        <w:spacing w:after="0"/>
        <w:tabs>
          <w:tab w:leader="none" w:pos="1085"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Rentable Area</w:t>
      </w:r>
      <w:r>
        <w:rPr>
          <w:rFonts w:ascii="Arial" w:cs="Arial" w:eastAsia="Arial" w:hAnsi="Arial"/>
          <w:sz w:val="14"/>
          <w:szCs w:val="14"/>
          <w:color w:val="auto"/>
        </w:rPr>
        <w:t>” of the Premises: Approximately forty-four thousand (44,000) square feet, subject to adjustment pursuant to the terms hereof.</w:t>
      </w:r>
    </w:p>
    <w:p>
      <w:pPr>
        <w:spacing w:after="0" w:line="218" w:lineRule="exact"/>
        <w:rPr>
          <w:sz w:val="20"/>
          <w:szCs w:val="20"/>
          <w:color w:val="auto"/>
        </w:rPr>
      </w:pPr>
    </w:p>
    <w:p>
      <w:pPr>
        <w:ind w:left="565"/>
        <w:spacing w:after="0"/>
        <w:tabs>
          <w:tab w:leader="none" w:pos="1105"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color w:val="auto"/>
        </w:rPr>
        <w:t>Initial monthly and annual installments of Base Rent for the Premises (“</w:t>
      </w:r>
      <w:r>
        <w:rPr>
          <w:rFonts w:ascii="Arial" w:cs="Arial" w:eastAsia="Arial" w:hAnsi="Arial"/>
          <w:sz w:val="14"/>
          <w:szCs w:val="14"/>
          <w:u w:val="single" w:color="auto"/>
          <w:color w:val="auto"/>
        </w:rPr>
        <w:t>Base Rent</w:t>
      </w:r>
      <w:r>
        <w:rPr>
          <w:rFonts w:ascii="Arial" w:cs="Arial" w:eastAsia="Arial" w:hAnsi="Arial"/>
          <w:sz w:val="14"/>
          <w:szCs w:val="14"/>
          <w:color w:val="auto"/>
        </w:rPr>
        <w:t>”) as of the Term Commencement Date, subject to adjustment under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228600</wp:posOffset>
            </wp:positionV>
            <wp:extent cx="726376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3" w:right="219" w:bottom="1440" w:gutter="0" w:footer="0" w:header="0"/>
        </w:sectPr>
      </w:pPr>
    </w:p>
    <w:bookmarkStart w:id="151" w:name="page152"/>
    <w:bookmarkEnd w:id="151"/>
    <w:tbl>
      <w:tblPr>
        <w:tblLayout w:type="fixed"/>
        <w:tblInd w:w="10" w:type="dxa"/>
        <w:tblCellMar>
          <w:top w:w="0" w:type="dxa"/>
          <w:left w:w="0" w:type="dxa"/>
          <w:bottom w:w="0" w:type="dxa"/>
          <w:right w:w="0" w:type="dxa"/>
        </w:tblCellMar>
      </w:tblPr>
      <w:tr>
        <w:trPr>
          <w:trHeight w:val="177"/>
        </w:trPr>
        <w:tc>
          <w:tcPr>
            <w:tcW w:w="580" w:type="dxa"/>
            <w:vAlign w:val="bottom"/>
            <w:tcBorders>
              <w:top w:val="single" w:sz="8" w:color="auto"/>
              <w:left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60" w:type="dxa"/>
            <w:vAlign w:val="bottom"/>
            <w:tcBorders>
              <w:top w:val="single" w:sz="8" w:color="auto"/>
              <w:right w:val="single" w:sz="8" w:color="auto"/>
            </w:tcBorders>
            <w:gridSpan w:val="5"/>
          </w:tcPr>
          <w:p>
            <w:pPr>
              <w:jc w:val="center"/>
              <w:ind w:right="640"/>
              <w:spacing w:after="0" w:line="178" w:lineRule="exact"/>
              <w:rPr>
                <w:sz w:val="20"/>
                <w:szCs w:val="20"/>
                <w:color w:val="auto"/>
              </w:rPr>
            </w:pPr>
            <w:r>
              <w:rPr>
                <w:rFonts w:ascii="Arial" w:cs="Arial" w:eastAsia="Arial" w:hAnsi="Arial"/>
                <w:sz w:val="16"/>
                <w:szCs w:val="16"/>
                <w:b w:val="1"/>
                <w:bCs w:val="1"/>
                <w:color w:val="auto"/>
                <w:w w:val="85"/>
              </w:rPr>
              <w:t>Dates (as of the</w:t>
            </w:r>
          </w:p>
        </w:tc>
        <w:tc>
          <w:tcPr>
            <w:tcW w:w="720" w:type="dxa"/>
            <w:vAlign w:val="bottom"/>
            <w:tcBorders>
              <w:top w:val="single" w:sz="8" w:color="auto"/>
            </w:tcBorders>
            <w:vMerge w:val="restart"/>
          </w:tcPr>
          <w:p>
            <w:pPr>
              <w:spacing w:after="0"/>
              <w:rPr>
                <w:sz w:val="15"/>
                <w:szCs w:val="15"/>
                <w:color w:val="auto"/>
              </w:rPr>
            </w:pPr>
          </w:p>
        </w:tc>
        <w:tc>
          <w:tcPr>
            <w:tcW w:w="820" w:type="dxa"/>
            <w:vAlign w:val="bottom"/>
            <w:tcBorders>
              <w:top w:val="single" w:sz="8" w:color="auto"/>
            </w:tcBorders>
            <w:gridSpan w:val="5"/>
            <w:vMerge w:val="restart"/>
          </w:tcPr>
          <w:p>
            <w:pPr>
              <w:jc w:val="center"/>
              <w:spacing w:after="0"/>
              <w:rPr>
                <w:sz w:val="20"/>
                <w:szCs w:val="20"/>
                <w:color w:val="auto"/>
              </w:rPr>
            </w:pPr>
            <w:r>
              <w:rPr>
                <w:rFonts w:ascii="Arial" w:cs="Arial" w:eastAsia="Arial" w:hAnsi="Arial"/>
                <w:sz w:val="16"/>
                <w:szCs w:val="16"/>
                <w:b w:val="1"/>
                <w:bCs w:val="1"/>
                <w:color w:val="auto"/>
                <w:w w:val="89"/>
              </w:rPr>
              <w:t>Square Feet</w:t>
            </w:r>
          </w:p>
        </w:tc>
        <w:tc>
          <w:tcPr>
            <w:tcW w:w="740" w:type="dxa"/>
            <w:vAlign w:val="bottom"/>
            <w:tcBorders>
              <w:top w:val="single" w:sz="8" w:color="auto"/>
              <w:right w:val="single" w:sz="8" w:color="auto"/>
            </w:tcBorders>
            <w:vMerge w:val="restart"/>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Base Rent per</w:t>
            </w:r>
          </w:p>
        </w:tc>
        <w:tc>
          <w:tcPr>
            <w:tcW w:w="680" w:type="dxa"/>
            <w:vAlign w:val="bottom"/>
            <w:tcBorders>
              <w:top w:val="single" w:sz="8" w:color="auto"/>
              <w:right w:val="single" w:sz="8" w:color="auto"/>
            </w:tcBorders>
            <w:gridSpan w:val="2"/>
            <w:vMerge w:val="restart"/>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5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8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60" w:type="dxa"/>
            <w:vAlign w:val="bottom"/>
            <w:tcBorders>
              <w:top w:val="single" w:sz="8" w:color="auto"/>
              <w:bottom w:val="single" w:sz="8" w:color="auto"/>
            </w:tcBorders>
            <w:vMerge w:val="restart"/>
          </w:tcPr>
          <w:p>
            <w:pPr>
              <w:jc w:val="center"/>
              <w:spacing w:after="0" w:line="169" w:lineRule="exact"/>
              <w:rPr>
                <w:sz w:val="20"/>
                <w:szCs w:val="20"/>
                <w:color w:val="auto"/>
              </w:rPr>
            </w:pPr>
            <w:r>
              <w:rPr>
                <w:rFonts w:ascii="Arial" w:cs="Arial" w:eastAsia="Arial" w:hAnsi="Arial"/>
                <w:sz w:val="16"/>
                <w:szCs w:val="16"/>
                <w:b w:val="1"/>
                <w:bCs w:val="1"/>
                <w:color w:val="auto"/>
                <w:w w:val="91"/>
              </w:rPr>
              <w:t>Term</w:t>
            </w:r>
          </w:p>
        </w:tc>
        <w:tc>
          <w:tcPr>
            <w:tcW w:w="320" w:type="dxa"/>
            <w:vAlign w:val="bottom"/>
            <w:tcBorders>
              <w:top w:val="single" w:sz="8" w:color="auto"/>
              <w:bottom w:val="single" w:sz="8" w:color="auto"/>
            </w:tcBorders>
            <w:vMerge w:val="restart"/>
          </w:tcPr>
          <w:p>
            <w:pPr>
              <w:spacing w:after="0"/>
              <w:rPr>
                <w:sz w:val="6"/>
                <w:szCs w:val="6"/>
                <w:color w:val="auto"/>
              </w:rPr>
            </w:pPr>
          </w:p>
        </w:tc>
        <w:tc>
          <w:tcPr>
            <w:tcW w:w="640" w:type="dxa"/>
            <w:vAlign w:val="bottom"/>
            <w:tcBorders>
              <w:right w:val="single" w:sz="8" w:color="auto"/>
            </w:tcBorders>
            <w:gridSpan w:val="2"/>
            <w:vMerge w:val="restart"/>
          </w:tcPr>
          <w:p>
            <w:pPr>
              <w:spacing w:after="0"/>
              <w:rPr>
                <w:sz w:val="6"/>
                <w:szCs w:val="6"/>
                <w:color w:val="auto"/>
              </w:rPr>
            </w:pPr>
          </w:p>
        </w:tc>
        <w:tc>
          <w:tcPr>
            <w:tcW w:w="720" w:type="dxa"/>
            <w:vAlign w:val="bottom"/>
            <w:tcBorders>
              <w:top w:val="single" w:sz="8" w:color="auto"/>
            </w:tcBorders>
            <w:vMerge w:val="continue"/>
          </w:tcPr>
          <w:p>
            <w:pPr>
              <w:spacing w:after="0"/>
              <w:rPr>
                <w:sz w:val="6"/>
                <w:szCs w:val="6"/>
                <w:color w:val="auto"/>
              </w:rPr>
            </w:pPr>
          </w:p>
        </w:tc>
        <w:tc>
          <w:tcPr>
            <w:tcW w:w="820" w:type="dxa"/>
            <w:vAlign w:val="bottom"/>
            <w:tcBorders>
              <w:top w:val="single" w:sz="8" w:color="auto"/>
              <w:bottom w:val="single" w:sz="8" w:color="auto"/>
            </w:tcBorders>
            <w:gridSpan w:val="5"/>
            <w:vMerge w:val="continue"/>
          </w:tcPr>
          <w:p>
            <w:pPr>
              <w:spacing w:after="0"/>
              <w:rPr>
                <w:sz w:val="6"/>
                <w:szCs w:val="6"/>
                <w:color w:val="auto"/>
              </w:rPr>
            </w:pPr>
          </w:p>
        </w:tc>
        <w:tc>
          <w:tcPr>
            <w:tcW w:w="740" w:type="dxa"/>
            <w:vAlign w:val="bottom"/>
            <w:tcBorders>
              <w:top w:val="single" w:sz="8" w:color="auto"/>
              <w:right w:val="single" w:sz="8" w:color="auto"/>
            </w:tcBorders>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Borders>
              <w:top w:val="single" w:sz="8" w:color="auto"/>
              <w:bottom w:val="single" w:sz="8" w:color="auto"/>
            </w:tcBorders>
            <w:vMerge w:val="continue"/>
          </w:tcPr>
          <w:p>
            <w:pPr>
              <w:spacing w:after="0"/>
              <w:rPr>
                <w:sz w:val="6"/>
                <w:szCs w:val="6"/>
                <w:color w:val="auto"/>
              </w:rPr>
            </w:pPr>
          </w:p>
        </w:tc>
        <w:tc>
          <w:tcPr>
            <w:tcW w:w="680" w:type="dxa"/>
            <w:vAlign w:val="bottom"/>
            <w:tcBorders>
              <w:top w:val="single" w:sz="8" w:color="auto"/>
              <w:right w:val="single" w:sz="8" w:color="auto"/>
            </w:tcBorders>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right w:val="single" w:sz="8" w:color="auto"/>
            </w:tcBorders>
            <w:gridSpan w:val="3"/>
            <w:vMerge w:val="restart"/>
          </w:tcPr>
          <w:p>
            <w:pPr>
              <w:jc w:val="center"/>
              <w:ind w:right="880"/>
              <w:spacing w:after="0" w:line="169" w:lineRule="exact"/>
              <w:rPr>
                <w:sz w:val="20"/>
                <w:szCs w:val="20"/>
                <w:color w:val="auto"/>
              </w:rPr>
            </w:pPr>
            <w:r>
              <w:rPr>
                <w:rFonts w:ascii="Arial" w:cs="Arial" w:eastAsia="Arial" w:hAnsi="Arial"/>
                <w:sz w:val="16"/>
                <w:szCs w:val="16"/>
                <w:b w:val="1"/>
                <w:bCs w:val="1"/>
                <w:color w:val="auto"/>
                <w:w w:val="94"/>
              </w:rPr>
              <w:t>Monthly</w:t>
            </w: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58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gridSpan w:val="3"/>
            <w:vMerge w:val="restart"/>
          </w:tcPr>
          <w:p>
            <w:pPr>
              <w:jc w:val="center"/>
              <w:spacing w:after="0" w:line="169" w:lineRule="exact"/>
              <w:rPr>
                <w:sz w:val="20"/>
                <w:szCs w:val="20"/>
                <w:color w:val="auto"/>
              </w:rPr>
            </w:pPr>
            <w:r>
              <w:rPr>
                <w:rFonts w:ascii="Arial" w:cs="Arial" w:eastAsia="Arial" w:hAnsi="Arial"/>
                <w:sz w:val="16"/>
                <w:szCs w:val="16"/>
                <w:b w:val="1"/>
                <w:bCs w:val="1"/>
                <w:color w:val="auto"/>
                <w:w w:val="89"/>
              </w:rPr>
              <w:t>of Rentable</w:t>
            </w:r>
          </w:p>
        </w:tc>
        <w:tc>
          <w:tcPr>
            <w:tcW w:w="760" w:type="dxa"/>
            <w:vAlign w:val="bottom"/>
            <w:tcBorders>
              <w:right w:val="single" w:sz="8" w:color="auto"/>
            </w:tcBorders>
            <w:gridSpan w:val="2"/>
            <w:vMerge w:val="restart"/>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gridSpan w:val="3"/>
            <w:vMerge w:val="restart"/>
          </w:tcPr>
          <w:p>
            <w:pPr>
              <w:jc w:val="center"/>
              <w:spacing w:after="0" w:line="169" w:lineRule="exact"/>
              <w:rPr>
                <w:sz w:val="20"/>
                <w:szCs w:val="20"/>
                <w:color w:val="auto"/>
              </w:rPr>
            </w:pPr>
            <w:r>
              <w:rPr>
                <w:rFonts w:ascii="Arial" w:cs="Arial" w:eastAsia="Arial" w:hAnsi="Arial"/>
                <w:sz w:val="16"/>
                <w:szCs w:val="16"/>
                <w:b w:val="1"/>
                <w:bCs w:val="1"/>
                <w:color w:val="auto"/>
                <w:w w:val="88"/>
              </w:rPr>
              <w:t>Square Foot of</w:t>
            </w:r>
          </w:p>
        </w:tc>
        <w:tc>
          <w:tcPr>
            <w:tcW w:w="660" w:type="dxa"/>
            <w:vAlign w:val="bottom"/>
            <w:tcBorders>
              <w:right w:val="single" w:sz="8" w:color="auto"/>
            </w:tcBorders>
            <w:vMerge w:val="restart"/>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right w:val="single" w:sz="8" w:color="auto"/>
            </w:tcBorders>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1800" w:type="dxa"/>
            <w:vAlign w:val="bottom"/>
            <w:tcBorders>
              <w:right w:val="single" w:sz="8" w:color="auto"/>
            </w:tcBorders>
            <w:gridSpan w:val="2"/>
            <w:vMerge w:val="restart"/>
          </w:tcPr>
          <w:p>
            <w:pPr>
              <w:jc w:val="center"/>
              <w:ind w:right="520"/>
              <w:spacing w:after="0" w:line="169" w:lineRule="exact"/>
              <w:rPr>
                <w:sz w:val="20"/>
                <w:szCs w:val="20"/>
                <w:color w:val="auto"/>
              </w:rPr>
            </w:pPr>
            <w:r>
              <w:rPr>
                <w:rFonts w:ascii="Arial" w:cs="Arial" w:eastAsia="Arial" w:hAnsi="Arial"/>
                <w:sz w:val="16"/>
                <w:szCs w:val="16"/>
                <w:b w:val="1"/>
                <w:bCs w:val="1"/>
                <w:color w:val="auto"/>
                <w:w w:val="89"/>
              </w:rPr>
              <w:t>Annual Base Rent*</w:t>
            </w:r>
          </w:p>
        </w:tc>
        <w:tc>
          <w:tcPr>
            <w:tcW w:w="0" w:type="dxa"/>
            <w:vAlign w:val="bottom"/>
          </w:tcPr>
          <w:p>
            <w:pPr>
              <w:spacing w:after="0"/>
              <w:rPr>
                <w:sz w:val="1"/>
                <w:szCs w:val="1"/>
                <w:color w:val="auto"/>
              </w:rPr>
            </w:pPr>
          </w:p>
        </w:tc>
      </w:tr>
      <w:tr>
        <w:trPr>
          <w:trHeight w:val="20"/>
        </w:trPr>
        <w:tc>
          <w:tcPr>
            <w:tcW w:w="5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760" w:type="dxa"/>
            <w:vAlign w:val="bottom"/>
            <w:tcBorders>
              <w:right w:val="single" w:sz="8" w:color="auto"/>
            </w:tcBorders>
            <w:gridSpan w:val="2"/>
            <w:vMerge w:val="continue"/>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660" w:type="dxa"/>
            <w:vAlign w:val="bottom"/>
            <w:tcBorders>
              <w:right w:val="single" w:sz="8" w:color="auto"/>
            </w:tcBorders>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80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80" w:type="dxa"/>
            <w:vAlign w:val="bottom"/>
            <w:tcBorders>
              <w:left w:val="single" w:sz="8" w:color="auto"/>
            </w:tcBorders>
          </w:tcPr>
          <w:p>
            <w:pPr>
              <w:spacing w:after="0"/>
              <w:rPr>
                <w:sz w:val="6"/>
                <w:szCs w:val="6"/>
                <w:color w:val="auto"/>
              </w:rPr>
            </w:pPr>
          </w:p>
        </w:tc>
        <w:tc>
          <w:tcPr>
            <w:tcW w:w="1700" w:type="dxa"/>
            <w:vAlign w:val="bottom"/>
            <w:tcBorders>
              <w:right w:val="single" w:sz="8" w:color="auto"/>
            </w:tcBorders>
            <w:gridSpan w:val="6"/>
            <w:vMerge w:val="restart"/>
          </w:tcPr>
          <w:p>
            <w:pPr>
              <w:jc w:val="center"/>
              <w:ind w:right="600"/>
              <w:spacing w:after="0" w:line="169" w:lineRule="exact"/>
              <w:rPr>
                <w:sz w:val="20"/>
                <w:szCs w:val="20"/>
                <w:color w:val="auto"/>
              </w:rPr>
            </w:pPr>
            <w:r>
              <w:rPr>
                <w:rFonts w:ascii="Arial" w:cs="Arial" w:eastAsia="Arial" w:hAnsi="Arial"/>
                <w:sz w:val="16"/>
                <w:szCs w:val="16"/>
                <w:b w:val="1"/>
                <w:bCs w:val="1"/>
                <w:color w:val="auto"/>
                <w:w w:val="88"/>
              </w:rPr>
              <w:t>Commencement</w:t>
            </w:r>
          </w:p>
        </w:tc>
        <w:tc>
          <w:tcPr>
            <w:tcW w:w="7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760" w:type="dxa"/>
            <w:vAlign w:val="bottom"/>
          </w:tcPr>
          <w:p>
            <w:pPr>
              <w:spacing w:after="0"/>
              <w:rPr>
                <w:sz w:val="6"/>
                <w:szCs w:val="6"/>
                <w:color w:val="auto"/>
              </w:rPr>
            </w:pPr>
          </w:p>
        </w:tc>
        <w:tc>
          <w:tcPr>
            <w:tcW w:w="1540" w:type="dxa"/>
            <w:vAlign w:val="bottom"/>
            <w:tcBorders>
              <w:right w:val="single" w:sz="8" w:color="auto"/>
            </w:tcBorders>
            <w:gridSpan w:val="4"/>
            <w:vMerge w:val="restart"/>
          </w:tcPr>
          <w:p>
            <w:pPr>
              <w:jc w:val="center"/>
              <w:ind w:right="780"/>
              <w:spacing w:after="0" w:line="169" w:lineRule="exact"/>
              <w:rPr>
                <w:sz w:val="20"/>
                <w:szCs w:val="20"/>
                <w:color w:val="auto"/>
              </w:rPr>
            </w:pPr>
            <w:r>
              <w:rPr>
                <w:rFonts w:ascii="Arial" w:cs="Arial" w:eastAsia="Arial" w:hAnsi="Arial"/>
                <w:sz w:val="16"/>
                <w:szCs w:val="16"/>
                <w:b w:val="1"/>
                <w:bCs w:val="1"/>
                <w:color w:val="auto"/>
                <w:w w:val="89"/>
              </w:rPr>
              <w:t>Base Rent*</w:t>
            </w:r>
          </w:p>
        </w:tc>
        <w:tc>
          <w:tcPr>
            <w:tcW w:w="480" w:type="dxa"/>
            <w:vAlign w:val="bottom"/>
            <w:vMerge w:val="continue"/>
          </w:tcPr>
          <w:p>
            <w:pPr>
              <w:spacing w:after="0"/>
              <w:rPr>
                <w:sz w:val="6"/>
                <w:szCs w:val="6"/>
                <w:color w:val="auto"/>
              </w:rPr>
            </w:pPr>
          </w:p>
        </w:tc>
        <w:tc>
          <w:tcPr>
            <w:tcW w:w="180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580" w:type="dxa"/>
            <w:vAlign w:val="bottom"/>
            <w:tcBorders>
              <w:left w:val="single" w:sz="8" w:color="auto"/>
            </w:tcBorders>
          </w:tcPr>
          <w:p>
            <w:pPr>
              <w:spacing w:after="0"/>
              <w:rPr>
                <w:sz w:val="6"/>
                <w:szCs w:val="6"/>
                <w:color w:val="auto"/>
              </w:rPr>
            </w:pPr>
          </w:p>
        </w:tc>
        <w:tc>
          <w:tcPr>
            <w:tcW w:w="1700" w:type="dxa"/>
            <w:vAlign w:val="bottom"/>
            <w:tcBorders>
              <w:right w:val="single" w:sz="8" w:color="auto"/>
            </w:tcBorders>
            <w:gridSpan w:val="6"/>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auto"/>
            </w:tcBorders>
            <w:gridSpan w:val="3"/>
            <w:vMerge w:val="restart"/>
          </w:tcPr>
          <w:p>
            <w:pPr>
              <w:jc w:val="center"/>
              <w:spacing w:after="0" w:line="169" w:lineRule="exact"/>
              <w:rPr>
                <w:sz w:val="20"/>
                <w:szCs w:val="20"/>
                <w:color w:val="auto"/>
              </w:rPr>
            </w:pPr>
            <w:r>
              <w:rPr>
                <w:rFonts w:ascii="Arial" w:cs="Arial" w:eastAsia="Arial" w:hAnsi="Arial"/>
                <w:sz w:val="16"/>
                <w:szCs w:val="16"/>
                <w:b w:val="1"/>
                <w:bCs w:val="1"/>
                <w:color w:val="auto"/>
              </w:rPr>
              <w:t>Area*</w:t>
            </w:r>
          </w:p>
        </w:tc>
        <w:tc>
          <w:tcPr>
            <w:tcW w:w="760" w:type="dxa"/>
            <w:vAlign w:val="bottom"/>
            <w:tcBorders>
              <w:right w:val="single" w:sz="8" w:color="auto"/>
            </w:tcBorders>
            <w:gridSpan w:val="2"/>
            <w:vMerge w:val="restart"/>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Borders>
              <w:top w:val="single" w:sz="8" w:color="auto"/>
            </w:tcBorders>
            <w:gridSpan w:val="3"/>
            <w:vMerge w:val="restart"/>
          </w:tcPr>
          <w:p>
            <w:pPr>
              <w:jc w:val="center"/>
              <w:spacing w:after="0" w:line="169" w:lineRule="exact"/>
              <w:rPr>
                <w:sz w:val="20"/>
                <w:szCs w:val="20"/>
                <w:color w:val="auto"/>
              </w:rPr>
            </w:pPr>
            <w:r>
              <w:rPr>
                <w:rFonts w:ascii="Arial" w:cs="Arial" w:eastAsia="Arial" w:hAnsi="Arial"/>
                <w:sz w:val="16"/>
                <w:szCs w:val="16"/>
                <w:b w:val="1"/>
                <w:bCs w:val="1"/>
                <w:color w:val="auto"/>
                <w:w w:val="89"/>
              </w:rPr>
              <w:t>Rentable Area</w:t>
            </w:r>
          </w:p>
        </w:tc>
        <w:tc>
          <w:tcPr>
            <w:tcW w:w="660" w:type="dxa"/>
            <w:vAlign w:val="bottom"/>
            <w:tcBorders>
              <w:right w:val="single" w:sz="8" w:color="auto"/>
            </w:tcBorders>
            <w:vMerge w:val="restart"/>
          </w:tcPr>
          <w:p>
            <w:pPr>
              <w:spacing w:after="0"/>
              <w:rPr>
                <w:sz w:val="6"/>
                <w:szCs w:val="6"/>
                <w:color w:val="auto"/>
              </w:rPr>
            </w:pPr>
          </w:p>
        </w:tc>
        <w:tc>
          <w:tcPr>
            <w:tcW w:w="760" w:type="dxa"/>
            <w:vAlign w:val="bottom"/>
          </w:tcPr>
          <w:p>
            <w:pPr>
              <w:spacing w:after="0"/>
              <w:rPr>
                <w:sz w:val="6"/>
                <w:szCs w:val="6"/>
                <w:color w:val="auto"/>
              </w:rPr>
            </w:pPr>
          </w:p>
        </w:tc>
        <w:tc>
          <w:tcPr>
            <w:tcW w:w="1540" w:type="dxa"/>
            <w:vAlign w:val="bottom"/>
            <w:tcBorders>
              <w:right w:val="single" w:sz="8" w:color="auto"/>
            </w:tcBorders>
            <w:gridSpan w:val="4"/>
            <w:vMerge w:val="continue"/>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580" w:type="dxa"/>
            <w:vAlign w:val="bottom"/>
            <w:tcBorders>
              <w:left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gridSpan w:val="3"/>
            <w:vMerge w:val="restart"/>
          </w:tcPr>
          <w:p>
            <w:pPr>
              <w:jc w:val="center"/>
              <w:ind w:right="360"/>
              <w:spacing w:after="0" w:line="169" w:lineRule="exact"/>
              <w:rPr>
                <w:sz w:val="20"/>
                <w:szCs w:val="20"/>
                <w:color w:val="auto"/>
              </w:rPr>
            </w:pPr>
            <w:r>
              <w:rPr>
                <w:rFonts w:ascii="Arial" w:cs="Arial" w:eastAsia="Arial" w:hAnsi="Arial"/>
                <w:sz w:val="16"/>
                <w:szCs w:val="16"/>
                <w:b w:val="1"/>
                <w:bCs w:val="1"/>
                <w:color w:val="auto"/>
                <w:w w:val="89"/>
              </w:rPr>
              <w:t>Date)</w:t>
            </w:r>
          </w:p>
        </w:tc>
        <w:tc>
          <w:tcPr>
            <w:tcW w:w="600" w:type="dxa"/>
            <w:vAlign w:val="bottom"/>
            <w:tcBorders>
              <w:right w:val="single" w:sz="8" w:color="auto"/>
            </w:tcBorders>
            <w:vMerge w:val="restart"/>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auto"/>
            </w:tcBorders>
            <w:gridSpan w:val="3"/>
            <w:vMerge w:val="continue"/>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Borders>
              <w:top w:val="single" w:sz="8" w:color="auto"/>
            </w:tcBorders>
            <w:gridSpan w:val="3"/>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58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Borders>
              <w:top w:val="single" w:sz="8" w:color="auto"/>
            </w:tcBorders>
            <w:gridSpan w:val="3"/>
            <w:vMerge w:val="continue"/>
          </w:tcPr>
          <w:p>
            <w:pPr>
              <w:spacing w:after="0"/>
              <w:rPr>
                <w:sz w:val="6"/>
                <w:szCs w:val="6"/>
                <w:color w:val="auto"/>
              </w:rPr>
            </w:pPr>
          </w:p>
        </w:tc>
        <w:tc>
          <w:tcPr>
            <w:tcW w:w="600" w:type="dxa"/>
            <w:vAlign w:val="bottom"/>
            <w:tcBorders>
              <w:right w:val="single" w:sz="8" w:color="auto"/>
            </w:tcBorders>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tcBorders>
              <w:left w:val="single" w:sz="8" w:color="auto"/>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right w:val="single" w:sz="8" w:color="auto"/>
            </w:tcBorders>
            <w:gridSpan w:val="5"/>
            <w:shd w:val="clear" w:color="auto" w:fill="CCEEFF"/>
          </w:tcPr>
          <w:p>
            <w:pPr>
              <w:jc w:val="center"/>
              <w:ind w:right="620"/>
              <w:spacing w:after="0"/>
              <w:rPr>
                <w:sz w:val="20"/>
                <w:szCs w:val="20"/>
                <w:color w:val="auto"/>
              </w:rPr>
            </w:pPr>
            <w:r>
              <w:rPr>
                <w:rFonts w:ascii="Arial" w:cs="Arial" w:eastAsia="Arial" w:hAnsi="Arial"/>
                <w:sz w:val="16"/>
                <w:szCs w:val="16"/>
                <w:color w:val="auto"/>
                <w:w w:val="89"/>
              </w:rPr>
              <w:t>Months 1-12</w:t>
            </w:r>
          </w:p>
        </w:tc>
        <w:tc>
          <w:tcPr>
            <w:tcW w:w="1520" w:type="dxa"/>
            <w:vAlign w:val="bottom"/>
            <w:tcBorders>
              <w:bottom w:val="single" w:sz="8" w:color="auto"/>
            </w:tcBorders>
            <w:gridSpan w:val="5"/>
            <w:shd w:val="clear" w:color="auto" w:fill="CCEEFF"/>
          </w:tcPr>
          <w:p>
            <w:pPr>
              <w:jc w:val="center"/>
              <w:ind w:left="661"/>
              <w:spacing w:after="0"/>
              <w:rPr>
                <w:sz w:val="20"/>
                <w:szCs w:val="20"/>
                <w:color w:val="auto"/>
              </w:rPr>
            </w:pPr>
            <w:r>
              <w:rPr>
                <w:rFonts w:ascii="Arial" w:cs="Arial" w:eastAsia="Arial" w:hAnsi="Arial"/>
                <w:sz w:val="16"/>
                <w:szCs w:val="16"/>
                <w:color w:val="auto"/>
                <w:w w:val="85"/>
              </w:rPr>
              <w:t>44,000</w:t>
            </w:r>
          </w:p>
        </w:tc>
        <w:tc>
          <w:tcPr>
            <w:tcW w:w="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right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right w:val="single" w:sz="8" w:color="auto"/>
            </w:tcBorders>
            <w:gridSpan w:val="3"/>
            <w:shd w:val="clear" w:color="auto" w:fill="CCEEFF"/>
          </w:tcPr>
          <w:p>
            <w:pPr>
              <w:jc w:val="center"/>
              <w:ind w:right="680"/>
              <w:spacing w:after="0"/>
              <w:rPr>
                <w:sz w:val="20"/>
                <w:szCs w:val="20"/>
                <w:color w:val="auto"/>
              </w:rPr>
            </w:pPr>
            <w:r>
              <w:rPr>
                <w:rFonts w:ascii="Arial" w:cs="Arial" w:eastAsia="Arial" w:hAnsi="Arial"/>
                <w:sz w:val="16"/>
                <w:szCs w:val="16"/>
                <w:color w:val="auto"/>
                <w:w w:val="91"/>
              </w:rPr>
              <w:t>$2.25 monthly</w:t>
            </w:r>
          </w:p>
        </w:tc>
        <w:tc>
          <w:tcPr>
            <w:tcW w:w="1520" w:type="dxa"/>
            <w:vAlign w:val="bottom"/>
            <w:tcBorders>
              <w:bottom w:val="single" w:sz="8" w:color="auto"/>
            </w:tcBorders>
            <w:gridSpan w:val="4"/>
            <w:shd w:val="clear" w:color="auto" w:fill="CCEEFF"/>
          </w:tcPr>
          <w:p>
            <w:pPr>
              <w:jc w:val="center"/>
              <w:ind w:left="661"/>
              <w:spacing w:after="0"/>
              <w:rPr>
                <w:sz w:val="20"/>
                <w:szCs w:val="20"/>
                <w:color w:val="auto"/>
              </w:rPr>
            </w:pPr>
            <w:r>
              <w:rPr>
                <w:rFonts w:ascii="Arial" w:cs="Arial" w:eastAsia="Arial" w:hAnsi="Arial"/>
                <w:sz w:val="16"/>
                <w:szCs w:val="16"/>
                <w:color w:val="auto"/>
                <w:w w:val="87"/>
              </w:rPr>
              <w:t>$99,000.00</w:t>
            </w:r>
          </w:p>
        </w:tc>
        <w:tc>
          <w:tcPr>
            <w:tcW w:w="780" w:type="dxa"/>
            <w:vAlign w:val="bottom"/>
            <w:tcBorders>
              <w:bottom w:val="single" w:sz="8" w:color="auto"/>
              <w:right w:val="single" w:sz="8" w:color="auto"/>
            </w:tcBorders>
            <w:shd w:val="clear" w:color="auto" w:fill="CCEEFF"/>
          </w:tcPr>
          <w:p>
            <w:pPr>
              <w:spacing w:after="0"/>
              <w:rPr>
                <w:sz w:val="16"/>
                <w:szCs w:val="16"/>
                <w:color w:val="auto"/>
              </w:rPr>
            </w:pPr>
          </w:p>
        </w:tc>
        <w:tc>
          <w:tcPr>
            <w:tcW w:w="1760" w:type="dxa"/>
            <w:vAlign w:val="bottom"/>
            <w:tcBorders>
              <w:bottom w:val="single" w:sz="8" w:color="auto"/>
            </w:tcBorders>
            <w:gridSpan w:val="2"/>
            <w:shd w:val="clear" w:color="auto" w:fill="CCEEFF"/>
          </w:tcPr>
          <w:p>
            <w:pPr>
              <w:jc w:val="center"/>
              <w:ind w:left="401"/>
              <w:spacing w:after="0"/>
              <w:rPr>
                <w:sz w:val="20"/>
                <w:szCs w:val="20"/>
                <w:color w:val="auto"/>
              </w:rPr>
            </w:pPr>
            <w:r>
              <w:rPr>
                <w:rFonts w:ascii="Arial" w:cs="Arial" w:eastAsia="Arial" w:hAnsi="Arial"/>
                <w:sz w:val="16"/>
                <w:szCs w:val="16"/>
                <w:color w:val="auto"/>
                <w:w w:val="89"/>
              </w:rPr>
              <w:t>$1,188,000.00</w:t>
            </w:r>
          </w:p>
        </w:tc>
        <w:tc>
          <w:tcPr>
            <w:tcW w:w="52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0" w:type="dxa"/>
            <w:vAlign w:val="bottom"/>
            <w:tcBorders>
              <w:left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60" w:type="dxa"/>
            <w:vAlign w:val="bottom"/>
            <w:tcBorders>
              <w:bottom w:val="single" w:sz="8" w:color="auto"/>
              <w:right w:val="single" w:sz="8" w:color="auto"/>
            </w:tcBorders>
            <w:gridSpan w:val="5"/>
          </w:tcPr>
          <w:p>
            <w:pPr>
              <w:jc w:val="center"/>
              <w:ind w:right="620"/>
              <w:spacing w:after="0"/>
              <w:rPr>
                <w:sz w:val="20"/>
                <w:szCs w:val="20"/>
                <w:color w:val="auto"/>
              </w:rPr>
            </w:pPr>
            <w:r>
              <w:rPr>
                <w:rFonts w:ascii="Arial" w:cs="Arial" w:eastAsia="Arial" w:hAnsi="Arial"/>
                <w:sz w:val="16"/>
                <w:szCs w:val="16"/>
                <w:color w:val="auto"/>
                <w:w w:val="89"/>
              </w:rPr>
              <w:t>Months 13-24</w:t>
            </w:r>
          </w:p>
        </w:tc>
        <w:tc>
          <w:tcPr>
            <w:tcW w:w="1520" w:type="dxa"/>
            <w:vAlign w:val="bottom"/>
            <w:tcBorders>
              <w:bottom w:val="single" w:sz="8" w:color="auto"/>
            </w:tcBorders>
            <w:gridSpan w:val="5"/>
          </w:tcPr>
          <w:p>
            <w:pPr>
              <w:jc w:val="center"/>
              <w:ind w:left="661"/>
              <w:spacing w:after="0"/>
              <w:rPr>
                <w:sz w:val="20"/>
                <w:szCs w:val="20"/>
                <w:color w:val="auto"/>
              </w:rPr>
            </w:pPr>
            <w:r>
              <w:rPr>
                <w:rFonts w:ascii="Arial" w:cs="Arial" w:eastAsia="Arial" w:hAnsi="Arial"/>
                <w:sz w:val="16"/>
                <w:szCs w:val="16"/>
                <w:color w:val="auto"/>
                <w:w w:val="85"/>
              </w:rPr>
              <w:t>44,000</w:t>
            </w: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right w:val="single" w:sz="8" w:color="auto"/>
            </w:tcBorders>
            <w:gridSpan w:val="3"/>
          </w:tcPr>
          <w:p>
            <w:pPr>
              <w:jc w:val="center"/>
              <w:ind w:right="680"/>
              <w:spacing w:after="0"/>
              <w:rPr>
                <w:sz w:val="20"/>
                <w:szCs w:val="20"/>
                <w:color w:val="auto"/>
              </w:rPr>
            </w:pPr>
            <w:r>
              <w:rPr>
                <w:rFonts w:ascii="Arial" w:cs="Arial" w:eastAsia="Arial" w:hAnsi="Arial"/>
                <w:sz w:val="16"/>
                <w:szCs w:val="16"/>
                <w:color w:val="auto"/>
                <w:w w:val="91"/>
              </w:rPr>
              <w:t>$2.32 monthly</w:t>
            </w:r>
          </w:p>
        </w:tc>
        <w:tc>
          <w:tcPr>
            <w:tcW w:w="2300" w:type="dxa"/>
            <w:vAlign w:val="bottom"/>
            <w:tcBorders>
              <w:bottom w:val="single" w:sz="8" w:color="auto"/>
              <w:right w:val="single" w:sz="8" w:color="auto"/>
            </w:tcBorders>
            <w:gridSpan w:val="5"/>
          </w:tcPr>
          <w:p>
            <w:pPr>
              <w:jc w:val="center"/>
              <w:ind w:right="40"/>
              <w:spacing w:after="0"/>
              <w:rPr>
                <w:sz w:val="20"/>
                <w:szCs w:val="20"/>
                <w:color w:val="auto"/>
              </w:rPr>
            </w:pPr>
            <w:r>
              <w:rPr>
                <w:rFonts w:ascii="Arial" w:cs="Arial" w:eastAsia="Arial" w:hAnsi="Arial"/>
                <w:sz w:val="16"/>
                <w:szCs w:val="16"/>
                <w:color w:val="auto"/>
                <w:w w:val="87"/>
              </w:rPr>
              <w:t>$102,080.00</w:t>
            </w:r>
          </w:p>
        </w:tc>
        <w:tc>
          <w:tcPr>
            <w:tcW w:w="176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6"/>
                <w:szCs w:val="16"/>
                <w:color w:val="auto"/>
                <w:w w:val="89"/>
              </w:rPr>
              <w:t>$1,224,960.00</w:t>
            </w: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0" w:type="dxa"/>
            <w:vAlign w:val="bottom"/>
            <w:tcBorders>
              <w:left w:val="single" w:sz="8" w:color="auto"/>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right w:val="single" w:sz="8" w:color="auto"/>
            </w:tcBorders>
            <w:gridSpan w:val="5"/>
            <w:shd w:val="clear" w:color="auto" w:fill="CCEEFF"/>
          </w:tcPr>
          <w:p>
            <w:pPr>
              <w:jc w:val="center"/>
              <w:ind w:right="620"/>
              <w:spacing w:after="0"/>
              <w:rPr>
                <w:sz w:val="20"/>
                <w:szCs w:val="20"/>
                <w:color w:val="auto"/>
              </w:rPr>
            </w:pPr>
            <w:r>
              <w:rPr>
                <w:rFonts w:ascii="Arial" w:cs="Arial" w:eastAsia="Arial" w:hAnsi="Arial"/>
                <w:sz w:val="16"/>
                <w:szCs w:val="16"/>
                <w:color w:val="auto"/>
                <w:w w:val="89"/>
              </w:rPr>
              <w:t>Months 25-36</w:t>
            </w:r>
          </w:p>
        </w:tc>
        <w:tc>
          <w:tcPr>
            <w:tcW w:w="1520" w:type="dxa"/>
            <w:vAlign w:val="bottom"/>
            <w:tcBorders>
              <w:bottom w:val="single" w:sz="8" w:color="auto"/>
            </w:tcBorders>
            <w:gridSpan w:val="5"/>
            <w:shd w:val="clear" w:color="auto" w:fill="CCEEFF"/>
          </w:tcPr>
          <w:p>
            <w:pPr>
              <w:jc w:val="center"/>
              <w:ind w:left="661"/>
              <w:spacing w:after="0"/>
              <w:rPr>
                <w:sz w:val="20"/>
                <w:szCs w:val="20"/>
                <w:color w:val="auto"/>
              </w:rPr>
            </w:pPr>
            <w:r>
              <w:rPr>
                <w:rFonts w:ascii="Arial" w:cs="Arial" w:eastAsia="Arial" w:hAnsi="Arial"/>
                <w:sz w:val="16"/>
                <w:szCs w:val="16"/>
                <w:color w:val="auto"/>
                <w:w w:val="85"/>
              </w:rPr>
              <w:t>44,000</w:t>
            </w:r>
          </w:p>
        </w:tc>
        <w:tc>
          <w:tcPr>
            <w:tcW w:w="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right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right w:val="single" w:sz="8" w:color="auto"/>
            </w:tcBorders>
            <w:gridSpan w:val="3"/>
            <w:shd w:val="clear" w:color="auto" w:fill="CCEEFF"/>
          </w:tcPr>
          <w:p>
            <w:pPr>
              <w:jc w:val="center"/>
              <w:ind w:right="680"/>
              <w:spacing w:after="0"/>
              <w:rPr>
                <w:sz w:val="20"/>
                <w:szCs w:val="20"/>
                <w:color w:val="auto"/>
              </w:rPr>
            </w:pPr>
            <w:r>
              <w:rPr>
                <w:rFonts w:ascii="Arial" w:cs="Arial" w:eastAsia="Arial" w:hAnsi="Arial"/>
                <w:sz w:val="16"/>
                <w:szCs w:val="16"/>
                <w:color w:val="auto"/>
                <w:w w:val="91"/>
              </w:rPr>
              <w:t>$2.39 monthly</w:t>
            </w:r>
          </w:p>
        </w:tc>
        <w:tc>
          <w:tcPr>
            <w:tcW w:w="2300" w:type="dxa"/>
            <w:vAlign w:val="bottom"/>
            <w:tcBorders>
              <w:bottom w:val="single" w:sz="8" w:color="auto"/>
              <w:right w:val="single" w:sz="8" w:color="auto"/>
            </w:tcBorders>
            <w:gridSpan w:val="5"/>
            <w:shd w:val="clear" w:color="auto" w:fill="CCEEFF"/>
          </w:tcPr>
          <w:p>
            <w:pPr>
              <w:jc w:val="center"/>
              <w:ind w:right="40"/>
              <w:spacing w:after="0"/>
              <w:rPr>
                <w:sz w:val="20"/>
                <w:szCs w:val="20"/>
                <w:color w:val="auto"/>
              </w:rPr>
            </w:pPr>
            <w:r>
              <w:rPr>
                <w:rFonts w:ascii="Arial" w:cs="Arial" w:eastAsia="Arial" w:hAnsi="Arial"/>
                <w:sz w:val="16"/>
                <w:szCs w:val="16"/>
                <w:color w:val="auto"/>
                <w:w w:val="87"/>
              </w:rPr>
              <w:t>$105,160.00</w:t>
            </w:r>
          </w:p>
        </w:tc>
        <w:tc>
          <w:tcPr>
            <w:tcW w:w="1760" w:type="dxa"/>
            <w:vAlign w:val="bottom"/>
            <w:tcBorders>
              <w:bottom w:val="single" w:sz="8" w:color="auto"/>
            </w:tcBorders>
            <w:gridSpan w:val="2"/>
            <w:shd w:val="clear" w:color="auto" w:fill="CCEEFF"/>
          </w:tcPr>
          <w:p>
            <w:pPr>
              <w:jc w:val="center"/>
              <w:ind w:left="401"/>
              <w:spacing w:after="0"/>
              <w:rPr>
                <w:sz w:val="20"/>
                <w:szCs w:val="20"/>
                <w:color w:val="auto"/>
              </w:rPr>
            </w:pPr>
            <w:r>
              <w:rPr>
                <w:rFonts w:ascii="Arial" w:cs="Arial" w:eastAsia="Arial" w:hAnsi="Arial"/>
                <w:sz w:val="16"/>
                <w:szCs w:val="16"/>
                <w:color w:val="auto"/>
                <w:w w:val="89"/>
              </w:rPr>
              <w:t>$1,261,920.00</w:t>
            </w:r>
          </w:p>
        </w:tc>
        <w:tc>
          <w:tcPr>
            <w:tcW w:w="52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0" w:type="dxa"/>
            <w:vAlign w:val="bottom"/>
            <w:tcBorders>
              <w:left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60" w:type="dxa"/>
            <w:vAlign w:val="bottom"/>
            <w:tcBorders>
              <w:bottom w:val="single" w:sz="8" w:color="auto"/>
              <w:right w:val="single" w:sz="8" w:color="auto"/>
            </w:tcBorders>
            <w:gridSpan w:val="5"/>
          </w:tcPr>
          <w:p>
            <w:pPr>
              <w:jc w:val="center"/>
              <w:ind w:right="620"/>
              <w:spacing w:after="0"/>
              <w:rPr>
                <w:sz w:val="20"/>
                <w:szCs w:val="20"/>
                <w:color w:val="auto"/>
              </w:rPr>
            </w:pPr>
            <w:r>
              <w:rPr>
                <w:rFonts w:ascii="Arial" w:cs="Arial" w:eastAsia="Arial" w:hAnsi="Arial"/>
                <w:sz w:val="16"/>
                <w:szCs w:val="16"/>
                <w:color w:val="auto"/>
                <w:w w:val="89"/>
              </w:rPr>
              <w:t>Months 37-48</w:t>
            </w:r>
          </w:p>
        </w:tc>
        <w:tc>
          <w:tcPr>
            <w:tcW w:w="1520" w:type="dxa"/>
            <w:vAlign w:val="bottom"/>
            <w:tcBorders>
              <w:bottom w:val="single" w:sz="8" w:color="auto"/>
            </w:tcBorders>
            <w:gridSpan w:val="5"/>
          </w:tcPr>
          <w:p>
            <w:pPr>
              <w:jc w:val="center"/>
              <w:ind w:left="661"/>
              <w:spacing w:after="0"/>
              <w:rPr>
                <w:sz w:val="20"/>
                <w:szCs w:val="20"/>
                <w:color w:val="auto"/>
              </w:rPr>
            </w:pPr>
            <w:r>
              <w:rPr>
                <w:rFonts w:ascii="Arial" w:cs="Arial" w:eastAsia="Arial" w:hAnsi="Arial"/>
                <w:sz w:val="16"/>
                <w:szCs w:val="16"/>
                <w:color w:val="auto"/>
                <w:w w:val="85"/>
              </w:rPr>
              <w:t>44,000</w:t>
            </w: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right w:val="single" w:sz="8" w:color="auto"/>
            </w:tcBorders>
            <w:gridSpan w:val="3"/>
          </w:tcPr>
          <w:p>
            <w:pPr>
              <w:jc w:val="center"/>
              <w:ind w:right="680"/>
              <w:spacing w:after="0"/>
              <w:rPr>
                <w:sz w:val="20"/>
                <w:szCs w:val="20"/>
                <w:color w:val="auto"/>
              </w:rPr>
            </w:pPr>
            <w:r>
              <w:rPr>
                <w:rFonts w:ascii="Arial" w:cs="Arial" w:eastAsia="Arial" w:hAnsi="Arial"/>
                <w:sz w:val="16"/>
                <w:szCs w:val="16"/>
                <w:color w:val="auto"/>
                <w:w w:val="91"/>
              </w:rPr>
              <w:t>$2.46 monthly</w:t>
            </w:r>
          </w:p>
        </w:tc>
        <w:tc>
          <w:tcPr>
            <w:tcW w:w="2300" w:type="dxa"/>
            <w:vAlign w:val="bottom"/>
            <w:tcBorders>
              <w:bottom w:val="single" w:sz="8" w:color="auto"/>
              <w:right w:val="single" w:sz="8" w:color="auto"/>
            </w:tcBorders>
            <w:gridSpan w:val="5"/>
          </w:tcPr>
          <w:p>
            <w:pPr>
              <w:jc w:val="center"/>
              <w:ind w:right="40"/>
              <w:spacing w:after="0"/>
              <w:rPr>
                <w:sz w:val="20"/>
                <w:szCs w:val="20"/>
                <w:color w:val="auto"/>
              </w:rPr>
            </w:pPr>
            <w:r>
              <w:rPr>
                <w:rFonts w:ascii="Arial" w:cs="Arial" w:eastAsia="Arial" w:hAnsi="Arial"/>
                <w:sz w:val="16"/>
                <w:szCs w:val="16"/>
                <w:color w:val="auto"/>
                <w:w w:val="87"/>
              </w:rPr>
              <w:t>$108,240.00</w:t>
            </w:r>
          </w:p>
        </w:tc>
        <w:tc>
          <w:tcPr>
            <w:tcW w:w="176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6"/>
                <w:szCs w:val="16"/>
                <w:color w:val="auto"/>
                <w:w w:val="89"/>
              </w:rPr>
              <w:t>$1,298,880.00</w:t>
            </w: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0" w:type="dxa"/>
            <w:vAlign w:val="bottom"/>
            <w:tcBorders>
              <w:left w:val="single" w:sz="8" w:color="auto"/>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right w:val="single" w:sz="8" w:color="auto"/>
            </w:tcBorders>
            <w:gridSpan w:val="5"/>
            <w:shd w:val="clear" w:color="auto" w:fill="CCEEFF"/>
          </w:tcPr>
          <w:p>
            <w:pPr>
              <w:jc w:val="center"/>
              <w:ind w:right="620"/>
              <w:spacing w:after="0"/>
              <w:rPr>
                <w:sz w:val="20"/>
                <w:szCs w:val="20"/>
                <w:color w:val="auto"/>
              </w:rPr>
            </w:pPr>
            <w:r>
              <w:rPr>
                <w:rFonts w:ascii="Arial" w:cs="Arial" w:eastAsia="Arial" w:hAnsi="Arial"/>
                <w:sz w:val="16"/>
                <w:szCs w:val="16"/>
                <w:color w:val="auto"/>
                <w:w w:val="89"/>
              </w:rPr>
              <w:t>Months 49-60</w:t>
            </w:r>
          </w:p>
        </w:tc>
        <w:tc>
          <w:tcPr>
            <w:tcW w:w="1520" w:type="dxa"/>
            <w:vAlign w:val="bottom"/>
            <w:tcBorders>
              <w:bottom w:val="single" w:sz="8" w:color="auto"/>
            </w:tcBorders>
            <w:gridSpan w:val="5"/>
            <w:shd w:val="clear" w:color="auto" w:fill="CCEEFF"/>
          </w:tcPr>
          <w:p>
            <w:pPr>
              <w:jc w:val="center"/>
              <w:ind w:left="661"/>
              <w:spacing w:after="0"/>
              <w:rPr>
                <w:sz w:val="20"/>
                <w:szCs w:val="20"/>
                <w:color w:val="auto"/>
              </w:rPr>
            </w:pPr>
            <w:r>
              <w:rPr>
                <w:rFonts w:ascii="Arial" w:cs="Arial" w:eastAsia="Arial" w:hAnsi="Arial"/>
                <w:sz w:val="16"/>
                <w:szCs w:val="16"/>
                <w:color w:val="auto"/>
                <w:w w:val="85"/>
              </w:rPr>
              <w:t>44,000</w:t>
            </w:r>
          </w:p>
        </w:tc>
        <w:tc>
          <w:tcPr>
            <w:tcW w:w="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right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right w:val="single" w:sz="8" w:color="auto"/>
            </w:tcBorders>
            <w:gridSpan w:val="3"/>
            <w:shd w:val="clear" w:color="auto" w:fill="CCEEFF"/>
          </w:tcPr>
          <w:p>
            <w:pPr>
              <w:jc w:val="center"/>
              <w:ind w:right="680"/>
              <w:spacing w:after="0"/>
              <w:rPr>
                <w:sz w:val="20"/>
                <w:szCs w:val="20"/>
                <w:color w:val="auto"/>
              </w:rPr>
            </w:pPr>
            <w:r>
              <w:rPr>
                <w:rFonts w:ascii="Arial" w:cs="Arial" w:eastAsia="Arial" w:hAnsi="Arial"/>
                <w:sz w:val="16"/>
                <w:szCs w:val="16"/>
                <w:color w:val="auto"/>
                <w:w w:val="91"/>
              </w:rPr>
              <w:t>$2.53 monthly</w:t>
            </w:r>
          </w:p>
        </w:tc>
        <w:tc>
          <w:tcPr>
            <w:tcW w:w="2300" w:type="dxa"/>
            <w:vAlign w:val="bottom"/>
            <w:tcBorders>
              <w:bottom w:val="single" w:sz="8" w:color="auto"/>
              <w:right w:val="single" w:sz="8" w:color="auto"/>
            </w:tcBorders>
            <w:gridSpan w:val="5"/>
            <w:shd w:val="clear" w:color="auto" w:fill="CCEEFF"/>
          </w:tcPr>
          <w:p>
            <w:pPr>
              <w:jc w:val="center"/>
              <w:ind w:right="40"/>
              <w:spacing w:after="0"/>
              <w:rPr>
                <w:sz w:val="20"/>
                <w:szCs w:val="20"/>
                <w:color w:val="auto"/>
              </w:rPr>
            </w:pPr>
            <w:r>
              <w:rPr>
                <w:rFonts w:ascii="Arial" w:cs="Arial" w:eastAsia="Arial" w:hAnsi="Arial"/>
                <w:sz w:val="16"/>
                <w:szCs w:val="16"/>
                <w:color w:val="auto"/>
                <w:w w:val="87"/>
              </w:rPr>
              <w:t>$111,320.00</w:t>
            </w:r>
          </w:p>
        </w:tc>
        <w:tc>
          <w:tcPr>
            <w:tcW w:w="1760" w:type="dxa"/>
            <w:vAlign w:val="bottom"/>
            <w:tcBorders>
              <w:bottom w:val="single" w:sz="8" w:color="auto"/>
            </w:tcBorders>
            <w:gridSpan w:val="2"/>
            <w:shd w:val="clear" w:color="auto" w:fill="CCEEFF"/>
          </w:tcPr>
          <w:p>
            <w:pPr>
              <w:jc w:val="center"/>
              <w:ind w:left="401"/>
              <w:spacing w:after="0"/>
              <w:rPr>
                <w:sz w:val="20"/>
                <w:szCs w:val="20"/>
                <w:color w:val="auto"/>
              </w:rPr>
            </w:pPr>
            <w:r>
              <w:rPr>
                <w:rFonts w:ascii="Arial" w:cs="Arial" w:eastAsia="Arial" w:hAnsi="Arial"/>
                <w:sz w:val="16"/>
                <w:szCs w:val="16"/>
                <w:color w:val="auto"/>
                <w:w w:val="89"/>
              </w:rPr>
              <w:t>$1,335,840.00</w:t>
            </w:r>
          </w:p>
        </w:tc>
        <w:tc>
          <w:tcPr>
            <w:tcW w:w="52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0" w:type="dxa"/>
            <w:vAlign w:val="bottom"/>
            <w:tcBorders>
              <w:left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60" w:type="dxa"/>
            <w:vAlign w:val="bottom"/>
            <w:tcBorders>
              <w:bottom w:val="single" w:sz="8" w:color="auto"/>
              <w:right w:val="single" w:sz="8" w:color="auto"/>
            </w:tcBorders>
            <w:gridSpan w:val="5"/>
          </w:tcPr>
          <w:p>
            <w:pPr>
              <w:jc w:val="center"/>
              <w:ind w:right="620"/>
              <w:spacing w:after="0"/>
              <w:rPr>
                <w:sz w:val="20"/>
                <w:szCs w:val="20"/>
                <w:color w:val="auto"/>
              </w:rPr>
            </w:pPr>
            <w:r>
              <w:rPr>
                <w:rFonts w:ascii="Arial" w:cs="Arial" w:eastAsia="Arial" w:hAnsi="Arial"/>
                <w:sz w:val="16"/>
                <w:szCs w:val="16"/>
                <w:color w:val="auto"/>
                <w:w w:val="89"/>
              </w:rPr>
              <w:t>Months 61-72</w:t>
            </w:r>
          </w:p>
        </w:tc>
        <w:tc>
          <w:tcPr>
            <w:tcW w:w="1520" w:type="dxa"/>
            <w:vAlign w:val="bottom"/>
            <w:tcBorders>
              <w:bottom w:val="single" w:sz="8" w:color="auto"/>
            </w:tcBorders>
            <w:gridSpan w:val="5"/>
          </w:tcPr>
          <w:p>
            <w:pPr>
              <w:jc w:val="center"/>
              <w:ind w:left="661"/>
              <w:spacing w:after="0"/>
              <w:rPr>
                <w:sz w:val="20"/>
                <w:szCs w:val="20"/>
                <w:color w:val="auto"/>
              </w:rPr>
            </w:pPr>
            <w:r>
              <w:rPr>
                <w:rFonts w:ascii="Arial" w:cs="Arial" w:eastAsia="Arial" w:hAnsi="Arial"/>
                <w:sz w:val="16"/>
                <w:szCs w:val="16"/>
                <w:color w:val="auto"/>
                <w:w w:val="85"/>
              </w:rPr>
              <w:t>44,000</w:t>
            </w:r>
          </w:p>
        </w:tc>
        <w:tc>
          <w:tcPr>
            <w:tcW w:w="2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right w:val="single" w:sz="8" w:color="auto"/>
            </w:tcBorders>
            <w:gridSpan w:val="3"/>
          </w:tcPr>
          <w:p>
            <w:pPr>
              <w:jc w:val="center"/>
              <w:ind w:right="680"/>
              <w:spacing w:after="0"/>
              <w:rPr>
                <w:sz w:val="20"/>
                <w:szCs w:val="20"/>
                <w:color w:val="auto"/>
              </w:rPr>
            </w:pPr>
            <w:r>
              <w:rPr>
                <w:rFonts w:ascii="Arial" w:cs="Arial" w:eastAsia="Arial" w:hAnsi="Arial"/>
                <w:sz w:val="16"/>
                <w:szCs w:val="16"/>
                <w:color w:val="auto"/>
                <w:w w:val="91"/>
              </w:rPr>
              <w:t>$2.61 monthly</w:t>
            </w:r>
          </w:p>
        </w:tc>
        <w:tc>
          <w:tcPr>
            <w:tcW w:w="2300" w:type="dxa"/>
            <w:vAlign w:val="bottom"/>
            <w:tcBorders>
              <w:bottom w:val="single" w:sz="8" w:color="auto"/>
              <w:right w:val="single" w:sz="8" w:color="auto"/>
            </w:tcBorders>
            <w:gridSpan w:val="5"/>
          </w:tcPr>
          <w:p>
            <w:pPr>
              <w:jc w:val="center"/>
              <w:ind w:right="40"/>
              <w:spacing w:after="0"/>
              <w:rPr>
                <w:sz w:val="20"/>
                <w:szCs w:val="20"/>
                <w:color w:val="auto"/>
              </w:rPr>
            </w:pPr>
            <w:r>
              <w:rPr>
                <w:rFonts w:ascii="Arial" w:cs="Arial" w:eastAsia="Arial" w:hAnsi="Arial"/>
                <w:sz w:val="16"/>
                <w:szCs w:val="16"/>
                <w:color w:val="auto"/>
                <w:w w:val="87"/>
              </w:rPr>
              <w:t>$114,840.00</w:t>
            </w:r>
          </w:p>
        </w:tc>
        <w:tc>
          <w:tcPr>
            <w:tcW w:w="176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6"/>
                <w:szCs w:val="16"/>
                <w:color w:val="auto"/>
                <w:w w:val="89"/>
              </w:rPr>
              <w:t>$1,378,080.00</w:t>
            </w: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80" w:type="dxa"/>
            <w:vAlign w:val="bottom"/>
            <w:tcBorders>
              <w:left w:val="single" w:sz="8" w:color="auto"/>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right w:val="single" w:sz="8" w:color="auto"/>
            </w:tcBorders>
            <w:gridSpan w:val="5"/>
            <w:shd w:val="clear" w:color="auto" w:fill="CCEEFF"/>
          </w:tcPr>
          <w:p>
            <w:pPr>
              <w:jc w:val="center"/>
              <w:ind w:right="620"/>
              <w:spacing w:after="0"/>
              <w:rPr>
                <w:sz w:val="20"/>
                <w:szCs w:val="20"/>
                <w:color w:val="auto"/>
              </w:rPr>
            </w:pPr>
            <w:r>
              <w:rPr>
                <w:rFonts w:ascii="Arial" w:cs="Arial" w:eastAsia="Arial" w:hAnsi="Arial"/>
                <w:sz w:val="16"/>
                <w:szCs w:val="16"/>
                <w:color w:val="auto"/>
                <w:w w:val="89"/>
              </w:rPr>
              <w:t>Months 73-84</w:t>
            </w:r>
          </w:p>
        </w:tc>
        <w:tc>
          <w:tcPr>
            <w:tcW w:w="1520" w:type="dxa"/>
            <w:vAlign w:val="bottom"/>
            <w:tcBorders>
              <w:bottom w:val="single" w:sz="8" w:color="auto"/>
            </w:tcBorders>
            <w:gridSpan w:val="5"/>
            <w:shd w:val="clear" w:color="auto" w:fill="CCEEFF"/>
          </w:tcPr>
          <w:p>
            <w:pPr>
              <w:jc w:val="center"/>
              <w:ind w:left="661"/>
              <w:spacing w:after="0"/>
              <w:rPr>
                <w:sz w:val="20"/>
                <w:szCs w:val="20"/>
                <w:color w:val="auto"/>
              </w:rPr>
            </w:pPr>
            <w:r>
              <w:rPr>
                <w:rFonts w:ascii="Arial" w:cs="Arial" w:eastAsia="Arial" w:hAnsi="Arial"/>
                <w:sz w:val="16"/>
                <w:szCs w:val="16"/>
                <w:color w:val="auto"/>
                <w:w w:val="85"/>
              </w:rPr>
              <w:t>44,000</w:t>
            </w:r>
          </w:p>
        </w:tc>
        <w:tc>
          <w:tcPr>
            <w:tcW w:w="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right w:val="single" w:sz="8" w:color="auto"/>
            </w:tcBorders>
            <w:gridSpan w:val="3"/>
            <w:shd w:val="clear" w:color="auto" w:fill="CCEEFF"/>
          </w:tcPr>
          <w:p>
            <w:pPr>
              <w:jc w:val="center"/>
              <w:ind w:right="680"/>
              <w:spacing w:after="0"/>
              <w:rPr>
                <w:sz w:val="20"/>
                <w:szCs w:val="20"/>
                <w:color w:val="auto"/>
              </w:rPr>
            </w:pPr>
            <w:r>
              <w:rPr>
                <w:rFonts w:ascii="Arial" w:cs="Arial" w:eastAsia="Arial" w:hAnsi="Arial"/>
                <w:sz w:val="16"/>
                <w:szCs w:val="16"/>
                <w:color w:val="auto"/>
                <w:w w:val="91"/>
              </w:rPr>
              <w:t>$2.69 monthly</w:t>
            </w:r>
          </w:p>
        </w:tc>
        <w:tc>
          <w:tcPr>
            <w:tcW w:w="2300" w:type="dxa"/>
            <w:vAlign w:val="bottom"/>
            <w:tcBorders>
              <w:bottom w:val="single" w:sz="8" w:color="auto"/>
              <w:right w:val="single" w:sz="8" w:color="auto"/>
            </w:tcBorders>
            <w:gridSpan w:val="5"/>
            <w:shd w:val="clear" w:color="auto" w:fill="CCEEFF"/>
          </w:tcPr>
          <w:p>
            <w:pPr>
              <w:jc w:val="center"/>
              <w:ind w:right="40"/>
              <w:spacing w:after="0"/>
              <w:rPr>
                <w:sz w:val="20"/>
                <w:szCs w:val="20"/>
                <w:color w:val="auto"/>
              </w:rPr>
            </w:pPr>
            <w:r>
              <w:rPr>
                <w:rFonts w:ascii="Arial" w:cs="Arial" w:eastAsia="Arial" w:hAnsi="Arial"/>
                <w:sz w:val="16"/>
                <w:szCs w:val="16"/>
                <w:color w:val="auto"/>
                <w:w w:val="87"/>
              </w:rPr>
              <w:t>$118,360.00</w:t>
            </w:r>
          </w:p>
        </w:tc>
        <w:tc>
          <w:tcPr>
            <w:tcW w:w="1760" w:type="dxa"/>
            <w:vAlign w:val="bottom"/>
            <w:tcBorders>
              <w:bottom w:val="single" w:sz="8" w:color="auto"/>
            </w:tcBorders>
            <w:gridSpan w:val="2"/>
            <w:shd w:val="clear" w:color="auto" w:fill="CCEEFF"/>
          </w:tcPr>
          <w:p>
            <w:pPr>
              <w:jc w:val="center"/>
              <w:ind w:left="401"/>
              <w:spacing w:after="0"/>
              <w:rPr>
                <w:sz w:val="20"/>
                <w:szCs w:val="20"/>
                <w:color w:val="auto"/>
              </w:rPr>
            </w:pPr>
            <w:r>
              <w:rPr>
                <w:rFonts w:ascii="Arial" w:cs="Arial" w:eastAsia="Arial" w:hAnsi="Arial"/>
                <w:sz w:val="16"/>
                <w:szCs w:val="16"/>
                <w:color w:val="auto"/>
                <w:w w:val="89"/>
              </w:rPr>
              <w:t>$1,420,320.00</w:t>
            </w:r>
          </w:p>
        </w:tc>
        <w:tc>
          <w:tcPr>
            <w:tcW w:w="5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tcBorders>
              <w:left w:val="single" w:sz="8" w:color="auto"/>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60" w:type="dxa"/>
            <w:vAlign w:val="bottom"/>
            <w:tcBorders>
              <w:bottom w:val="single" w:sz="8" w:color="auto"/>
              <w:right w:val="single" w:sz="8" w:color="auto"/>
            </w:tcBorders>
            <w:gridSpan w:val="5"/>
          </w:tcPr>
          <w:p>
            <w:pPr>
              <w:jc w:val="center"/>
              <w:ind w:right="620"/>
              <w:spacing w:after="0" w:line="171" w:lineRule="exact"/>
              <w:rPr>
                <w:sz w:val="20"/>
                <w:szCs w:val="20"/>
                <w:color w:val="auto"/>
              </w:rPr>
            </w:pPr>
            <w:r>
              <w:rPr>
                <w:rFonts w:ascii="Arial" w:cs="Arial" w:eastAsia="Arial" w:hAnsi="Arial"/>
                <w:sz w:val="16"/>
                <w:szCs w:val="16"/>
                <w:color w:val="auto"/>
                <w:w w:val="89"/>
              </w:rPr>
              <w:t>Months 85-96</w:t>
            </w:r>
          </w:p>
        </w:tc>
        <w:tc>
          <w:tcPr>
            <w:tcW w:w="1520" w:type="dxa"/>
            <w:vAlign w:val="bottom"/>
            <w:tcBorders>
              <w:bottom w:val="single" w:sz="8" w:color="auto"/>
            </w:tcBorders>
            <w:gridSpan w:val="5"/>
          </w:tcPr>
          <w:p>
            <w:pPr>
              <w:jc w:val="center"/>
              <w:ind w:left="661"/>
              <w:spacing w:after="0" w:line="171" w:lineRule="exact"/>
              <w:rPr>
                <w:sz w:val="20"/>
                <w:szCs w:val="20"/>
                <w:color w:val="auto"/>
              </w:rPr>
            </w:pPr>
            <w:r>
              <w:rPr>
                <w:rFonts w:ascii="Arial" w:cs="Arial" w:eastAsia="Arial" w:hAnsi="Arial"/>
                <w:sz w:val="16"/>
                <w:szCs w:val="16"/>
                <w:color w:val="auto"/>
                <w:w w:val="85"/>
              </w:rPr>
              <w:t>44,000</w:t>
            </w: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gridSpan w:val="3"/>
          </w:tcPr>
          <w:p>
            <w:pPr>
              <w:jc w:val="center"/>
              <w:ind w:right="680"/>
              <w:spacing w:after="0" w:line="171" w:lineRule="exact"/>
              <w:rPr>
                <w:sz w:val="20"/>
                <w:szCs w:val="20"/>
                <w:color w:val="auto"/>
              </w:rPr>
            </w:pPr>
            <w:r>
              <w:rPr>
                <w:rFonts w:ascii="Arial" w:cs="Arial" w:eastAsia="Arial" w:hAnsi="Arial"/>
                <w:sz w:val="16"/>
                <w:szCs w:val="16"/>
                <w:color w:val="auto"/>
                <w:w w:val="91"/>
              </w:rPr>
              <w:t>$2.77 monthly</w:t>
            </w:r>
          </w:p>
        </w:tc>
        <w:tc>
          <w:tcPr>
            <w:tcW w:w="2300" w:type="dxa"/>
            <w:vAlign w:val="bottom"/>
            <w:tcBorders>
              <w:bottom w:val="single" w:sz="8" w:color="auto"/>
              <w:right w:val="single" w:sz="8" w:color="auto"/>
            </w:tcBorders>
            <w:gridSpan w:val="5"/>
          </w:tcPr>
          <w:p>
            <w:pPr>
              <w:jc w:val="center"/>
              <w:ind w:right="40"/>
              <w:spacing w:after="0" w:line="171" w:lineRule="exact"/>
              <w:rPr>
                <w:sz w:val="20"/>
                <w:szCs w:val="20"/>
                <w:color w:val="auto"/>
              </w:rPr>
            </w:pPr>
            <w:r>
              <w:rPr>
                <w:rFonts w:ascii="Arial" w:cs="Arial" w:eastAsia="Arial" w:hAnsi="Arial"/>
                <w:sz w:val="16"/>
                <w:szCs w:val="16"/>
                <w:color w:val="auto"/>
                <w:w w:val="87"/>
              </w:rPr>
              <w:t>$121,880.00</w:t>
            </w:r>
          </w:p>
        </w:tc>
        <w:tc>
          <w:tcPr>
            <w:tcW w:w="1760" w:type="dxa"/>
            <w:vAlign w:val="bottom"/>
            <w:tcBorders>
              <w:bottom w:val="single" w:sz="8" w:color="auto"/>
            </w:tcBorders>
            <w:gridSpan w:val="2"/>
          </w:tcPr>
          <w:p>
            <w:pPr>
              <w:jc w:val="center"/>
              <w:ind w:left="401"/>
              <w:spacing w:after="0" w:line="171" w:lineRule="exact"/>
              <w:rPr>
                <w:sz w:val="20"/>
                <w:szCs w:val="20"/>
                <w:color w:val="auto"/>
              </w:rPr>
            </w:pPr>
            <w:r>
              <w:rPr>
                <w:rFonts w:ascii="Arial" w:cs="Arial" w:eastAsia="Arial" w:hAnsi="Arial"/>
                <w:sz w:val="16"/>
                <w:szCs w:val="16"/>
                <w:color w:val="auto"/>
                <w:w w:val="89"/>
              </w:rPr>
              <w:t>$1,462,560.00</w:t>
            </w:r>
          </w:p>
        </w:tc>
        <w:tc>
          <w:tcPr>
            <w:tcW w:w="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80" w:type="dxa"/>
            <w:vAlign w:val="bottom"/>
          </w:tcPr>
          <w:p>
            <w:pPr>
              <w:spacing w:after="0"/>
              <w:rPr>
                <w:sz w:val="20"/>
                <w:szCs w:val="20"/>
                <w:color w:val="auto"/>
              </w:rPr>
            </w:pPr>
            <w:r>
              <w:rPr>
                <w:rFonts w:ascii="Arial" w:cs="Arial" w:eastAsia="Arial" w:hAnsi="Arial"/>
                <w:sz w:val="16"/>
                <w:szCs w:val="16"/>
                <w:i w:val="1"/>
                <w:iCs w:val="1"/>
                <w:color w:val="auto"/>
              </w:rPr>
              <w:t>* Note:</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0" w:type="dxa"/>
            <w:vAlign w:val="bottom"/>
            <w:gridSpan w:val="21"/>
          </w:tcPr>
          <w:p>
            <w:pPr>
              <w:ind w:left="20"/>
              <w:spacing w:after="0"/>
              <w:rPr>
                <w:sz w:val="20"/>
                <w:szCs w:val="20"/>
                <w:color w:val="auto"/>
              </w:rPr>
            </w:pPr>
            <w:r>
              <w:rPr>
                <w:rFonts w:ascii="Arial" w:cs="Arial" w:eastAsia="Arial" w:hAnsi="Arial"/>
                <w:sz w:val="16"/>
                <w:szCs w:val="16"/>
                <w:i w:val="1"/>
                <w:iCs w:val="1"/>
                <w:color w:val="auto"/>
              </w:rPr>
              <w:t>Subject to adjustment based upon the Rentable Area of the Premises as of the Term Commencement Date.</w:t>
            </w: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 xml:space="preserve">Notwithstanding anything to the contrary in the above chart, during the first fifteen (15) months of the Term (and provided that Tenant is not then in default (beyond any applicable notice and cure periods) of any of its obligations under this Lease), Tenant’s Base Rent shall be calculated based upon twenty-two thousand (22,000) square feet of Rentable Area; </w:t>
      </w:r>
      <w:r>
        <w:rPr>
          <w:rFonts w:ascii="Arial" w:cs="Arial" w:eastAsia="Arial" w:hAnsi="Arial"/>
          <w:sz w:val="14"/>
          <w:szCs w:val="14"/>
          <w:u w:val="single" w:color="auto"/>
          <w:color w:val="auto"/>
        </w:rPr>
        <w:t>provided</w:t>
      </w:r>
      <w:r>
        <w:rPr>
          <w:rFonts w:ascii="Arial" w:cs="Arial" w:eastAsia="Arial" w:hAnsi="Arial"/>
          <w:sz w:val="14"/>
          <w:szCs w:val="14"/>
          <w:color w:val="auto"/>
        </w:rPr>
        <w:t>, however, that Tenant shall have access to and use of the entire Premises subject to and in accordance with the terms and provisions of this Lease.</w:t>
      </w:r>
    </w:p>
    <w:p>
      <w:pPr>
        <w:spacing w:after="0" w:line="154"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4"/>
          <w:szCs w:val="14"/>
          <w:color w:val="auto"/>
        </w:rPr>
        <w:t>Estimated Term Commencement Date: October 1, 2014</w:t>
      </w:r>
    </w:p>
    <w:p>
      <w:pPr>
        <w:spacing w:after="0" w:line="218"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4"/>
          <w:szCs w:val="14"/>
          <w:color w:val="auto"/>
        </w:rPr>
        <w:t>Estimated Term Expiration Date: September 30, 2022</w:t>
      </w:r>
    </w:p>
    <w:p>
      <w:pPr>
        <w:spacing w:after="0" w:line="218"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4"/>
          <w:szCs w:val="14"/>
          <w:color w:val="auto"/>
        </w:rPr>
        <w:t>Security Deposit: $300,000.00</w:t>
      </w:r>
    </w:p>
    <w:p>
      <w:pPr>
        <w:spacing w:after="0" w:line="218"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4"/>
          <w:szCs w:val="14"/>
          <w:color w:val="auto"/>
        </w:rPr>
        <w:t>2.7. Permitted Use: Office, laboratory, research, development, manufacturing and distribution use in conformity with all federal, state, municipal and local laws, codes, ordinances, rules and regulations of Governmental Authorities (as defined below), committees, associations, or other regulatory committees, agencies or governing bodies having jurisdiction over the Premises or any portion thereof, Landlord or Tenant, including both statutory and common law and hazardous waste rules and regulations (“</w:t>
      </w:r>
      <w:r>
        <w:rPr>
          <w:rFonts w:ascii="Arial" w:cs="Arial" w:eastAsia="Arial" w:hAnsi="Arial"/>
          <w:sz w:val="14"/>
          <w:szCs w:val="14"/>
          <w:u w:val="single" w:color="auto"/>
          <w:color w:val="auto"/>
        </w:rPr>
        <w:t>Applicable Laws</w:t>
      </w:r>
      <w:r>
        <w:rPr>
          <w:rFonts w:ascii="Arial" w:cs="Arial" w:eastAsia="Arial" w:hAnsi="Arial"/>
          <w:sz w:val="14"/>
          <w:szCs w:val="14"/>
          <w:color w:val="auto"/>
        </w:rPr>
        <w: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89"/>
        </w:trPr>
        <w:tc>
          <w:tcPr>
            <w:tcW w:w="980" w:type="dxa"/>
            <w:vAlign w:val="bottom"/>
          </w:tcPr>
          <w:p>
            <w:pPr>
              <w:ind w:left="560"/>
              <w:spacing w:after="0"/>
              <w:rPr>
                <w:sz w:val="20"/>
                <w:szCs w:val="20"/>
                <w:color w:val="auto"/>
              </w:rPr>
            </w:pPr>
            <w:r>
              <w:rPr>
                <w:rFonts w:ascii="Arial" w:cs="Arial" w:eastAsia="Arial" w:hAnsi="Arial"/>
                <w:sz w:val="16"/>
                <w:szCs w:val="16"/>
                <w:color w:val="auto"/>
              </w:rPr>
              <w:t>2.8.</w:t>
            </w:r>
          </w:p>
        </w:tc>
        <w:tc>
          <w:tcPr>
            <w:tcW w:w="2740" w:type="dxa"/>
            <w:vAlign w:val="bottom"/>
            <w:gridSpan w:val="2"/>
          </w:tcPr>
          <w:p>
            <w:pPr>
              <w:ind w:left="120"/>
              <w:spacing w:after="0"/>
              <w:rPr>
                <w:sz w:val="20"/>
                <w:szCs w:val="20"/>
                <w:color w:val="auto"/>
              </w:rPr>
            </w:pPr>
            <w:r>
              <w:rPr>
                <w:rFonts w:ascii="Arial" w:cs="Arial" w:eastAsia="Arial" w:hAnsi="Arial"/>
                <w:sz w:val="16"/>
                <w:szCs w:val="16"/>
                <w:color w:val="auto"/>
              </w:rPr>
              <w:t>Address for Rent Payment:</w:t>
            </w:r>
          </w:p>
        </w:tc>
        <w:tc>
          <w:tcPr>
            <w:tcW w:w="7720" w:type="dxa"/>
            <w:vAlign w:val="bottom"/>
          </w:tcPr>
          <w:p>
            <w:pPr>
              <w:ind w:left="40"/>
              <w:spacing w:after="0"/>
              <w:rPr>
                <w:sz w:val="20"/>
                <w:szCs w:val="20"/>
                <w:color w:val="auto"/>
              </w:rPr>
            </w:pPr>
            <w:r>
              <w:rPr>
                <w:rFonts w:ascii="Arial" w:cs="Arial" w:eastAsia="Arial" w:hAnsi="Arial"/>
                <w:sz w:val="16"/>
                <w:szCs w:val="16"/>
                <w:color w:val="auto"/>
              </w:rPr>
              <w:t>BMR-6300 Dumbarton Circle LP</w:t>
            </w:r>
          </w:p>
        </w:tc>
      </w:tr>
      <w:tr>
        <w:trPr>
          <w:trHeight w:val="189"/>
        </w:trPr>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Attention Entity 218</w:t>
            </w:r>
          </w:p>
        </w:tc>
      </w:tr>
      <w:tr>
        <w:trPr>
          <w:trHeight w:val="189"/>
        </w:trPr>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P.O. Box 511415</w:t>
            </w:r>
          </w:p>
        </w:tc>
      </w:tr>
      <w:tr>
        <w:trPr>
          <w:trHeight w:val="200"/>
        </w:trPr>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Los Angeles, California 90051-7970</w:t>
            </w:r>
          </w:p>
        </w:tc>
      </w:tr>
      <w:tr>
        <w:trPr>
          <w:trHeight w:val="391"/>
        </w:trPr>
        <w:tc>
          <w:tcPr>
            <w:tcW w:w="980" w:type="dxa"/>
            <w:vAlign w:val="bottom"/>
          </w:tcPr>
          <w:p>
            <w:pPr>
              <w:ind w:left="560"/>
              <w:spacing w:after="0"/>
              <w:rPr>
                <w:sz w:val="20"/>
                <w:szCs w:val="20"/>
                <w:color w:val="auto"/>
              </w:rPr>
            </w:pPr>
            <w:r>
              <w:rPr>
                <w:rFonts w:ascii="Arial" w:cs="Arial" w:eastAsia="Arial" w:hAnsi="Arial"/>
                <w:sz w:val="16"/>
                <w:szCs w:val="16"/>
                <w:color w:val="auto"/>
              </w:rPr>
              <w:t>2.9.</w:t>
            </w:r>
          </w:p>
        </w:tc>
        <w:tc>
          <w:tcPr>
            <w:tcW w:w="2740" w:type="dxa"/>
            <w:vAlign w:val="bottom"/>
            <w:gridSpan w:val="2"/>
          </w:tcPr>
          <w:p>
            <w:pPr>
              <w:ind w:left="220"/>
              <w:spacing w:after="0"/>
              <w:rPr>
                <w:sz w:val="20"/>
                <w:szCs w:val="20"/>
                <w:color w:val="auto"/>
              </w:rPr>
            </w:pPr>
            <w:r>
              <w:rPr>
                <w:rFonts w:ascii="Arial" w:cs="Arial" w:eastAsia="Arial" w:hAnsi="Arial"/>
                <w:sz w:val="16"/>
                <w:szCs w:val="16"/>
                <w:color w:val="auto"/>
              </w:rPr>
              <w:t>Address for Notices to Landlord:</w:t>
            </w:r>
          </w:p>
        </w:tc>
        <w:tc>
          <w:tcPr>
            <w:tcW w:w="7720" w:type="dxa"/>
            <w:vAlign w:val="bottom"/>
          </w:tcPr>
          <w:p>
            <w:pPr>
              <w:ind w:left="180"/>
              <w:spacing w:after="0"/>
              <w:rPr>
                <w:sz w:val="20"/>
                <w:szCs w:val="20"/>
                <w:color w:val="auto"/>
              </w:rPr>
            </w:pPr>
            <w:r>
              <w:rPr>
                <w:rFonts w:ascii="Arial" w:cs="Arial" w:eastAsia="Arial" w:hAnsi="Arial"/>
                <w:sz w:val="16"/>
                <w:szCs w:val="16"/>
                <w:color w:val="auto"/>
              </w:rPr>
              <w:t>BMR-6300 Dumbarton Circle LP</w:t>
            </w:r>
          </w:p>
        </w:tc>
      </w:tr>
      <w:tr>
        <w:trPr>
          <w:trHeight w:val="189"/>
        </w:trPr>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17190 Bernardo Center Drive</w:t>
            </w:r>
          </w:p>
        </w:tc>
      </w:tr>
      <w:tr>
        <w:trPr>
          <w:trHeight w:val="189"/>
        </w:trPr>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San Diego, California 92128</w:t>
            </w:r>
          </w:p>
        </w:tc>
      </w:tr>
      <w:tr>
        <w:trPr>
          <w:trHeight w:val="200"/>
        </w:trPr>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Attn: Vice President, Real Estate Legal</w:t>
            </w:r>
          </w:p>
        </w:tc>
      </w:tr>
      <w:tr>
        <w:trPr>
          <w:trHeight w:val="378"/>
        </w:trPr>
        <w:tc>
          <w:tcPr>
            <w:tcW w:w="980" w:type="dxa"/>
            <w:vAlign w:val="bottom"/>
          </w:tcPr>
          <w:p>
            <w:pPr>
              <w:ind w:left="560"/>
              <w:spacing w:after="0"/>
              <w:rPr>
                <w:sz w:val="20"/>
                <w:szCs w:val="20"/>
                <w:color w:val="auto"/>
              </w:rPr>
            </w:pPr>
            <w:r>
              <w:rPr>
                <w:rFonts w:ascii="Arial" w:cs="Arial" w:eastAsia="Arial" w:hAnsi="Arial"/>
                <w:sz w:val="16"/>
                <w:szCs w:val="16"/>
                <w:color w:val="auto"/>
              </w:rPr>
              <w:t>2.10.</w:t>
            </w:r>
          </w:p>
        </w:tc>
        <w:tc>
          <w:tcPr>
            <w:tcW w:w="2740" w:type="dxa"/>
            <w:vAlign w:val="bottom"/>
            <w:gridSpan w:val="2"/>
          </w:tcPr>
          <w:p>
            <w:pPr>
              <w:ind w:left="220"/>
              <w:spacing w:after="0"/>
              <w:rPr>
                <w:sz w:val="20"/>
                <w:szCs w:val="20"/>
                <w:color w:val="auto"/>
              </w:rPr>
            </w:pPr>
            <w:r>
              <w:rPr>
                <w:rFonts w:ascii="Arial" w:cs="Arial" w:eastAsia="Arial" w:hAnsi="Arial"/>
                <w:sz w:val="16"/>
                <w:szCs w:val="16"/>
                <w:color w:val="auto"/>
              </w:rPr>
              <w:t>Address for Notices to Tenant:</w:t>
            </w:r>
          </w:p>
        </w:tc>
        <w:tc>
          <w:tcPr>
            <w:tcW w:w="7720" w:type="dxa"/>
            <w:vAlign w:val="bottom"/>
          </w:tcPr>
          <w:p>
            <w:pPr>
              <w:ind w:left="140"/>
              <w:spacing w:after="0"/>
              <w:rPr>
                <w:sz w:val="20"/>
                <w:szCs w:val="20"/>
                <w:color w:val="auto"/>
              </w:rPr>
            </w:pPr>
            <w:r>
              <w:rPr>
                <w:rFonts w:ascii="Arial" w:cs="Arial" w:eastAsia="Arial" w:hAnsi="Arial"/>
                <w:sz w:val="16"/>
                <w:szCs w:val="16"/>
                <w:color w:val="auto"/>
              </w:rPr>
              <w:t>Prior to the Term Commencement Date:</w:t>
            </w:r>
          </w:p>
        </w:tc>
      </w:tr>
      <w:tr>
        <w:trPr>
          <w:trHeight w:val="391"/>
        </w:trPr>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Asterias Biotherapeutics, Inc.</w:t>
            </w:r>
          </w:p>
        </w:tc>
      </w:tr>
      <w:tr>
        <w:trPr>
          <w:trHeight w:val="189"/>
        </w:trPr>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230 Constitution Drive</w:t>
            </w:r>
          </w:p>
        </w:tc>
      </w:tr>
      <w:tr>
        <w:trPr>
          <w:trHeight w:val="200"/>
        </w:trPr>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Menlo Park, California 94025</w:t>
            </w:r>
          </w:p>
        </w:tc>
      </w:tr>
      <w:tr>
        <w:trPr>
          <w:trHeight w:val="402"/>
        </w:trPr>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From and after the Term Commencement Date:</w:t>
            </w:r>
          </w:p>
        </w:tc>
      </w:tr>
      <w:tr>
        <w:trPr>
          <w:trHeight w:val="391"/>
        </w:trPr>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Asterias Biotherapeutics, Inc.</w:t>
            </w:r>
          </w:p>
        </w:tc>
      </w:tr>
      <w:tr>
        <w:trPr>
          <w:trHeight w:val="189"/>
        </w:trPr>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6300 Dumbarton Circle</w:t>
            </w:r>
          </w:p>
        </w:tc>
      </w:tr>
      <w:tr>
        <w:trPr>
          <w:trHeight w:val="200"/>
        </w:trPr>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Fremont, California 94555</w:t>
            </w:r>
          </w:p>
        </w:tc>
      </w:tr>
      <w:tr>
        <w:trPr>
          <w:trHeight w:val="391"/>
        </w:trPr>
        <w:tc>
          <w:tcPr>
            <w:tcW w:w="3720" w:type="dxa"/>
            <w:vAlign w:val="bottom"/>
            <w:gridSpan w:val="3"/>
          </w:tcPr>
          <w:p>
            <w:pPr>
              <w:ind w:left="560"/>
              <w:spacing w:after="0"/>
              <w:rPr>
                <w:sz w:val="20"/>
                <w:szCs w:val="20"/>
                <w:color w:val="auto"/>
              </w:rPr>
            </w:pPr>
            <w:r>
              <w:rPr>
                <w:rFonts w:ascii="Arial" w:cs="Arial" w:eastAsia="Arial" w:hAnsi="Arial"/>
                <w:sz w:val="16"/>
                <w:szCs w:val="16"/>
                <w:color w:val="auto"/>
              </w:rPr>
              <w:t>2.11.   Address for Invoices to Tenant:</w:t>
            </w:r>
          </w:p>
        </w:tc>
        <w:tc>
          <w:tcPr>
            <w:tcW w:w="7720" w:type="dxa"/>
            <w:vAlign w:val="bottom"/>
          </w:tcPr>
          <w:p>
            <w:pPr>
              <w:ind w:left="60"/>
              <w:spacing w:after="0"/>
              <w:rPr>
                <w:sz w:val="20"/>
                <w:szCs w:val="20"/>
                <w:color w:val="auto"/>
              </w:rPr>
            </w:pPr>
            <w:r>
              <w:rPr>
                <w:rFonts w:ascii="Arial" w:cs="Arial" w:eastAsia="Arial" w:hAnsi="Arial"/>
                <w:sz w:val="16"/>
                <w:szCs w:val="16"/>
                <w:color w:val="auto"/>
              </w:rPr>
              <w:t>Prior to the Term Commencement Date:</w:t>
            </w:r>
          </w:p>
        </w:tc>
      </w:tr>
      <w:tr>
        <w:trPr>
          <w:trHeight w:val="189"/>
        </w:trPr>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Asterias Biotherapeutics, Inc.</w:t>
            </w:r>
          </w:p>
        </w:tc>
      </w:tr>
      <w:tr>
        <w:trPr>
          <w:trHeight w:val="189"/>
        </w:trPr>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230 Constitution Drive</w:t>
            </w:r>
          </w:p>
        </w:tc>
      </w:tr>
      <w:tr>
        <w:trPr>
          <w:trHeight w:val="200"/>
        </w:trPr>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Menlo Park, California 94025</w:t>
            </w:r>
          </w:p>
        </w:tc>
      </w:tr>
      <w:tr>
        <w:trPr>
          <w:trHeight w:val="402"/>
        </w:trPr>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From and after the Term Commencement Date:</w:t>
            </w:r>
          </w:p>
        </w:tc>
      </w:tr>
      <w:tr>
        <w:trPr>
          <w:trHeight w:val="391"/>
        </w:trPr>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Asterias Biotherapeutics, Inc.</w:t>
            </w:r>
          </w:p>
        </w:tc>
      </w:tr>
      <w:tr>
        <w:trPr>
          <w:trHeight w:val="189"/>
        </w:trPr>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6300 Dumbarton Circle</w:t>
            </w:r>
          </w:p>
        </w:tc>
      </w:tr>
      <w:tr>
        <w:trPr>
          <w:trHeight w:val="200"/>
        </w:trPr>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720" w:type="dxa"/>
            <w:vAlign w:val="bottom"/>
          </w:tcPr>
          <w:p>
            <w:pPr>
              <w:ind w:left="240"/>
              <w:spacing w:after="0"/>
              <w:rPr>
                <w:sz w:val="20"/>
                <w:szCs w:val="20"/>
                <w:color w:val="auto"/>
              </w:rPr>
            </w:pPr>
            <w:r>
              <w:rPr>
                <w:rFonts w:ascii="Arial" w:cs="Arial" w:eastAsia="Arial" w:hAnsi="Arial"/>
                <w:sz w:val="16"/>
                <w:szCs w:val="16"/>
                <w:color w:val="auto"/>
              </w:rPr>
              <w:t>Fremont, California 94555</w:t>
            </w:r>
          </w:p>
        </w:tc>
      </w:tr>
      <w:tr>
        <w:trPr>
          <w:trHeight w:val="402"/>
        </w:trPr>
        <w:tc>
          <w:tcPr>
            <w:tcW w:w="980" w:type="dxa"/>
            <w:vAlign w:val="bottom"/>
          </w:tcPr>
          <w:p>
            <w:pPr>
              <w:ind w:left="560"/>
              <w:spacing w:after="0"/>
              <w:rPr>
                <w:sz w:val="20"/>
                <w:szCs w:val="20"/>
                <w:color w:val="auto"/>
              </w:rPr>
            </w:pPr>
            <w:r>
              <w:rPr>
                <w:rFonts w:ascii="Arial" w:cs="Arial" w:eastAsia="Arial" w:hAnsi="Arial"/>
                <w:sz w:val="16"/>
                <w:szCs w:val="16"/>
                <w:color w:val="auto"/>
              </w:rPr>
              <w:t>2.12.</w:t>
            </w:r>
          </w:p>
        </w:tc>
        <w:tc>
          <w:tcPr>
            <w:tcW w:w="10460" w:type="dxa"/>
            <w:vAlign w:val="bottom"/>
            <w:gridSpan w:val="3"/>
          </w:tcPr>
          <w:p>
            <w:pPr>
              <w:ind w:left="140"/>
              <w:spacing w:after="0"/>
              <w:rPr>
                <w:sz w:val="20"/>
                <w:szCs w:val="20"/>
                <w:color w:val="auto"/>
              </w:rPr>
            </w:pPr>
            <w:r>
              <w:rPr>
                <w:rFonts w:ascii="Arial" w:cs="Arial" w:eastAsia="Arial" w:hAnsi="Arial"/>
                <w:sz w:val="16"/>
                <w:szCs w:val="16"/>
                <w:color w:val="auto"/>
              </w:rPr>
              <w:t>The following Exhibits are attached hereto and incorporated herein by reference:</w:t>
            </w:r>
          </w:p>
        </w:tc>
      </w:tr>
      <w:tr>
        <w:trPr>
          <w:trHeight w:val="391"/>
        </w:trPr>
        <w:tc>
          <w:tcPr>
            <w:tcW w:w="98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6"/>
                <w:szCs w:val="16"/>
                <w:color w:val="auto"/>
              </w:rPr>
              <w:t>Exhibit A</w:t>
            </w:r>
          </w:p>
        </w:tc>
        <w:tc>
          <w:tcPr>
            <w:tcW w:w="1720" w:type="dxa"/>
            <w:vAlign w:val="bottom"/>
          </w:tcPr>
          <w:p>
            <w:pPr>
              <w:ind w:left="260"/>
              <w:spacing w:after="0"/>
              <w:rPr>
                <w:sz w:val="20"/>
                <w:szCs w:val="20"/>
                <w:color w:val="auto"/>
              </w:rPr>
            </w:pPr>
            <w:r>
              <w:rPr>
                <w:rFonts w:ascii="Arial" w:cs="Arial" w:eastAsia="Arial" w:hAnsi="Arial"/>
                <w:sz w:val="16"/>
                <w:szCs w:val="16"/>
                <w:color w:val="auto"/>
              </w:rPr>
              <w:t>Premises</w:t>
            </w:r>
          </w:p>
        </w:tc>
        <w:tc>
          <w:tcPr>
            <w:tcW w:w="7720" w:type="dxa"/>
            <w:vAlign w:val="bottom"/>
          </w:tcPr>
          <w:p>
            <w:pPr>
              <w:spacing w:after="0"/>
              <w:rPr>
                <w:sz w:val="24"/>
                <w:szCs w:val="24"/>
                <w:color w:val="auto"/>
              </w:rPr>
            </w:pPr>
          </w:p>
        </w:tc>
      </w:tr>
      <w:tr>
        <w:trPr>
          <w:trHeight w:val="189"/>
        </w:trPr>
        <w:tc>
          <w:tcPr>
            <w:tcW w:w="980" w:type="dxa"/>
            <w:vAlign w:val="bottom"/>
          </w:tcPr>
          <w:p>
            <w:pPr>
              <w:spacing w:after="0"/>
              <w:rPr>
                <w:sz w:val="16"/>
                <w:szCs w:val="16"/>
                <w:color w:val="auto"/>
              </w:rPr>
            </w:pPr>
          </w:p>
        </w:tc>
        <w:tc>
          <w:tcPr>
            <w:tcW w:w="1020" w:type="dxa"/>
            <w:vAlign w:val="bottom"/>
          </w:tcPr>
          <w:p>
            <w:pPr>
              <w:ind w:left="140"/>
              <w:spacing w:after="0"/>
              <w:rPr>
                <w:sz w:val="20"/>
                <w:szCs w:val="20"/>
                <w:color w:val="auto"/>
              </w:rPr>
            </w:pPr>
            <w:r>
              <w:rPr>
                <w:rFonts w:ascii="Arial" w:cs="Arial" w:eastAsia="Arial" w:hAnsi="Arial"/>
                <w:sz w:val="16"/>
                <w:szCs w:val="16"/>
                <w:color w:val="auto"/>
              </w:rPr>
              <w:t>Exhibit B</w:t>
            </w:r>
          </w:p>
        </w:tc>
        <w:tc>
          <w:tcPr>
            <w:tcW w:w="1720" w:type="dxa"/>
            <w:vAlign w:val="bottom"/>
          </w:tcPr>
          <w:p>
            <w:pPr>
              <w:ind w:left="260"/>
              <w:spacing w:after="0"/>
              <w:rPr>
                <w:sz w:val="20"/>
                <w:szCs w:val="20"/>
                <w:color w:val="auto"/>
              </w:rPr>
            </w:pPr>
            <w:r>
              <w:rPr>
                <w:rFonts w:ascii="Arial" w:cs="Arial" w:eastAsia="Arial" w:hAnsi="Arial"/>
                <w:sz w:val="16"/>
                <w:szCs w:val="16"/>
                <w:color w:val="auto"/>
              </w:rPr>
              <w:t>Work Letter</w:t>
            </w:r>
          </w:p>
        </w:tc>
        <w:tc>
          <w:tcPr>
            <w:tcW w:w="7720" w:type="dxa"/>
            <w:vAlign w:val="bottom"/>
          </w:tcPr>
          <w:p>
            <w:pPr>
              <w:spacing w:after="0"/>
              <w:rPr>
                <w:sz w:val="16"/>
                <w:szCs w:val="16"/>
                <w:color w:val="auto"/>
              </w:rPr>
            </w:pPr>
          </w:p>
        </w:tc>
      </w:tr>
      <w:tr>
        <w:trPr>
          <w:trHeight w:val="185"/>
        </w:trPr>
        <w:tc>
          <w:tcPr>
            <w:tcW w:w="980" w:type="dxa"/>
            <w:vAlign w:val="bottom"/>
          </w:tcPr>
          <w:p>
            <w:pPr>
              <w:spacing w:after="0"/>
              <w:rPr>
                <w:sz w:val="16"/>
                <w:szCs w:val="16"/>
                <w:color w:val="auto"/>
              </w:rPr>
            </w:pPr>
          </w:p>
        </w:tc>
        <w:tc>
          <w:tcPr>
            <w:tcW w:w="1020" w:type="dxa"/>
            <w:vAlign w:val="bottom"/>
          </w:tcPr>
          <w:p>
            <w:pPr>
              <w:ind w:left="140"/>
              <w:spacing w:after="0"/>
              <w:rPr>
                <w:sz w:val="20"/>
                <w:szCs w:val="20"/>
                <w:color w:val="auto"/>
              </w:rPr>
            </w:pPr>
            <w:r>
              <w:rPr>
                <w:rFonts w:ascii="Arial" w:cs="Arial" w:eastAsia="Arial" w:hAnsi="Arial"/>
                <w:sz w:val="16"/>
                <w:szCs w:val="16"/>
                <w:color w:val="auto"/>
              </w:rPr>
              <w:t>Exhibit C</w:t>
            </w:r>
          </w:p>
        </w:tc>
        <w:tc>
          <w:tcPr>
            <w:tcW w:w="9440" w:type="dxa"/>
            <w:vAlign w:val="bottom"/>
            <w:gridSpan w:val="2"/>
          </w:tcPr>
          <w:p>
            <w:pPr>
              <w:ind w:left="260"/>
              <w:spacing w:after="0"/>
              <w:rPr>
                <w:sz w:val="20"/>
                <w:szCs w:val="20"/>
                <w:color w:val="auto"/>
              </w:rPr>
            </w:pPr>
            <w:r>
              <w:rPr>
                <w:rFonts w:ascii="Arial" w:cs="Arial" w:eastAsia="Arial" w:hAnsi="Arial"/>
                <w:sz w:val="16"/>
                <w:szCs w:val="16"/>
                <w:color w:val="auto"/>
              </w:rPr>
              <w:t>Acknowledgement of Term Commencement Date and Term Expiration Date</w:t>
            </w:r>
          </w:p>
        </w:tc>
      </w:tr>
      <w:tr>
        <w:trPr>
          <w:trHeight w:val="193"/>
        </w:trPr>
        <w:tc>
          <w:tcPr>
            <w:tcW w:w="980" w:type="dxa"/>
            <w:vAlign w:val="bottom"/>
          </w:tcPr>
          <w:p>
            <w:pPr>
              <w:spacing w:after="0"/>
              <w:rPr>
                <w:sz w:val="16"/>
                <w:szCs w:val="16"/>
                <w:color w:val="auto"/>
              </w:rPr>
            </w:pPr>
          </w:p>
        </w:tc>
        <w:tc>
          <w:tcPr>
            <w:tcW w:w="1020" w:type="dxa"/>
            <w:vAlign w:val="bottom"/>
          </w:tcPr>
          <w:p>
            <w:pPr>
              <w:ind w:left="140"/>
              <w:spacing w:after="0"/>
              <w:rPr>
                <w:sz w:val="20"/>
                <w:szCs w:val="20"/>
                <w:color w:val="auto"/>
              </w:rPr>
            </w:pPr>
            <w:r>
              <w:rPr>
                <w:rFonts w:ascii="Arial" w:cs="Arial" w:eastAsia="Arial" w:hAnsi="Arial"/>
                <w:sz w:val="16"/>
                <w:szCs w:val="16"/>
                <w:color w:val="auto"/>
              </w:rPr>
              <w:t>Exhibit D</w:t>
            </w:r>
          </w:p>
        </w:tc>
        <w:tc>
          <w:tcPr>
            <w:tcW w:w="1720" w:type="dxa"/>
            <w:vAlign w:val="bottom"/>
          </w:tcPr>
          <w:p>
            <w:pPr>
              <w:ind w:left="260"/>
              <w:spacing w:after="0"/>
              <w:rPr>
                <w:sz w:val="20"/>
                <w:szCs w:val="20"/>
                <w:color w:val="auto"/>
              </w:rPr>
            </w:pPr>
            <w:r>
              <w:rPr>
                <w:rFonts w:ascii="Arial" w:cs="Arial" w:eastAsia="Arial" w:hAnsi="Arial"/>
                <w:sz w:val="16"/>
                <w:szCs w:val="16"/>
                <w:b w:val="1"/>
                <w:bCs w:val="1"/>
                <w:color w:val="auto"/>
                <w:w w:val="94"/>
              </w:rPr>
              <w:t>[</w:t>
            </w:r>
            <w:r>
              <w:rPr>
                <w:rFonts w:ascii="Arial" w:cs="Arial" w:eastAsia="Arial" w:hAnsi="Arial"/>
                <w:sz w:val="16"/>
                <w:szCs w:val="16"/>
                <w:color w:val="auto"/>
                <w:w w:val="94"/>
              </w:rPr>
              <w:t>Intentionally omitted]</w:t>
            </w:r>
          </w:p>
        </w:tc>
        <w:tc>
          <w:tcPr>
            <w:tcW w:w="77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1020" w:type="dxa"/>
            <w:vAlign w:val="bottom"/>
          </w:tcPr>
          <w:p>
            <w:pPr>
              <w:ind w:left="140"/>
              <w:spacing w:after="0"/>
              <w:rPr>
                <w:sz w:val="20"/>
                <w:szCs w:val="20"/>
                <w:color w:val="auto"/>
              </w:rPr>
            </w:pPr>
            <w:r>
              <w:rPr>
                <w:rFonts w:ascii="Arial" w:cs="Arial" w:eastAsia="Arial" w:hAnsi="Arial"/>
                <w:sz w:val="16"/>
                <w:szCs w:val="16"/>
                <w:color w:val="auto"/>
              </w:rPr>
              <w:t>Exhibit E</w:t>
            </w:r>
          </w:p>
        </w:tc>
        <w:tc>
          <w:tcPr>
            <w:tcW w:w="9440" w:type="dxa"/>
            <w:vAlign w:val="bottom"/>
            <w:gridSpan w:val="2"/>
          </w:tcPr>
          <w:p>
            <w:pPr>
              <w:ind w:left="260"/>
              <w:spacing w:after="0"/>
              <w:rPr>
                <w:sz w:val="20"/>
                <w:szCs w:val="20"/>
                <w:color w:val="auto"/>
              </w:rPr>
            </w:pPr>
            <w:r>
              <w:rPr>
                <w:rFonts w:ascii="Arial" w:cs="Arial" w:eastAsia="Arial" w:hAnsi="Arial"/>
                <w:sz w:val="16"/>
                <w:szCs w:val="16"/>
                <w:color w:val="auto"/>
              </w:rPr>
              <w:t>Form of Letter of Credit</w:t>
            </w:r>
          </w:p>
        </w:tc>
      </w:tr>
      <w:tr>
        <w:trPr>
          <w:trHeight w:val="189"/>
        </w:trPr>
        <w:tc>
          <w:tcPr>
            <w:tcW w:w="980" w:type="dxa"/>
            <w:vAlign w:val="bottom"/>
          </w:tcPr>
          <w:p>
            <w:pPr>
              <w:spacing w:after="0"/>
              <w:rPr>
                <w:sz w:val="16"/>
                <w:szCs w:val="16"/>
                <w:color w:val="auto"/>
              </w:rPr>
            </w:pPr>
          </w:p>
        </w:tc>
        <w:tc>
          <w:tcPr>
            <w:tcW w:w="1020" w:type="dxa"/>
            <w:vAlign w:val="bottom"/>
          </w:tcPr>
          <w:p>
            <w:pPr>
              <w:ind w:left="140"/>
              <w:spacing w:after="0"/>
              <w:rPr>
                <w:sz w:val="20"/>
                <w:szCs w:val="20"/>
                <w:color w:val="auto"/>
              </w:rPr>
            </w:pPr>
            <w:r>
              <w:rPr>
                <w:rFonts w:ascii="Arial" w:cs="Arial" w:eastAsia="Arial" w:hAnsi="Arial"/>
                <w:sz w:val="16"/>
                <w:szCs w:val="16"/>
                <w:color w:val="auto"/>
              </w:rPr>
              <w:t>Exhibit F</w:t>
            </w:r>
          </w:p>
        </w:tc>
        <w:tc>
          <w:tcPr>
            <w:tcW w:w="1720" w:type="dxa"/>
            <w:vAlign w:val="bottom"/>
          </w:tcPr>
          <w:p>
            <w:pPr>
              <w:ind w:left="260"/>
              <w:spacing w:after="0"/>
              <w:rPr>
                <w:sz w:val="20"/>
                <w:szCs w:val="20"/>
                <w:color w:val="auto"/>
              </w:rPr>
            </w:pPr>
            <w:r>
              <w:rPr>
                <w:rFonts w:ascii="Arial" w:cs="Arial" w:eastAsia="Arial" w:hAnsi="Arial"/>
                <w:sz w:val="16"/>
                <w:szCs w:val="16"/>
                <w:color w:val="auto"/>
                <w:w w:val="89"/>
              </w:rPr>
              <w:t>Rules and Regulations</w:t>
            </w:r>
          </w:p>
        </w:tc>
        <w:tc>
          <w:tcPr>
            <w:tcW w:w="7720" w:type="dxa"/>
            <w:vAlign w:val="bottom"/>
          </w:tcPr>
          <w:p>
            <w:pPr>
              <w:spacing w:after="0"/>
              <w:rPr>
                <w:sz w:val="16"/>
                <w:szCs w:val="16"/>
                <w:color w:val="auto"/>
              </w:rPr>
            </w:pPr>
          </w:p>
        </w:tc>
      </w:tr>
      <w:tr>
        <w:trPr>
          <w:trHeight w:val="189"/>
        </w:trPr>
        <w:tc>
          <w:tcPr>
            <w:tcW w:w="980" w:type="dxa"/>
            <w:vAlign w:val="bottom"/>
          </w:tcPr>
          <w:p>
            <w:pPr>
              <w:spacing w:after="0"/>
              <w:rPr>
                <w:sz w:val="16"/>
                <w:szCs w:val="16"/>
                <w:color w:val="auto"/>
              </w:rPr>
            </w:pPr>
          </w:p>
        </w:tc>
        <w:tc>
          <w:tcPr>
            <w:tcW w:w="1020" w:type="dxa"/>
            <w:vAlign w:val="bottom"/>
          </w:tcPr>
          <w:p>
            <w:pPr>
              <w:ind w:left="140"/>
              <w:spacing w:after="0"/>
              <w:rPr>
                <w:sz w:val="20"/>
                <w:szCs w:val="20"/>
                <w:color w:val="auto"/>
              </w:rPr>
            </w:pPr>
            <w:r>
              <w:rPr>
                <w:rFonts w:ascii="Arial" w:cs="Arial" w:eastAsia="Arial" w:hAnsi="Arial"/>
                <w:sz w:val="16"/>
                <w:szCs w:val="16"/>
                <w:color w:val="auto"/>
              </w:rPr>
              <w:t>Exhibit G</w:t>
            </w:r>
          </w:p>
        </w:tc>
        <w:tc>
          <w:tcPr>
            <w:tcW w:w="9440" w:type="dxa"/>
            <w:vAlign w:val="bottom"/>
            <w:gridSpan w:val="2"/>
          </w:tcPr>
          <w:p>
            <w:pPr>
              <w:ind w:left="260"/>
              <w:spacing w:after="0"/>
              <w:rPr>
                <w:sz w:val="20"/>
                <w:szCs w:val="20"/>
                <w:color w:val="auto"/>
              </w:rPr>
            </w:pPr>
            <w:r>
              <w:rPr>
                <w:rFonts w:ascii="Arial" w:cs="Arial" w:eastAsia="Arial" w:hAnsi="Arial"/>
                <w:sz w:val="16"/>
                <w:szCs w:val="16"/>
                <w:color w:val="auto"/>
              </w:rPr>
              <w:t>Tenant’s Personal Property</w:t>
            </w:r>
          </w:p>
        </w:tc>
      </w:tr>
      <w:tr>
        <w:trPr>
          <w:trHeight w:val="200"/>
        </w:trPr>
        <w:tc>
          <w:tcPr>
            <w:tcW w:w="980" w:type="dxa"/>
            <w:vAlign w:val="bottom"/>
          </w:tcPr>
          <w:p>
            <w:pPr>
              <w:spacing w:after="0"/>
              <w:rPr>
                <w:sz w:val="17"/>
                <w:szCs w:val="17"/>
                <w:color w:val="auto"/>
              </w:rPr>
            </w:pPr>
          </w:p>
        </w:tc>
        <w:tc>
          <w:tcPr>
            <w:tcW w:w="1020" w:type="dxa"/>
            <w:vAlign w:val="bottom"/>
          </w:tcPr>
          <w:p>
            <w:pPr>
              <w:ind w:left="140"/>
              <w:spacing w:after="0"/>
              <w:rPr>
                <w:sz w:val="20"/>
                <w:szCs w:val="20"/>
                <w:color w:val="auto"/>
              </w:rPr>
            </w:pPr>
            <w:r>
              <w:rPr>
                <w:rFonts w:ascii="Arial" w:cs="Arial" w:eastAsia="Arial" w:hAnsi="Arial"/>
                <w:sz w:val="16"/>
                <w:szCs w:val="16"/>
                <w:color w:val="auto"/>
              </w:rPr>
              <w:t>Exhibit H</w:t>
            </w:r>
          </w:p>
        </w:tc>
        <w:tc>
          <w:tcPr>
            <w:tcW w:w="9440" w:type="dxa"/>
            <w:vAlign w:val="bottom"/>
            <w:gridSpan w:val="2"/>
          </w:tcPr>
          <w:p>
            <w:pPr>
              <w:ind w:left="260"/>
              <w:spacing w:after="0"/>
              <w:rPr>
                <w:sz w:val="20"/>
                <w:szCs w:val="20"/>
                <w:color w:val="auto"/>
              </w:rPr>
            </w:pPr>
            <w:r>
              <w:rPr>
                <w:rFonts w:ascii="Arial" w:cs="Arial" w:eastAsia="Arial" w:hAnsi="Arial"/>
                <w:sz w:val="16"/>
                <w:szCs w:val="16"/>
                <w:color w:val="auto"/>
              </w:rPr>
              <w:t>Form of Estoppel Certificate</w:t>
            </w:r>
          </w:p>
        </w:tc>
      </w:tr>
      <w:tr>
        <w:trPr>
          <w:trHeight w:val="299"/>
        </w:trPr>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720" w:type="dxa"/>
            <w:vAlign w:val="bottom"/>
          </w:tcPr>
          <w:p>
            <w:pPr>
              <w:ind w:left="1960"/>
              <w:spacing w:after="0"/>
              <w:rPr>
                <w:sz w:val="20"/>
                <w:szCs w:val="20"/>
                <w:color w:val="auto"/>
              </w:rPr>
            </w:pPr>
            <w:r>
              <w:rPr>
                <w:rFonts w:ascii="Arial" w:cs="Arial" w:eastAsia="Arial" w:hAnsi="Arial"/>
                <w:sz w:val="13"/>
                <w:szCs w:val="13"/>
                <w:color w:val="auto"/>
              </w:rPr>
              <w:t>3</w:t>
            </w:r>
          </w:p>
        </w:tc>
      </w:tr>
      <w:tr>
        <w:trPr>
          <w:trHeight w:val="37"/>
        </w:trPr>
        <w:tc>
          <w:tcPr>
            <w:tcW w:w="9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7720" w:type="dxa"/>
            <w:vAlign w:val="bottom"/>
            <w:tcBorders>
              <w:bottom w:val="single" w:sz="8" w:color="auto"/>
            </w:tcBorders>
          </w:tcPr>
          <w:p>
            <w:pPr>
              <w:spacing w:after="0"/>
              <w:rPr>
                <w:sz w:val="3"/>
                <w:szCs w:val="3"/>
                <w:color w:val="auto"/>
              </w:rPr>
            </w:pPr>
          </w:p>
        </w:tc>
      </w:tr>
    </w:tbl>
    <w:p>
      <w:pPr>
        <w:sectPr>
          <w:pgSz w:w="11900" w:h="16838" w:orient="portrait"/>
          <w:cols w:equalWidth="0" w:num="1">
            <w:col w:w="11440"/>
          </w:cols>
          <w:pgMar w:left="240" w:top="127" w:right="219" w:bottom="1440" w:gutter="0" w:footer="0" w:header="0"/>
        </w:sectPr>
      </w:pPr>
    </w:p>
    <w:bookmarkStart w:id="153" w:name="page154"/>
    <w:bookmarkEnd w:id="153"/>
    <w:p>
      <w:pPr>
        <w:jc w:val="both"/>
        <w:ind w:left="5" w:hanging="5"/>
        <w:spacing w:after="0" w:line="276" w:lineRule="auto"/>
        <w:tabs>
          <w:tab w:leader="none" w:pos="578" w:val="left"/>
        </w:tabs>
        <w:numPr>
          <w:ilvl w:val="0"/>
          <w:numId w:val="68"/>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xml:space="preserve">. The actual term of this Lease (as the same may be extended pursuant to </w:t>
      </w:r>
      <w:r>
        <w:rPr>
          <w:rFonts w:ascii="Arial" w:cs="Arial" w:eastAsia="Arial" w:hAnsi="Arial"/>
          <w:sz w:val="15"/>
          <w:szCs w:val="15"/>
          <w:u w:val="single" w:color="auto"/>
          <w:color w:val="auto"/>
        </w:rPr>
        <w:t>Article 42</w:t>
      </w:r>
      <w:r>
        <w:rPr>
          <w:rFonts w:ascii="Arial" w:cs="Arial" w:eastAsia="Arial" w:hAnsi="Arial"/>
          <w:sz w:val="15"/>
          <w:szCs w:val="15"/>
          <w:color w:val="auto"/>
        </w:rPr>
        <w:t xml:space="preserve"> hereof, and as the same may be earlier terminated in accordance with this Lease, the “</w:t>
      </w:r>
      <w:r>
        <w:rPr>
          <w:rFonts w:ascii="Arial" w:cs="Arial" w:eastAsia="Arial" w:hAnsi="Arial"/>
          <w:sz w:val="15"/>
          <w:szCs w:val="15"/>
          <w:u w:val="single" w:color="auto"/>
          <w:color w:val="auto"/>
        </w:rPr>
        <w:t>Term</w:t>
      </w:r>
      <w:r>
        <w:rPr>
          <w:rFonts w:ascii="Arial" w:cs="Arial" w:eastAsia="Arial" w:hAnsi="Arial"/>
          <w:sz w:val="15"/>
          <w:szCs w:val="15"/>
          <w:color w:val="auto"/>
        </w:rPr>
        <w:t xml:space="preserve">”) shall commence on the actual Term Commencement Date (as defined in </w:t>
      </w:r>
      <w:r>
        <w:rPr>
          <w:rFonts w:ascii="Arial" w:cs="Arial" w:eastAsia="Arial" w:hAnsi="Arial"/>
          <w:sz w:val="15"/>
          <w:szCs w:val="15"/>
          <w:u w:val="single" w:color="auto"/>
          <w:color w:val="auto"/>
        </w:rPr>
        <w:t>Article 4</w:t>
      </w:r>
      <w:r>
        <w:rPr>
          <w:rFonts w:ascii="Arial" w:cs="Arial" w:eastAsia="Arial" w:hAnsi="Arial"/>
          <w:sz w:val="15"/>
          <w:szCs w:val="15"/>
          <w:color w:val="auto"/>
        </w:rPr>
        <w:t>) and end on the date that is ninety-six (96) months after the actual Term Commencement Date (such date, the “</w:t>
      </w:r>
      <w:r>
        <w:rPr>
          <w:rFonts w:ascii="Arial" w:cs="Arial" w:eastAsia="Arial" w:hAnsi="Arial"/>
          <w:sz w:val="15"/>
          <w:szCs w:val="15"/>
          <w:u w:val="single" w:color="auto"/>
          <w:color w:val="auto"/>
        </w:rPr>
        <w:t>Term Expiration Date</w:t>
      </w:r>
      <w:r>
        <w:rPr>
          <w:rFonts w:ascii="Arial" w:cs="Arial" w:eastAsia="Arial" w:hAnsi="Arial"/>
          <w:sz w:val="15"/>
          <w:szCs w:val="15"/>
          <w:color w:val="auto"/>
        </w:rPr>
        <w:t>”), subject to earlier termination of this Lease as provided herein. TENANT HEREBY WAIVES THE REQUIREMENTS OF SECTION 1933 OF THE CALIFORNIA CIVIL CODE, AS THE SAME MAY BE AMENDED FROM TIME TO TIME.</w:t>
      </w:r>
    </w:p>
    <w:p>
      <w:pPr>
        <w:spacing w:after="0" w:line="175" w:lineRule="exact"/>
        <w:rPr>
          <w:rFonts w:ascii="Arial" w:cs="Arial" w:eastAsia="Arial" w:hAnsi="Arial"/>
          <w:sz w:val="15"/>
          <w:szCs w:val="15"/>
          <w:color w:val="auto"/>
        </w:rPr>
      </w:pPr>
    </w:p>
    <w:p>
      <w:pPr>
        <w:ind w:left="505" w:hanging="505"/>
        <w:spacing w:after="0"/>
        <w:tabs>
          <w:tab w:leader="none" w:pos="50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Possession and Commencement Date</w:t>
      </w:r>
      <w:r>
        <w:rPr>
          <w:rFonts w:ascii="Arial" w:cs="Arial" w:eastAsia="Arial" w:hAnsi="Arial"/>
          <w:sz w:val="16"/>
          <w:szCs w:val="16"/>
          <w:color w:val="auto"/>
        </w:rPr>
        <w:t>.</w:t>
      </w:r>
    </w:p>
    <w:p>
      <w:pPr>
        <w:spacing w:after="0" w:line="218" w:lineRule="exact"/>
        <w:rPr>
          <w:sz w:val="20"/>
          <w:szCs w:val="20"/>
          <w:color w:val="auto"/>
        </w:rPr>
      </w:pPr>
    </w:p>
    <w:p>
      <w:pPr>
        <w:jc w:val="both"/>
        <w:ind w:left="5" w:firstLine="567"/>
        <w:spacing w:after="0" w:line="286" w:lineRule="auto"/>
        <w:rPr>
          <w:sz w:val="20"/>
          <w:szCs w:val="20"/>
          <w:color w:val="auto"/>
        </w:rPr>
      </w:pPr>
      <w:r>
        <w:rPr>
          <w:rFonts w:ascii="Arial" w:cs="Arial" w:eastAsia="Arial" w:hAnsi="Arial"/>
          <w:sz w:val="14"/>
          <w:szCs w:val="14"/>
          <w:color w:val="auto"/>
        </w:rPr>
        <w:t>4.1. Landlord shall use commercially reasonable efforts to tender possession of the Premises to Tenant (for the purposes of commencing the Tenant Improvements (as defined below)) on the date (the “</w:t>
      </w:r>
      <w:r>
        <w:rPr>
          <w:rFonts w:ascii="Arial" w:cs="Arial" w:eastAsia="Arial" w:hAnsi="Arial"/>
          <w:sz w:val="14"/>
          <w:szCs w:val="14"/>
          <w:u w:val="single" w:color="auto"/>
          <w:color w:val="auto"/>
        </w:rPr>
        <w:t>Estimated Delivery Date</w:t>
      </w:r>
      <w:r>
        <w:rPr>
          <w:rFonts w:ascii="Arial" w:cs="Arial" w:eastAsia="Arial" w:hAnsi="Arial"/>
          <w:sz w:val="14"/>
          <w:szCs w:val="14"/>
          <w:color w:val="auto"/>
        </w:rPr>
        <w:t>”) that is forty-five (45) days after the Execution Date with the Condition Obligation (as defined below) satisfied. Tenant agrees that in the event the Condition Obligation is not satisfied on or before the Estimated Delivery Date for any reason, then (a) this Lease shall not be void or voidable, (b) Landlord shall not be liable to Tenant for any loss or damage resulting therefrom and (c) the Estimated Term Commencement Date shall be extended accordingly on a day-for-day basis. Notwithstanding the foregoing sentence, if the Condition Obligation is not satisfied by the date (“</w:t>
      </w:r>
      <w:r>
        <w:rPr>
          <w:rFonts w:ascii="Arial" w:cs="Arial" w:eastAsia="Arial" w:hAnsi="Arial"/>
          <w:sz w:val="14"/>
          <w:szCs w:val="14"/>
          <w:u w:val="single" w:color="auto"/>
          <w:color w:val="auto"/>
        </w:rPr>
        <w:t>Outside Delivery Date</w:t>
      </w:r>
      <w:r>
        <w:rPr>
          <w:rFonts w:ascii="Arial" w:cs="Arial" w:eastAsia="Arial" w:hAnsi="Arial"/>
          <w:sz w:val="14"/>
          <w:szCs w:val="14"/>
          <w:color w:val="auto"/>
        </w:rPr>
        <w:t>”) that is one hundred twenty (120) days after the Execution Date (which date is subject to extension on a day-for-day basis due to Force Majeure (as defined below)), but the work that remains to be completed in order to satisfy the Condition Obligation (“</w:t>
      </w:r>
      <w:r>
        <w:rPr>
          <w:rFonts w:ascii="Arial" w:cs="Arial" w:eastAsia="Arial" w:hAnsi="Arial"/>
          <w:sz w:val="14"/>
          <w:szCs w:val="14"/>
          <w:u w:val="single" w:color="auto"/>
          <w:color w:val="auto"/>
        </w:rPr>
        <w:t>Remaining Work</w:t>
      </w:r>
      <w:r>
        <w:rPr>
          <w:rFonts w:ascii="Arial" w:cs="Arial" w:eastAsia="Arial" w:hAnsi="Arial"/>
          <w:sz w:val="14"/>
          <w:szCs w:val="14"/>
          <w:color w:val="auto"/>
        </w:rPr>
        <w:t xml:space="preserve">”) will not prevent or materially impede or materially interfere with Tenant’s performance of the Tenant Improvements, then Landlord shall have the right to tender possession of the Premises to Tenant, so long as Landlord diligently prosecutes the Remaining Work to completion and completes the Remaining Work as of or prior to Substantial Completion (as defined below) of the Tenant Improvements;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the Condition Obligation is not satisfied by the Outside Delivery Date and the Remaining Work will prevent or materially impede or materially interfere with Tenant’s performance of the Tenant Improvements, then Tenant shall have the right to deliver written notice to Landlord (a “</w:t>
      </w:r>
      <w:r>
        <w:rPr>
          <w:rFonts w:ascii="Arial" w:cs="Arial" w:eastAsia="Arial" w:hAnsi="Arial"/>
          <w:sz w:val="14"/>
          <w:szCs w:val="14"/>
          <w:u w:val="single" w:color="auto"/>
          <w:color w:val="auto"/>
        </w:rPr>
        <w:t>Termination Notice</w:t>
      </w:r>
      <w:r>
        <w:rPr>
          <w:rFonts w:ascii="Arial" w:cs="Arial" w:eastAsia="Arial" w:hAnsi="Arial"/>
          <w:sz w:val="14"/>
          <w:szCs w:val="14"/>
          <w:color w:val="auto"/>
        </w:rPr>
        <w:t>”) stating that if the Remaining Work is not completed within thirty (30) days after delivery of such Termination Notice, then this Lease shall terminate, and if Landlord fails to complete the Remaining Work within such thirty (30)-day period, then this Lease shall terminate effective as of the date that is thirty (30) days after delivery of the Termination Notice. The “</w:t>
      </w:r>
      <w:r>
        <w:rPr>
          <w:rFonts w:ascii="Arial" w:cs="Arial" w:eastAsia="Arial" w:hAnsi="Arial"/>
          <w:sz w:val="14"/>
          <w:szCs w:val="14"/>
          <w:u w:val="single" w:color="auto"/>
          <w:color w:val="auto"/>
        </w:rPr>
        <w:t>Delivery Date</w:t>
      </w:r>
      <w:r>
        <w:rPr>
          <w:rFonts w:ascii="Arial" w:cs="Arial" w:eastAsia="Arial" w:hAnsi="Arial"/>
          <w:sz w:val="14"/>
          <w:szCs w:val="14"/>
          <w:color w:val="auto"/>
        </w:rPr>
        <w:t>” shall be the day Landlord tenders possession of the Premises to Tenant in accordance with this Section.</w:t>
      </w:r>
    </w:p>
    <w:p>
      <w:pPr>
        <w:spacing w:after="0" w:line="177" w:lineRule="exact"/>
        <w:rPr>
          <w:sz w:val="20"/>
          <w:szCs w:val="20"/>
          <w:color w:val="auto"/>
        </w:rPr>
      </w:pPr>
    </w:p>
    <w:p>
      <w:pPr>
        <w:jc w:val="both"/>
        <w:ind w:left="5" w:firstLine="567"/>
        <w:spacing w:after="0" w:line="250" w:lineRule="auto"/>
        <w:rPr>
          <w:sz w:val="20"/>
          <w:szCs w:val="20"/>
          <w:color w:val="auto"/>
        </w:rPr>
      </w:pPr>
      <w:r>
        <w:rPr>
          <w:rFonts w:ascii="Arial" w:cs="Arial" w:eastAsia="Arial" w:hAnsi="Arial"/>
          <w:sz w:val="16"/>
          <w:szCs w:val="16"/>
          <w:color w:val="auto"/>
        </w:rPr>
        <w:t>4.2. The “</w:t>
      </w:r>
      <w:r>
        <w:rPr>
          <w:rFonts w:ascii="Arial" w:cs="Arial" w:eastAsia="Arial" w:hAnsi="Arial"/>
          <w:sz w:val="16"/>
          <w:szCs w:val="16"/>
          <w:u w:val="single" w:color="auto"/>
          <w:color w:val="auto"/>
        </w:rPr>
        <w:t>Term Commencement Date</w:t>
      </w:r>
      <w:r>
        <w:rPr>
          <w:rFonts w:ascii="Arial" w:cs="Arial" w:eastAsia="Arial" w:hAnsi="Arial"/>
          <w:sz w:val="16"/>
          <w:szCs w:val="16"/>
          <w:color w:val="auto"/>
        </w:rPr>
        <w:t xml:space="preserve">” shall be the earlier of (a) the Estimated Term Commencement Date and (b) the day that Tenant occupies the Premises for the conduct of its business in accordance with the Permitted Use. Tenant shall execute and deliver to Landlord written acknowledgment of the actual Term Commencement Date and the Term Expiration Date within ten (10) days after Tenant takes occupancy of the Premises, in the form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Failure to execute and deliver such acknowledgment, however, shall not affect the Term Commencement Date or Landlord’s or Tenant’s liability hereunder. Failure by Tenant to obtain validation by any medical review board or other similar governmental licensing of the Premises required for the Permitted Use by Tenant shall not serve to extend the Term Commencement Date. The term “</w:t>
      </w:r>
      <w:r>
        <w:rPr>
          <w:rFonts w:ascii="Arial" w:cs="Arial" w:eastAsia="Arial" w:hAnsi="Arial"/>
          <w:sz w:val="16"/>
          <w:szCs w:val="16"/>
          <w:u w:val="single" w:color="auto"/>
          <w:color w:val="auto"/>
        </w:rPr>
        <w:t>Substantially Complete</w:t>
      </w:r>
      <w:r>
        <w:rPr>
          <w:rFonts w:ascii="Arial" w:cs="Arial" w:eastAsia="Arial" w:hAnsi="Arial"/>
          <w:sz w:val="16"/>
          <w:szCs w:val="16"/>
          <w:color w:val="auto"/>
        </w:rPr>
        <w:t>” or “</w:t>
      </w:r>
      <w:r>
        <w:rPr>
          <w:rFonts w:ascii="Arial" w:cs="Arial" w:eastAsia="Arial" w:hAnsi="Arial"/>
          <w:sz w:val="16"/>
          <w:szCs w:val="16"/>
          <w:u w:val="single" w:color="auto"/>
          <w:color w:val="auto"/>
        </w:rPr>
        <w:t>Substantial Completion</w:t>
      </w:r>
      <w:r>
        <w:rPr>
          <w:rFonts w:ascii="Arial" w:cs="Arial" w:eastAsia="Arial" w:hAnsi="Arial"/>
          <w:sz w:val="16"/>
          <w:szCs w:val="16"/>
          <w:color w:val="auto"/>
        </w:rPr>
        <w:t>” means that the Tenant Improvements are substantially complete in accordance with the Approved Plans (as defined in the Work Letter), except for minor punch list items.</w:t>
      </w:r>
    </w:p>
    <w:p>
      <w:pPr>
        <w:spacing w:after="0" w:line="132"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54" w:name="page155"/>
    <w:bookmarkEnd w:id="154"/>
    <w:p>
      <w:pPr>
        <w:jc w:val="both"/>
        <w:ind w:firstLine="567"/>
        <w:spacing w:after="0" w:line="287" w:lineRule="auto"/>
        <w:rPr>
          <w:sz w:val="20"/>
          <w:szCs w:val="20"/>
          <w:color w:val="auto"/>
        </w:rPr>
      </w:pPr>
      <w:r>
        <w:rPr>
          <w:rFonts w:ascii="Arial" w:cs="Arial" w:eastAsia="Arial" w:hAnsi="Arial"/>
          <w:sz w:val="14"/>
          <w:szCs w:val="14"/>
          <w:color w:val="auto"/>
        </w:rPr>
        <w:t>4.3. Tenant shall cause the work described in the Work Letter (the “</w:t>
      </w:r>
      <w:r>
        <w:rPr>
          <w:rFonts w:ascii="Arial" w:cs="Arial" w:eastAsia="Arial" w:hAnsi="Arial"/>
          <w:sz w:val="14"/>
          <w:szCs w:val="14"/>
          <w:u w:val="single" w:color="auto"/>
          <w:color w:val="auto"/>
        </w:rPr>
        <w:t>Tenant Improvements</w:t>
      </w:r>
      <w:r>
        <w:rPr>
          <w:rFonts w:ascii="Arial" w:cs="Arial" w:eastAsia="Arial" w:hAnsi="Arial"/>
          <w:sz w:val="14"/>
          <w:szCs w:val="14"/>
          <w:color w:val="auto"/>
        </w:rPr>
        <w:t xml:space="preserve">”) to be constructed in the Premises pursuant to the Work Letter attached hereto as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Work Letter</w:t>
      </w:r>
      <w:r>
        <w:rPr>
          <w:rFonts w:ascii="Arial" w:cs="Arial" w:eastAsia="Arial" w:hAnsi="Arial"/>
          <w:sz w:val="14"/>
          <w:szCs w:val="14"/>
          <w:color w:val="auto"/>
        </w:rPr>
        <w:t>”) at a cost to Landlord not to exceed Four Million Four Hundred Thousand Dollars ($4,400,000) (based upon One Hundred Dollars ($100) per square foot of Rentable Area (as defined below)) (the “</w:t>
      </w:r>
      <w:r>
        <w:rPr>
          <w:rFonts w:ascii="Arial" w:cs="Arial" w:eastAsia="Arial" w:hAnsi="Arial"/>
          <w:sz w:val="14"/>
          <w:szCs w:val="14"/>
          <w:u w:val="single" w:color="auto"/>
          <w:color w:val="auto"/>
        </w:rPr>
        <w:t>TI Allowance</w:t>
      </w:r>
      <w:r>
        <w:rPr>
          <w:rFonts w:ascii="Arial" w:cs="Arial" w:eastAsia="Arial" w:hAnsi="Arial"/>
          <w:sz w:val="14"/>
          <w:szCs w:val="14"/>
          <w:color w:val="auto"/>
        </w:rPr>
        <w:t>”). The TI Allowance shall be funded by Landlord as provided by and subject to this Lease and the Work Letter and may be applied to the costs of (n) construction, (o) project review by Landlord (which fee shall equal one percent (1%) of the cost of the Tenant Improvements, including the TI Allowance), (p) space planning, architect, engineering and other related services performed by third parties unaffiliated with Tenant, (q) building permits and other taxes, fees, charges and levies by Governmental Authorities (as defined below) for permits or for inspections of the Tenant Improvements, (r) costs and expenses for labor, materials, equipment and fixtures (including HVAC, filtration and similar Building systems) and (s) removable trade fixtures, furniture and removable equipment (“</w:t>
      </w:r>
      <w:r>
        <w:rPr>
          <w:rFonts w:ascii="Arial" w:cs="Arial" w:eastAsia="Arial" w:hAnsi="Arial"/>
          <w:sz w:val="14"/>
          <w:szCs w:val="14"/>
          <w:u w:val="single" w:color="auto"/>
          <w:color w:val="auto"/>
        </w:rPr>
        <w:t>FF&amp;E</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more than ten percent (10%) of the TI Allowance may be applied toward the cost of FF&amp;E. In no event shall the TI Allowance be used for (v) the cost of work that is not authorized by the Approved Plans (as defined in the Work Letter) or otherwise approved in writing by Landlord, (w) payments to Tenant or any affiliates of Tenant, (x) the purchase of any furniture, personal property or other non-building system equipment (other than the amount permitted to be applied to FF&amp;E in accordance with </w:t>
      </w:r>
      <w:r>
        <w:rPr>
          <w:rFonts w:ascii="Arial" w:cs="Arial" w:eastAsia="Arial" w:hAnsi="Arial"/>
          <w:sz w:val="14"/>
          <w:szCs w:val="14"/>
          <w:u w:val="single" w:color="auto"/>
          <w:color w:val="auto"/>
        </w:rPr>
        <w:t>Subsection 4.2(s)</w:t>
      </w:r>
      <w:r>
        <w:rPr>
          <w:rFonts w:ascii="Arial" w:cs="Arial" w:eastAsia="Arial" w:hAnsi="Arial"/>
          <w:sz w:val="14"/>
          <w:szCs w:val="14"/>
          <w:color w:val="auto"/>
        </w:rPr>
        <w:t>), (y) costs resulting from any default by Tenant of its obligations under this Lease or (z) costs that are recoverable by Tenant from a third party (e.g., insurers, warrantors, or tortfeasors).</w:t>
      </w:r>
    </w:p>
    <w:p>
      <w:pPr>
        <w:spacing w:after="0" w:line="175" w:lineRule="exact"/>
        <w:rPr>
          <w:sz w:val="20"/>
          <w:szCs w:val="20"/>
          <w:color w:val="auto"/>
        </w:rPr>
      </w:pPr>
    </w:p>
    <w:p>
      <w:pPr>
        <w:jc w:val="both"/>
        <w:ind w:right="20" w:firstLine="567"/>
        <w:spacing w:after="0" w:line="267" w:lineRule="auto"/>
        <w:rPr>
          <w:sz w:val="20"/>
          <w:szCs w:val="20"/>
          <w:color w:val="auto"/>
        </w:rPr>
      </w:pPr>
      <w:r>
        <w:rPr>
          <w:rFonts w:ascii="Arial" w:cs="Arial" w:eastAsia="Arial" w:hAnsi="Arial"/>
          <w:sz w:val="16"/>
          <w:szCs w:val="16"/>
          <w:color w:val="auto"/>
        </w:rPr>
        <w:t>4.4. Tenant shall have until the date (the “</w:t>
      </w:r>
      <w:r>
        <w:rPr>
          <w:rFonts w:ascii="Arial" w:cs="Arial" w:eastAsia="Arial" w:hAnsi="Arial"/>
          <w:sz w:val="16"/>
          <w:szCs w:val="16"/>
          <w:u w:val="single" w:color="auto"/>
          <w:color w:val="auto"/>
        </w:rPr>
        <w:t>TI Deadline</w:t>
      </w:r>
      <w:r>
        <w:rPr>
          <w:rFonts w:ascii="Arial" w:cs="Arial" w:eastAsia="Arial" w:hAnsi="Arial"/>
          <w:sz w:val="16"/>
          <w:szCs w:val="16"/>
          <w:color w:val="auto"/>
        </w:rPr>
        <w:t>”) that is eighteen (18) months after the Execution Date, to expend the unused portion of the TI Allowance, after which date Landlord’s obligation to fund such costs shall expire.</w:t>
      </w:r>
    </w:p>
    <w:p>
      <w:pPr>
        <w:spacing w:after="0" w:line="181" w:lineRule="exact"/>
        <w:rPr>
          <w:sz w:val="20"/>
          <w:szCs w:val="20"/>
          <w:color w:val="auto"/>
        </w:rPr>
      </w:pPr>
    </w:p>
    <w:p>
      <w:pPr>
        <w:jc w:val="both"/>
        <w:ind w:right="20" w:firstLine="567"/>
        <w:spacing w:after="0" w:line="257" w:lineRule="auto"/>
        <w:rPr>
          <w:sz w:val="20"/>
          <w:szCs w:val="20"/>
          <w:color w:val="auto"/>
        </w:rPr>
      </w:pPr>
      <w:r>
        <w:rPr>
          <w:rFonts w:ascii="Arial" w:cs="Arial" w:eastAsia="Arial" w:hAnsi="Arial"/>
          <w:sz w:val="16"/>
          <w:szCs w:val="16"/>
          <w:color w:val="auto"/>
        </w:rPr>
        <w:t>4.5. In no event shall any unused TI Allowance entitle Tenant to a credit against Rent payable under this Lease. Tenant shall deliver to Landlord (a) a certificate of occupancy for the Premises suitable for the Permitted Use and (b) a Certificate of Substantial Completion in the form of the American Institute of Architects document G704, executed by the project architect and the general contractor.</w:t>
      </w:r>
    </w:p>
    <w:p>
      <w:pPr>
        <w:spacing w:after="0" w:line="189" w:lineRule="exact"/>
        <w:rPr>
          <w:sz w:val="20"/>
          <w:szCs w:val="20"/>
          <w:color w:val="auto"/>
        </w:rPr>
      </w:pPr>
    </w:p>
    <w:p>
      <w:pPr>
        <w:jc w:val="both"/>
        <w:ind w:firstLine="567"/>
        <w:spacing w:after="0" w:line="267" w:lineRule="auto"/>
        <w:rPr>
          <w:sz w:val="20"/>
          <w:szCs w:val="20"/>
          <w:color w:val="auto"/>
        </w:rPr>
      </w:pPr>
      <w:r>
        <w:rPr>
          <w:rFonts w:ascii="Arial" w:cs="Arial" w:eastAsia="Arial" w:hAnsi="Arial"/>
          <w:sz w:val="16"/>
          <w:szCs w:val="16"/>
          <w:color w:val="auto"/>
        </w:rPr>
        <w:t xml:space="preserve">4.6. Prior to entering upon the Premises, Tenant shall furnish to Landlord evidence satisfactory to Landlord that insurance coverages required of Tenant under the provisions of </w:t>
      </w:r>
      <w:r>
        <w:rPr>
          <w:rFonts w:ascii="Arial" w:cs="Arial" w:eastAsia="Arial" w:hAnsi="Arial"/>
          <w:sz w:val="16"/>
          <w:szCs w:val="16"/>
          <w:u w:val="single" w:color="auto"/>
          <w:color w:val="auto"/>
        </w:rPr>
        <w:t>Article 23</w:t>
      </w:r>
      <w:r>
        <w:rPr>
          <w:rFonts w:ascii="Arial" w:cs="Arial" w:eastAsia="Arial" w:hAnsi="Arial"/>
          <w:sz w:val="16"/>
          <w:szCs w:val="16"/>
          <w:color w:val="auto"/>
        </w:rPr>
        <w:t xml:space="preserve"> are in effect, and such entry shall be subject to all the terms and conditions of this Lease other than the payment of Base Rent.</w:t>
      </w:r>
    </w:p>
    <w:p>
      <w:pPr>
        <w:spacing w:after="0" w:line="181"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6"/>
          <w:szCs w:val="16"/>
          <w:color w:val="auto"/>
        </w:rPr>
        <w:t>4.7. Landlord and Tenant shall mutually agree upon the selection of the architect, engineer, general contractor and major subcontractors, and Landlord and Tenant shall each participate in the review of the competitive bid process. Landlord may refuse to use any architects, consultants, contractors, subcontractors or material suppliers that Landlord reasonably believes could cause labor disharmony.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55" w:name="page156"/>
    <w:bookmarkEnd w:id="155"/>
    <w:p>
      <w:pPr>
        <w:jc w:val="both"/>
        <w:ind w:left="5" w:hanging="5"/>
        <w:spacing w:after="0" w:line="267" w:lineRule="auto"/>
        <w:tabs>
          <w:tab w:leader="none" w:pos="566" w:val="left"/>
        </w:tabs>
        <w:numPr>
          <w:ilvl w:val="0"/>
          <w:numId w:val="69"/>
        </w:numPr>
        <w:rPr>
          <w:rFonts w:ascii="Arial" w:cs="Arial" w:eastAsia="Arial" w:hAnsi="Arial"/>
          <w:sz w:val="15"/>
          <w:szCs w:val="15"/>
          <w:color w:val="auto"/>
        </w:rPr>
      </w:pPr>
      <w:r>
        <w:rPr>
          <w:rFonts w:ascii="Arial" w:cs="Arial" w:eastAsia="Arial" w:hAnsi="Arial"/>
          <w:sz w:val="15"/>
          <w:szCs w:val="15"/>
          <w:u w:val="single" w:color="auto"/>
          <w:color w:val="auto"/>
        </w:rPr>
        <w:t>Condition of Premises</w:t>
      </w:r>
      <w:r>
        <w:rPr>
          <w:rFonts w:ascii="Arial" w:cs="Arial" w:eastAsia="Arial" w:hAnsi="Arial"/>
          <w:sz w:val="15"/>
          <w:szCs w:val="15"/>
          <w:color w:val="auto"/>
        </w:rPr>
        <w:t xml:space="preserve">. Tenant acknowledges that neither Landlord nor any agent of Landlord has made any representation or warranty with respect to the condition of the Premises (except as specifically set forth in this Article) or with respect to the suitability of the Premises for the conduct of Tenant’s business. Tenant acknowledges that (a) it is fully familiar with the condition of the Premises and agrees to take the same in its condition “as is” as of the Execution Date and (b) Landlord shall have no obligation to alter, repair or otherwise prepare the Premises for Tenant’s occupancy or to pay for or construct any improvements to the Premises, except with respect to the TI Allowance. Tenant’s taking of possession of the Premises shall, except as otherwise agreed to in writing by Landlord and Tenant, conclusively establish that (y) the Premises were at such time in good, sanitary and satisfactory condition and repair and (z) the Condition Obligation was satisfied. In each of the following cases as of the date specified in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above, the heating, ventilating, air-conditioning, plumbing and electrical systems (excluding any process systems (which by way of example only, includes any reverse osmosis or deionized water systems, vacuum, compressed air and specialty gases to laboratory benches) and any generator); the roof of the Building; all exterior Building windows; the structural elements of the Building; and the foundation of the Building, in each case that were installed on or prior to the Execution Date, shall be in good working order and condition (collectively, the “</w:t>
      </w:r>
      <w:r>
        <w:rPr>
          <w:rFonts w:ascii="Arial" w:cs="Arial" w:eastAsia="Arial" w:hAnsi="Arial"/>
          <w:sz w:val="15"/>
          <w:szCs w:val="15"/>
          <w:u w:val="single" w:color="auto"/>
          <w:color w:val="auto"/>
        </w:rPr>
        <w:t>Condition Obligation</w:t>
      </w:r>
      <w:r>
        <w:rPr>
          <w:rFonts w:ascii="Arial" w:cs="Arial" w:eastAsia="Arial" w:hAnsi="Arial"/>
          <w:sz w:val="15"/>
          <w:szCs w:val="15"/>
          <w:color w:val="auto"/>
        </w:rPr>
        <w:t>”).</w:t>
      </w:r>
    </w:p>
    <w:p>
      <w:pPr>
        <w:spacing w:after="0" w:line="184" w:lineRule="exact"/>
        <w:rPr>
          <w:rFonts w:ascii="Arial" w:cs="Arial" w:eastAsia="Arial" w:hAnsi="Arial"/>
          <w:sz w:val="15"/>
          <w:szCs w:val="15"/>
          <w:color w:val="auto"/>
        </w:rPr>
      </w:pPr>
    </w:p>
    <w:p>
      <w:pPr>
        <w:ind w:left="505" w:hanging="505"/>
        <w:spacing w:after="0"/>
        <w:tabs>
          <w:tab w:leader="none" w:pos="505"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[Intentionally omitted]</w:t>
      </w:r>
    </w:p>
    <w:p>
      <w:pPr>
        <w:spacing w:after="0" w:line="217" w:lineRule="exact"/>
        <w:rPr>
          <w:rFonts w:ascii="Arial" w:cs="Arial" w:eastAsia="Arial" w:hAnsi="Arial"/>
          <w:sz w:val="16"/>
          <w:szCs w:val="16"/>
          <w:color w:val="auto"/>
        </w:rPr>
      </w:pPr>
    </w:p>
    <w:p>
      <w:pPr>
        <w:ind w:left="505" w:hanging="505"/>
        <w:spacing w:after="0"/>
        <w:tabs>
          <w:tab w:leader="none" w:pos="50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Rent</w:t>
      </w:r>
      <w:r>
        <w:rPr>
          <w:rFonts w:ascii="Arial" w:cs="Arial" w:eastAsia="Arial" w:hAnsi="Arial"/>
          <w:sz w:val="16"/>
          <w:szCs w:val="16"/>
          <w:color w:val="auto"/>
        </w:rPr>
        <w:t>.</w:t>
      </w:r>
    </w:p>
    <w:p>
      <w:pPr>
        <w:spacing w:after="0" w:line="218" w:lineRule="exact"/>
        <w:rPr>
          <w:sz w:val="20"/>
          <w:szCs w:val="20"/>
          <w:color w:val="auto"/>
        </w:rPr>
      </w:pPr>
    </w:p>
    <w:p>
      <w:pPr>
        <w:jc w:val="both"/>
        <w:ind w:left="5" w:firstLine="567"/>
        <w:spacing w:after="0" w:line="301" w:lineRule="auto"/>
        <w:rPr>
          <w:sz w:val="20"/>
          <w:szCs w:val="20"/>
          <w:color w:val="auto"/>
        </w:rPr>
      </w:pPr>
      <w:r>
        <w:rPr>
          <w:rFonts w:ascii="Arial" w:cs="Arial" w:eastAsia="Arial" w:hAnsi="Arial"/>
          <w:sz w:val="15"/>
          <w:szCs w:val="15"/>
          <w:color w:val="auto"/>
        </w:rPr>
        <w:t xml:space="preserve">7.1. Tenant shall pay to Landlord as Base Rent for the Premises, commencing on the Term Commencement Date, the sums set forth in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Base Rent shall be paid in equal monthly installments as set forth in </w:t>
      </w:r>
      <w:r>
        <w:rPr>
          <w:rFonts w:ascii="Arial" w:cs="Arial" w:eastAsia="Arial" w:hAnsi="Arial"/>
          <w:sz w:val="15"/>
          <w:szCs w:val="15"/>
          <w:u w:val="single" w:color="auto"/>
          <w:color w:val="auto"/>
        </w:rPr>
        <w:t>Section 2.3</w:t>
      </w:r>
      <w:r>
        <w:rPr>
          <w:rFonts w:ascii="Arial" w:cs="Arial" w:eastAsia="Arial" w:hAnsi="Arial"/>
          <w:sz w:val="15"/>
          <w:szCs w:val="15"/>
          <w:color w:val="auto"/>
        </w:rPr>
        <w:t>, each in advance on the first day of each and every calendar month during the Term.</w:t>
      </w:r>
    </w:p>
    <w:p>
      <w:pPr>
        <w:spacing w:after="0" w:line="158" w:lineRule="exact"/>
        <w:rPr>
          <w:sz w:val="20"/>
          <w:szCs w:val="20"/>
          <w:color w:val="auto"/>
        </w:rPr>
      </w:pPr>
    </w:p>
    <w:p>
      <w:pPr>
        <w:jc w:val="both"/>
        <w:ind w:left="5" w:right="20" w:firstLine="567"/>
        <w:spacing w:after="0" w:line="301" w:lineRule="auto"/>
        <w:rPr>
          <w:sz w:val="20"/>
          <w:szCs w:val="20"/>
          <w:color w:val="auto"/>
        </w:rPr>
      </w:pPr>
      <w:r>
        <w:rPr>
          <w:rFonts w:ascii="Arial" w:cs="Arial" w:eastAsia="Arial" w:hAnsi="Arial"/>
          <w:sz w:val="14"/>
          <w:szCs w:val="14"/>
          <w:color w:val="auto"/>
        </w:rPr>
        <w:t>7.2. In addition to Base Rent, Tenant shall pay to Landlord as additional rent (“</w:t>
      </w:r>
      <w:r>
        <w:rPr>
          <w:rFonts w:ascii="Arial" w:cs="Arial" w:eastAsia="Arial" w:hAnsi="Arial"/>
          <w:sz w:val="14"/>
          <w:szCs w:val="14"/>
          <w:u w:val="single" w:color="auto"/>
          <w:color w:val="auto"/>
        </w:rPr>
        <w:t>Additional Rent</w:t>
      </w:r>
      <w:r>
        <w:rPr>
          <w:rFonts w:ascii="Arial" w:cs="Arial" w:eastAsia="Arial" w:hAnsi="Arial"/>
          <w:sz w:val="14"/>
          <w:szCs w:val="14"/>
          <w:color w:val="auto"/>
        </w:rPr>
        <w:t xml:space="preserve">”) at times hereinafter specified in this Lease (a) Insurance Costs and Taxes (each as defined below), subject to </w:t>
      </w:r>
      <w:r>
        <w:rPr>
          <w:rFonts w:ascii="Arial" w:cs="Arial" w:eastAsia="Arial" w:hAnsi="Arial"/>
          <w:sz w:val="14"/>
          <w:szCs w:val="14"/>
          <w:u w:val="single" w:color="auto"/>
          <w:color w:val="auto"/>
        </w:rPr>
        <w:t>Sections 23.9</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9.7</w:t>
      </w:r>
      <w:r>
        <w:rPr>
          <w:rFonts w:ascii="Arial" w:cs="Arial" w:eastAsia="Arial" w:hAnsi="Arial"/>
          <w:sz w:val="14"/>
          <w:szCs w:val="14"/>
          <w:color w:val="auto"/>
        </w:rPr>
        <w:t>, respectively, (b) the Property Management Fee (as defined below) and (c) any other amounts that Tenant assumes or agrees to pay under the provisions of this Lease that are owed to Landlord, including any and all other sums that may become due by reason of any default of Tenant or failure on Tenant’s part to comply with the agreements, terms, covenants and conditions of this Lease to be performed by Tenant, after notice and the lapse of any applicable cure periods.</w:t>
      </w:r>
    </w:p>
    <w:p>
      <w:pPr>
        <w:spacing w:after="0" w:line="161" w:lineRule="exact"/>
        <w:rPr>
          <w:sz w:val="20"/>
          <w:szCs w:val="20"/>
          <w:color w:val="auto"/>
        </w:rPr>
      </w:pPr>
    </w:p>
    <w:p>
      <w:pPr>
        <w:jc w:val="both"/>
        <w:ind w:left="5" w:firstLine="567"/>
        <w:spacing w:after="0" w:line="253" w:lineRule="auto"/>
        <w:rPr>
          <w:sz w:val="20"/>
          <w:szCs w:val="20"/>
          <w:color w:val="auto"/>
        </w:rPr>
      </w:pPr>
      <w:r>
        <w:rPr>
          <w:rFonts w:ascii="Arial" w:cs="Arial" w:eastAsia="Arial" w:hAnsi="Arial"/>
          <w:sz w:val="16"/>
          <w:szCs w:val="16"/>
          <w:color w:val="auto"/>
        </w:rPr>
        <w:t>7.3. Base Rent and Additional Rent shall together be denominated “</w:t>
      </w:r>
      <w:r>
        <w:rPr>
          <w:rFonts w:ascii="Arial" w:cs="Arial" w:eastAsia="Arial" w:hAnsi="Arial"/>
          <w:sz w:val="16"/>
          <w:szCs w:val="16"/>
          <w:u w:val="single" w:color="auto"/>
          <w:color w:val="auto"/>
        </w:rPr>
        <w:t>Rent</w:t>
      </w:r>
      <w:r>
        <w:rPr>
          <w:rFonts w:ascii="Arial" w:cs="Arial" w:eastAsia="Arial" w:hAnsi="Arial"/>
          <w:sz w:val="16"/>
          <w:szCs w:val="16"/>
          <w:color w:val="auto"/>
        </w:rPr>
        <w:t xml:space="preserve">.” Rent shall be paid to Landlord, without abatement, deduction or offset, in lawful money of the United States of America at the office of Landlord as set forth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to such other person or at such other place as Landlord may from time designate in writing. In the event the Term commences or ends on a day other than the first day of a calendar month, then the Rent for such fraction of a month shall be prorated for such period on the basis of the number of days in the month and shall be paid at the then-current rate for such fractional month.</w:t>
      </w:r>
    </w:p>
    <w:p>
      <w:pPr>
        <w:spacing w:after="0" w:line="131"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56" w:name="page157"/>
    <w:bookmarkEnd w:id="156"/>
    <w:p>
      <w:pPr>
        <w:jc w:val="both"/>
        <w:ind w:left="5" w:firstLine="567"/>
        <w:spacing w:after="0" w:line="250" w:lineRule="auto"/>
        <w:rPr>
          <w:sz w:val="20"/>
          <w:szCs w:val="20"/>
          <w:color w:val="auto"/>
        </w:rPr>
      </w:pPr>
      <w:r>
        <w:rPr>
          <w:rFonts w:ascii="Arial" w:cs="Arial" w:eastAsia="Arial" w:hAnsi="Arial"/>
          <w:sz w:val="16"/>
          <w:szCs w:val="16"/>
          <w:color w:val="auto"/>
        </w:rPr>
        <w:t xml:space="preserve">7.4. Tenant’s obligation to pay Rent shall not be discharged or otherwise affected by (a) any Applicable Laws now or hereafter applicable to the Premises, (b) any other restriction on Tenant’s use, (c) except as expressly provided herein, any casualty or taking or (d) any other occurrence; and Tenant waives all rights now or hereafter existing to terminate or cancel this Lease or quit or surrender the Premises or any part thereof, or to assert any defense in the nature of constructive eviction to any action seeking to recover rent. Tenant’s obligation to pay Rent with respect to any period or obligations arising, existing or pertaining to the period prior to the date of the expiration or earlier termination of the Term or this Lease shall survive any such expiration or earlier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nothing in this sentence shall in any way affect Tenant’s obligations with respect to any other period.</w:t>
      </w:r>
    </w:p>
    <w:p>
      <w:pPr>
        <w:spacing w:after="0" w:line="197" w:lineRule="exact"/>
        <w:rPr>
          <w:sz w:val="20"/>
          <w:szCs w:val="20"/>
          <w:color w:val="auto"/>
        </w:rPr>
      </w:pPr>
    </w:p>
    <w:p>
      <w:pPr>
        <w:ind w:left="505" w:hanging="505"/>
        <w:spacing w:after="0"/>
        <w:tabs>
          <w:tab w:leader="none" w:pos="505"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[Intentionally omitted.]</w:t>
      </w:r>
    </w:p>
    <w:p>
      <w:pPr>
        <w:spacing w:after="0" w:line="217" w:lineRule="exact"/>
        <w:rPr>
          <w:rFonts w:ascii="Arial" w:cs="Arial" w:eastAsia="Arial" w:hAnsi="Arial"/>
          <w:sz w:val="16"/>
          <w:szCs w:val="16"/>
          <w:color w:val="auto"/>
        </w:rPr>
      </w:pPr>
    </w:p>
    <w:p>
      <w:pPr>
        <w:ind w:left="525" w:hanging="525"/>
        <w:spacing w:after="0"/>
        <w:tabs>
          <w:tab w:leader="none" w:pos="52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8" w:lineRule="exact"/>
        <w:rPr>
          <w:sz w:val="20"/>
          <w:szCs w:val="20"/>
          <w:color w:val="auto"/>
        </w:rPr>
      </w:pPr>
    </w:p>
    <w:p>
      <w:pPr>
        <w:jc w:val="both"/>
        <w:ind w:left="5" w:firstLine="567"/>
        <w:spacing w:after="0" w:line="287" w:lineRule="auto"/>
        <w:rPr>
          <w:sz w:val="20"/>
          <w:szCs w:val="20"/>
          <w:color w:val="auto"/>
        </w:rPr>
      </w:pPr>
      <w:r>
        <w:rPr>
          <w:rFonts w:ascii="Arial" w:cs="Arial" w:eastAsia="Arial" w:hAnsi="Arial"/>
          <w:sz w:val="14"/>
          <w:szCs w:val="14"/>
          <w:color w:val="auto"/>
        </w:rPr>
        <w:t>9.1. Commencing on the Term Commencement Date and continuing for each calendar year or, at Landlord’s option, tax year (each such “tax year” being a period of twelve (12) consecutive calendar months for which the applicable taxing authority levies or assesses Taxes), for the balance of the Term Tenant shall pay to Landlord the amount of all Taxes levied and assessed for any such year upon the Premises. “</w:t>
      </w:r>
      <w:r>
        <w:rPr>
          <w:rFonts w:ascii="Arial" w:cs="Arial" w:eastAsia="Arial" w:hAnsi="Arial"/>
          <w:sz w:val="14"/>
          <w:szCs w:val="14"/>
          <w:u w:val="single" w:color="auto"/>
          <w:color w:val="auto"/>
        </w:rPr>
        <w:t>Taxes</w:t>
      </w:r>
      <w:r>
        <w:rPr>
          <w:rFonts w:ascii="Arial" w:cs="Arial" w:eastAsia="Arial" w:hAnsi="Arial"/>
          <w:sz w:val="14"/>
          <w:szCs w:val="14"/>
          <w:color w:val="auto"/>
        </w:rPr>
        <w:t>” means all government impositions, including property tax costs consisting of real and personal property taxes and assessments (including amounts due under any improvement bond upon the Premises or any portion thereof) or assessments in lieu thereof imposed by any federal, state, regional, local or municipal governmental authority, agency or subdivision (each, a “</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taxes on or measured by gross rentals received from the rental of space at the Premises; taxes based on the square footage of the Premises or any portion thereof, as well as any parking charges, utilities surcharges or any other costs levied, assessed or imposed by, or at the direction of, or resulting from Applicable Laws or interpretations thereof, promulgated by any Governmental Authority in connection with the use or occupancy of the Premises or the parking facilities serving the Premises; taxes on this transaction or any document to which Tenant is a party creating or transferring an interest in the Premises; any fee for a business license to operate an office building; and any expenses, including the reasonable cost of attorneys or experts, reasonably incurred by Landlord in seeking reduction by the taxing authority of the applicable taxes, less tax refunds obtained as a result of an application for review thereof. Taxes shall not include any net income, franchise, capital stock, estate or inheritance taxes or franchise fees, including fees payable by limited liability companies in California with respect to gross revenues.</w:t>
      </w:r>
    </w:p>
    <w:p>
      <w:pPr>
        <w:spacing w:after="0" w:line="175" w:lineRule="exact"/>
        <w:rPr>
          <w:sz w:val="20"/>
          <w:szCs w:val="20"/>
          <w:color w:val="auto"/>
        </w:rPr>
      </w:pPr>
    </w:p>
    <w:p>
      <w:pPr>
        <w:jc w:val="both"/>
        <w:ind w:left="5" w:right="20" w:firstLine="567"/>
        <w:spacing w:after="0" w:line="267" w:lineRule="auto"/>
        <w:rPr>
          <w:sz w:val="20"/>
          <w:szCs w:val="20"/>
          <w:color w:val="auto"/>
        </w:rPr>
      </w:pPr>
      <w:r>
        <w:rPr>
          <w:rFonts w:ascii="Arial" w:cs="Arial" w:eastAsia="Arial" w:hAnsi="Arial"/>
          <w:sz w:val="16"/>
          <w:szCs w:val="16"/>
          <w:color w:val="auto"/>
        </w:rPr>
        <w:t>9.2. Tenant shall be solely responsible for the payment of any and all taxes levied upon personal property and trade fixtures located at the Premises, and shall pay the same at least twenty (20) days prior to delinquency.</w:t>
      </w:r>
    </w:p>
    <w:p>
      <w:pPr>
        <w:spacing w:after="0" w:line="181" w:lineRule="exact"/>
        <w:rPr>
          <w:sz w:val="20"/>
          <w:szCs w:val="20"/>
          <w:color w:val="auto"/>
        </w:rPr>
      </w:pPr>
    </w:p>
    <w:p>
      <w:pPr>
        <w:ind w:left="565"/>
        <w:spacing w:after="0"/>
        <w:tabs>
          <w:tab w:leader="none" w:pos="1085"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5"/>
          <w:szCs w:val="15"/>
          <w:color w:val="auto"/>
        </w:rPr>
        <w:t>[Intentionally omitted.]</w:t>
      </w:r>
    </w:p>
    <w:p>
      <w:pPr>
        <w:spacing w:after="0" w:line="218" w:lineRule="exact"/>
        <w:rPr>
          <w:sz w:val="20"/>
          <w:szCs w:val="20"/>
          <w:color w:val="auto"/>
        </w:rPr>
      </w:pPr>
    </w:p>
    <w:p>
      <w:pPr>
        <w:jc w:val="both"/>
        <w:ind w:left="5" w:firstLine="567"/>
        <w:spacing w:after="0" w:line="276" w:lineRule="auto"/>
        <w:rPr>
          <w:sz w:val="20"/>
          <w:szCs w:val="20"/>
          <w:color w:val="auto"/>
        </w:rPr>
      </w:pPr>
      <w:r>
        <w:rPr>
          <w:rFonts w:ascii="Arial" w:cs="Arial" w:eastAsia="Arial" w:hAnsi="Arial"/>
          <w:sz w:val="15"/>
          <w:szCs w:val="15"/>
          <w:color w:val="auto"/>
        </w:rPr>
        <w:t xml:space="preserve">9.4. Tenant shall not be responsible for Taxes attributable to the time period prior to the Term Commencement Date;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if Tenant Substantially Completes the Tenant Improvements and occupies the Premises for the conduct of its business prior to the Term Commencement Date, Tenant shall be responsible for Taxes from such earlier date of possession. Tenant’s responsibility for Taxes shall continue to the latest of (a) the date of termination of the Lease, (b) the date Tenant has fully vacated the Premises and (c) if termination of the Lease is due to a default by Tenant, the date of rental commencement of a replacement tenant.</w:t>
      </w:r>
    </w:p>
    <w:p>
      <w:pPr>
        <w:spacing w:after="0" w:line="113"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57" w:name="page158"/>
    <w:bookmarkEnd w:id="157"/>
    <w:p>
      <w:pPr>
        <w:jc w:val="both"/>
        <w:ind w:left="5" w:right="20" w:firstLine="567"/>
        <w:spacing w:after="0" w:line="257" w:lineRule="auto"/>
        <w:rPr>
          <w:sz w:val="20"/>
          <w:szCs w:val="20"/>
          <w:color w:val="auto"/>
        </w:rPr>
      </w:pPr>
      <w:r>
        <w:rPr>
          <w:rFonts w:ascii="Arial" w:cs="Arial" w:eastAsia="Arial" w:hAnsi="Arial"/>
          <w:sz w:val="16"/>
          <w:szCs w:val="16"/>
          <w:color w:val="auto"/>
        </w:rPr>
        <w:t>9.5. Taxes for the calendar year in which Tenant’s obligation to share therein commences and for the calendar year in which such obligation ceases shall be prorated on the basis of the number of days of such year for which Tenant is obligated to pay Rent. Taxes that are incurred for an extended time period (a “</w:t>
      </w:r>
      <w:r>
        <w:rPr>
          <w:rFonts w:ascii="Arial" w:cs="Arial" w:eastAsia="Arial" w:hAnsi="Arial"/>
          <w:sz w:val="16"/>
          <w:szCs w:val="16"/>
          <w:u w:val="single" w:color="auto"/>
          <w:color w:val="auto"/>
        </w:rPr>
        <w:t>Tax Period</w:t>
      </w:r>
      <w:r>
        <w:rPr>
          <w:rFonts w:ascii="Arial" w:cs="Arial" w:eastAsia="Arial" w:hAnsi="Arial"/>
          <w:sz w:val="16"/>
          <w:szCs w:val="16"/>
          <w:color w:val="auto"/>
        </w:rPr>
        <w:t>”) shall be prorated to Tenant based upon the number of days of the Tax Period during which Tenant has an obligation to share in Taxes.</w:t>
      </w:r>
    </w:p>
    <w:p>
      <w:pPr>
        <w:spacing w:after="0" w:line="189" w:lineRule="exact"/>
        <w:rPr>
          <w:sz w:val="20"/>
          <w:szCs w:val="20"/>
          <w:color w:val="auto"/>
        </w:rPr>
      </w:pPr>
    </w:p>
    <w:p>
      <w:pPr>
        <w:jc w:val="both"/>
        <w:ind w:left="5" w:right="20" w:firstLine="567"/>
        <w:spacing w:after="0" w:line="301" w:lineRule="auto"/>
        <w:rPr>
          <w:sz w:val="20"/>
          <w:szCs w:val="20"/>
          <w:color w:val="auto"/>
        </w:rPr>
      </w:pPr>
      <w:r>
        <w:rPr>
          <w:rFonts w:ascii="Arial" w:cs="Arial" w:eastAsia="Arial" w:hAnsi="Arial"/>
          <w:sz w:val="14"/>
          <w:szCs w:val="14"/>
          <w:color w:val="auto"/>
        </w:rPr>
        <w:t xml:space="preserve">9.6. Within thirty (30) days after the end of each calendar month, Tenant shall submit to Landlord an invoice, or, in the event an invoice is not available, an itemized list, of all costs and expenses that (a) Tenant has incurred (either internally or by employing third parties) during the prior month and (b) for which Tenant reasonably believes it is entitled to reimbursements from Landlord pursuant to the terms of this Lease or that Tenant reasonably believes is the responsibility of Landlord pursuant to this Lease or the Work Letter; </w:t>
      </w:r>
      <w:r>
        <w:rPr>
          <w:rFonts w:ascii="Arial" w:cs="Arial" w:eastAsia="Arial" w:hAnsi="Arial"/>
          <w:sz w:val="14"/>
          <w:szCs w:val="14"/>
          <w:u w:val="single" w:color="auto"/>
          <w:color w:val="auto"/>
        </w:rPr>
        <w:t>provided</w:t>
      </w:r>
      <w:r>
        <w:rPr>
          <w:rFonts w:ascii="Arial" w:cs="Arial" w:eastAsia="Arial" w:hAnsi="Arial"/>
          <w:sz w:val="14"/>
          <w:szCs w:val="14"/>
          <w:color w:val="auto"/>
        </w:rPr>
        <w:t>, however, that this Section shall not supersede the procedures for invoicing expenses and requesting payment of the TI Allowance as set forth in the Work Letter.</w:t>
      </w:r>
    </w:p>
    <w:p>
      <w:pPr>
        <w:spacing w:after="0" w:line="161" w:lineRule="exact"/>
        <w:rPr>
          <w:sz w:val="20"/>
          <w:szCs w:val="20"/>
          <w:color w:val="auto"/>
        </w:rPr>
      </w:pPr>
    </w:p>
    <w:p>
      <w:pPr>
        <w:jc w:val="both"/>
        <w:ind w:left="5" w:right="20" w:firstLine="567"/>
        <w:spacing w:after="0" w:line="250" w:lineRule="auto"/>
        <w:rPr>
          <w:sz w:val="20"/>
          <w:szCs w:val="20"/>
          <w:color w:val="auto"/>
        </w:rPr>
      </w:pPr>
      <w:r>
        <w:rPr>
          <w:rFonts w:ascii="Arial" w:cs="Arial" w:eastAsia="Arial" w:hAnsi="Arial"/>
          <w:sz w:val="16"/>
          <w:szCs w:val="16"/>
          <w:color w:val="auto"/>
        </w:rPr>
        <w:t xml:space="preserve">9.7. During the first fifteen (15) months of the Term (and provided that Tenant is not then in default (beyond any applicable notice and cure periods) of any of its obligations under this Lease), Taxes shall be calculated such that the amount included for real property taxes and assessments levied against Landlord or the Building or the Property shall be an amount that is fifty percent (50%) of such actual amount;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any improvements in or alterations to the Premises (including the Tenant Improvements), whether owned by Landlord or Tenant and whether or not affixed to the real property so as to become a part thereof, are assessed for real property tax purposes at a valuation higher than the valuation of the improvements of the Building or the Property as of the Execution Date, then Tenant shall be responsible for one hundred percent (100%) of the taxes levied on such excess assessed valuation.</w:t>
      </w:r>
    </w:p>
    <w:p>
      <w:pPr>
        <w:spacing w:after="0" w:line="197" w:lineRule="exact"/>
        <w:rPr>
          <w:sz w:val="20"/>
          <w:szCs w:val="20"/>
          <w:color w:val="auto"/>
        </w:rPr>
      </w:pPr>
    </w:p>
    <w:p>
      <w:pPr>
        <w:jc w:val="both"/>
        <w:ind w:left="5" w:hanging="5"/>
        <w:spacing w:after="0" w:line="270" w:lineRule="auto"/>
        <w:tabs>
          <w:tab w:leader="none" w:pos="549" w:val="left"/>
        </w:tabs>
        <w:numPr>
          <w:ilvl w:val="0"/>
          <w:numId w:val="71"/>
        </w:numPr>
        <w:rPr>
          <w:rFonts w:ascii="Arial" w:cs="Arial" w:eastAsia="Arial" w:hAnsi="Arial"/>
          <w:sz w:val="15"/>
          <w:szCs w:val="15"/>
          <w:color w:val="auto"/>
        </w:rPr>
      </w:pPr>
      <w:r>
        <w:rPr>
          <w:rFonts w:ascii="Arial" w:cs="Arial" w:eastAsia="Arial" w:hAnsi="Arial"/>
          <w:sz w:val="15"/>
          <w:szCs w:val="15"/>
          <w:u w:val="single" w:color="auto"/>
          <w:color w:val="auto"/>
        </w:rPr>
        <w:t>Property Management Fee</w:t>
      </w:r>
      <w:r>
        <w:rPr>
          <w:rFonts w:ascii="Arial" w:cs="Arial" w:eastAsia="Arial" w:hAnsi="Arial"/>
          <w:sz w:val="15"/>
          <w:szCs w:val="15"/>
          <w:color w:val="auto"/>
        </w:rPr>
        <w:t>. Tenant shall pay to Landlord on the first day of each calendar month of the Term, as Additional Rent, the Property Management Fee (as defined below). The “</w:t>
      </w:r>
      <w:r>
        <w:rPr>
          <w:rFonts w:ascii="Arial" w:cs="Arial" w:eastAsia="Arial" w:hAnsi="Arial"/>
          <w:sz w:val="15"/>
          <w:szCs w:val="15"/>
          <w:u w:val="single" w:color="auto"/>
          <w:color w:val="auto"/>
        </w:rPr>
        <w:t>Property Management Fee</w:t>
      </w:r>
      <w:r>
        <w:rPr>
          <w:rFonts w:ascii="Arial" w:cs="Arial" w:eastAsia="Arial" w:hAnsi="Arial"/>
          <w:sz w:val="15"/>
          <w:szCs w:val="15"/>
          <w:color w:val="auto"/>
        </w:rPr>
        <w:t xml:space="preserve">” shall equal three percent (3%) of Base Rent due from Tenant. Tenant shall pay the Property Management Fee with respect to the entire Term, including any extensions thereof or any holdover periods, regardless of whether Tenant is obligated to pay Base Rent, Operating Expenses or any other Rent with respect to any such period or portion thereof. For purposes of clarity (and provided that Tenant is not then in default (beyond any applicable notice and cure periods) of any of its obligations under this Lease), during the first fifteen (15) months of the Term, the Property Management Fee shall be calculated based upon Tenant’s obligation to pay Base Rent based upon twenty-two thousand square feet of Rentable Area, as set forth in </w:t>
      </w:r>
      <w:r>
        <w:rPr>
          <w:rFonts w:ascii="Arial" w:cs="Arial" w:eastAsia="Arial" w:hAnsi="Arial"/>
          <w:sz w:val="15"/>
          <w:szCs w:val="15"/>
          <w:u w:val="single" w:color="auto"/>
          <w:color w:val="auto"/>
        </w:rPr>
        <w:t>Section 2.3</w:t>
      </w:r>
      <w:r>
        <w:rPr>
          <w:rFonts w:ascii="Arial" w:cs="Arial" w:eastAsia="Arial" w:hAnsi="Arial"/>
          <w:sz w:val="15"/>
          <w:szCs w:val="15"/>
          <w:color w:val="auto"/>
        </w:rPr>
        <w:t>.</w:t>
      </w:r>
    </w:p>
    <w:p>
      <w:pPr>
        <w:spacing w:after="0" w:line="120"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58" w:name="page159"/>
    <w:bookmarkEnd w:id="158"/>
    <w:p>
      <w:pPr>
        <w:ind w:left="505" w:hanging="505"/>
        <w:spacing w:after="0"/>
        <w:tabs>
          <w:tab w:leader="none" w:pos="505"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Security Deposit</w:t>
      </w:r>
      <w:r>
        <w:rPr>
          <w:rFonts w:ascii="Arial" w:cs="Arial" w:eastAsia="Arial" w:hAnsi="Arial"/>
          <w:sz w:val="16"/>
          <w:szCs w:val="16"/>
          <w:color w:val="auto"/>
        </w:rPr>
        <w:t>.</w:t>
      </w:r>
    </w:p>
    <w:p>
      <w:pPr>
        <w:spacing w:after="0" w:line="218" w:lineRule="exact"/>
        <w:rPr>
          <w:sz w:val="20"/>
          <w:szCs w:val="20"/>
          <w:color w:val="auto"/>
        </w:rPr>
      </w:pPr>
    </w:p>
    <w:p>
      <w:pPr>
        <w:jc w:val="both"/>
        <w:ind w:left="5" w:firstLine="567"/>
        <w:spacing w:after="0" w:line="267" w:lineRule="auto"/>
        <w:rPr>
          <w:sz w:val="20"/>
          <w:szCs w:val="20"/>
          <w:color w:val="auto"/>
        </w:rPr>
      </w:pPr>
      <w:r>
        <w:rPr>
          <w:rFonts w:ascii="Arial" w:cs="Arial" w:eastAsia="Arial" w:hAnsi="Arial"/>
          <w:sz w:val="15"/>
          <w:szCs w:val="15"/>
          <w:color w:val="auto"/>
        </w:rPr>
        <w:t xml:space="preserve">11.1. Tenant shall deposit with Landlord on or before the Execution Date the sum set forth in </w:t>
      </w:r>
      <w:r>
        <w:rPr>
          <w:rFonts w:ascii="Arial" w:cs="Arial" w:eastAsia="Arial" w:hAnsi="Arial"/>
          <w:sz w:val="15"/>
          <w:szCs w:val="15"/>
          <w:u w:val="single" w:color="auto"/>
          <w:color w:val="auto"/>
        </w:rPr>
        <w:t>Section 2.6</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Security Deposit</w:t>
      </w:r>
      <w:r>
        <w:rPr>
          <w:rFonts w:ascii="Arial" w:cs="Arial" w:eastAsia="Arial" w:hAnsi="Arial"/>
          <w:sz w:val="15"/>
          <w:szCs w:val="15"/>
          <w:color w:val="auto"/>
        </w:rPr>
        <w:t>”), which sum shall be held by Landlord as security for the faithful performance by Tenant of all of the terms, covenants and conditions of this Lease to be kept and performed by Tenant during the period commencing on the Execution Date and ending upon the expiration or termination of Tenant’s obligations under this Lease. If Tenant Defaults (as defined below) with respect to any provision of this Lease, including any provision relating to the payment of Rent, then Landlord may (but shall not be required to) use, apply or retain all or any part of the Security Deposit for the payment of any Rent or any other sum in default, or to compensate Landlord for any other loss or damage that Landlord may suffer by reason of Tenant’s default. If any portion of the Security Deposit is so used or applied, then Tenant shall, within ten (10) days following demand therefor, deposit cash with Landlord in an amount sufficient to restore the Security Deposit to its original amount, and Tenant’s failure to do so shall be a material breach of this Lease. The provisions of this Article shall survive the expiration or earlier termination of this Lease. TENANT HEREBY WAIVES THE REQUIREMENTS OF SECTION 1950.7 OF THE CALIFORNIA CIVIL CODE, AS THE SAME MAY BE AMENDED FROM TIME TO TIME.</w:t>
      </w:r>
    </w:p>
    <w:p>
      <w:pPr>
        <w:spacing w:after="0" w:line="187" w:lineRule="exact"/>
        <w:rPr>
          <w:sz w:val="20"/>
          <w:szCs w:val="20"/>
          <w:color w:val="auto"/>
        </w:rPr>
      </w:pPr>
    </w:p>
    <w:p>
      <w:pPr>
        <w:jc w:val="both"/>
        <w:ind w:left="5" w:right="20" w:firstLine="567"/>
        <w:spacing w:after="0" w:line="267" w:lineRule="auto"/>
        <w:rPr>
          <w:sz w:val="20"/>
          <w:szCs w:val="20"/>
          <w:color w:val="auto"/>
        </w:rPr>
      </w:pPr>
      <w:r>
        <w:rPr>
          <w:rFonts w:ascii="Arial" w:cs="Arial" w:eastAsia="Arial" w:hAnsi="Arial"/>
          <w:sz w:val="16"/>
          <w:szCs w:val="16"/>
          <w:color w:val="auto"/>
        </w:rPr>
        <w:t>11.2. In the event of bankruptcy or other debtor-creditor proceedings against Tenant, the Security Deposit shall be deemed to be applied first to the payment of Rent and other charges due Landlord for all periods prior to the filing of such proceedings.</w:t>
      </w:r>
    </w:p>
    <w:p>
      <w:pPr>
        <w:spacing w:after="0" w:line="181" w:lineRule="exact"/>
        <w:rPr>
          <w:sz w:val="20"/>
          <w:szCs w:val="20"/>
          <w:color w:val="auto"/>
        </w:rPr>
      </w:pPr>
    </w:p>
    <w:p>
      <w:pPr>
        <w:jc w:val="both"/>
        <w:ind w:left="5" w:right="20" w:firstLine="567"/>
        <w:spacing w:after="0" w:line="257" w:lineRule="auto"/>
        <w:rPr>
          <w:sz w:val="20"/>
          <w:szCs w:val="20"/>
          <w:color w:val="auto"/>
        </w:rPr>
      </w:pPr>
      <w:r>
        <w:rPr>
          <w:rFonts w:ascii="Arial" w:cs="Arial" w:eastAsia="Arial" w:hAnsi="Arial"/>
          <w:sz w:val="16"/>
          <w:szCs w:val="16"/>
          <w:color w:val="auto"/>
        </w:rPr>
        <w:t>11.3. Landlord may deliver to any purchaser of Landlord’s interest in the Premises the funds deposited hereunder by Tenant, and thereupon Landlord shall be discharged from any further liability with respect to such deposit. Landlord shall provide notice of such transfer to Tenant, which notice shall include the name and address of the transferee. This provision shall also apply to any subsequent transfers.</w:t>
      </w:r>
    </w:p>
    <w:p>
      <w:pPr>
        <w:spacing w:after="0" w:line="189" w:lineRule="exact"/>
        <w:rPr>
          <w:sz w:val="20"/>
          <w:szCs w:val="20"/>
          <w:color w:val="auto"/>
        </w:rPr>
      </w:pPr>
    </w:p>
    <w:p>
      <w:pPr>
        <w:jc w:val="both"/>
        <w:ind w:left="5" w:firstLine="567"/>
        <w:spacing w:after="0" w:line="301" w:lineRule="auto"/>
        <w:rPr>
          <w:sz w:val="20"/>
          <w:szCs w:val="20"/>
          <w:color w:val="auto"/>
        </w:rPr>
      </w:pPr>
      <w:r>
        <w:rPr>
          <w:rFonts w:ascii="Arial" w:cs="Arial" w:eastAsia="Arial" w:hAnsi="Arial"/>
          <w:sz w:val="15"/>
          <w:szCs w:val="15"/>
          <w:color w:val="auto"/>
        </w:rPr>
        <w:t>11.4. If Tenant shall fully and faithfully perform every provision of this Lease to be performed by it, then the Security Deposit, or any balance thereof, shall be returned to Tenant (or, at Landlord’s option, to the last assignee of Tenant’s interest hereunder) within thirty (30) days after the expiration or earlier termination of this Lease.</w:t>
      </w:r>
    </w:p>
    <w:p>
      <w:pPr>
        <w:spacing w:after="0" w:line="158" w:lineRule="exact"/>
        <w:rPr>
          <w:sz w:val="20"/>
          <w:szCs w:val="20"/>
          <w:color w:val="auto"/>
        </w:rPr>
      </w:pPr>
    </w:p>
    <w:p>
      <w:pPr>
        <w:ind w:left="565"/>
        <w:spacing w:after="0"/>
        <w:tabs>
          <w:tab w:leader="none" w:pos="1105"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5"/>
          <w:szCs w:val="15"/>
          <w:color w:val="auto"/>
        </w:rPr>
        <w:t>[Intentionally omitted.]</w:t>
      </w:r>
    </w:p>
    <w:p>
      <w:pPr>
        <w:spacing w:after="0" w:line="218" w:lineRule="exact"/>
        <w:rPr>
          <w:sz w:val="20"/>
          <w:szCs w:val="20"/>
          <w:color w:val="auto"/>
        </w:rPr>
      </w:pPr>
    </w:p>
    <w:p>
      <w:pPr>
        <w:jc w:val="both"/>
        <w:ind w:left="5" w:right="20" w:firstLine="567"/>
        <w:spacing w:after="0" w:line="253" w:lineRule="auto"/>
        <w:rPr>
          <w:sz w:val="20"/>
          <w:szCs w:val="20"/>
          <w:color w:val="auto"/>
        </w:rPr>
      </w:pPr>
      <w:r>
        <w:rPr>
          <w:rFonts w:ascii="Arial" w:cs="Arial" w:eastAsia="Arial" w:hAnsi="Arial"/>
          <w:sz w:val="16"/>
          <w:szCs w:val="16"/>
          <w:color w:val="auto"/>
        </w:rPr>
        <w:t xml:space="preserve">11.6. If the Security Deposit shall be in cash, Landlord shall hold the Security Deposit in an account at a banking organization selected by Landlord;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Landlord shall not be required to maintain a separate account for the Security Deposit, but may intermingle it with other funds of Landlord. Landlord shall be entitled to all interest and/or dividends, if any, accruing on the Security Deposit. Landlord shall not be required to credit Tenant with any interest for any period during which Landlord does not receive interest on the Security Deposit.</w:t>
      </w:r>
    </w:p>
    <w:p>
      <w:pPr>
        <w:spacing w:after="0" w:line="193" w:lineRule="exact"/>
        <w:rPr>
          <w:sz w:val="20"/>
          <w:szCs w:val="20"/>
          <w:color w:val="auto"/>
        </w:rPr>
      </w:pPr>
    </w:p>
    <w:p>
      <w:pPr>
        <w:jc w:val="both"/>
        <w:ind w:left="5" w:firstLine="567"/>
        <w:spacing w:after="0" w:line="301" w:lineRule="auto"/>
        <w:rPr>
          <w:sz w:val="20"/>
          <w:szCs w:val="20"/>
          <w:color w:val="auto"/>
        </w:rPr>
      </w:pPr>
      <w:r>
        <w:rPr>
          <w:rFonts w:ascii="Arial" w:cs="Arial" w:eastAsia="Arial" w:hAnsi="Arial"/>
          <w:sz w:val="15"/>
          <w:szCs w:val="15"/>
          <w:color w:val="auto"/>
        </w:rPr>
        <w:t>11.7. The Security Deposit may be in the form of cash, a letter of credit or any other security instrument acceptable to Landlord in its sole discretion. Tenant may at any time, except when Tenant is in Default (as defined below), deliver a letter of credit (the “</w:t>
      </w:r>
      <w:r>
        <w:rPr>
          <w:rFonts w:ascii="Arial" w:cs="Arial" w:eastAsia="Arial" w:hAnsi="Arial"/>
          <w:sz w:val="15"/>
          <w:szCs w:val="15"/>
          <w:u w:val="single" w:color="auto"/>
          <w:color w:val="auto"/>
        </w:rPr>
        <w:t>L/C Security</w:t>
      </w:r>
      <w:r>
        <w:rPr>
          <w:rFonts w:ascii="Arial" w:cs="Arial" w:eastAsia="Arial" w:hAnsi="Arial"/>
          <w:sz w:val="15"/>
          <w:szCs w:val="15"/>
          <w:color w:val="auto"/>
        </w:rPr>
        <w:t>”) as the entire Security Deposit, as follows:</w:t>
      </w:r>
    </w:p>
    <w:p>
      <w:pPr>
        <w:spacing w:after="0" w:line="96"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59" w:name="page160"/>
    <w:bookmarkEnd w:id="159"/>
    <w:p>
      <w:pPr>
        <w:jc w:val="both"/>
        <w:ind w:firstLine="1129"/>
        <w:spacing w:after="0" w:line="266" w:lineRule="auto"/>
        <w:tabs>
          <w:tab w:leader="none" w:pos="1575" w:val="left"/>
        </w:tabs>
        <w:numPr>
          <w:ilvl w:val="0"/>
          <w:numId w:val="73"/>
        </w:numPr>
        <w:rPr>
          <w:rFonts w:ascii="Arial" w:cs="Arial" w:eastAsia="Arial" w:hAnsi="Arial"/>
          <w:sz w:val="15"/>
          <w:szCs w:val="15"/>
          <w:color w:val="auto"/>
        </w:rPr>
      </w:pPr>
      <w:r>
        <w:rPr>
          <w:rFonts w:ascii="Arial" w:cs="Arial" w:eastAsia="Arial" w:hAnsi="Arial"/>
          <w:sz w:val="15"/>
          <w:szCs w:val="15"/>
          <w:color w:val="auto"/>
        </w:rPr>
        <w:t xml:space="preserve">If Tenant elects to deliver L/C Security, then Tenant shall provide Landlord, and maintain in full force and effect throughout the Term and until the date that is six (6) months after the then-current Term Expiration Date, a letter of credit in the form of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issued by an issuer reasonably satisfactory to Landlord, in the amount of the Security Deposit, with an initial term of at least one year. Landlord may require the L/C Security to be re-issued by a different issuer at any time during the Term if Landlord reasonably believes that the issuing bank of the L/C Security is or may soon become insolvent; provided, however, Landlord shall return the existing L/C Security to the existing issuer immediately upon receipt of the substitute L/C Security. If any issuer of the L/C Security shall become insolvent or placed into FDIC receivership, then Tenant shall immediately deliver to Landlord (without the requirement of notice from Landlord) substitute L/C Security issued by an issuer reasonably satisfactory to Landlord, and otherwise conforming to the requirements set forth in this Article. As used herein with respect to the issuer of the L/C Security, “insolvent” shall mean the determination of insolvency as made by such issuer’s primary bank regulator (</w:t>
      </w:r>
      <w:r>
        <w:rPr>
          <w:rFonts w:ascii="Arial" w:cs="Arial" w:eastAsia="Arial" w:hAnsi="Arial"/>
          <w:sz w:val="15"/>
          <w:szCs w:val="15"/>
          <w:i w:val="1"/>
          <w:iCs w:val="1"/>
          <w:color w:val="auto"/>
        </w:rPr>
        <w:t>i.e</w:t>
      </w:r>
      <w:r>
        <w:rPr>
          <w:rFonts w:ascii="Arial" w:cs="Arial" w:eastAsia="Arial" w:hAnsi="Arial"/>
          <w:sz w:val="15"/>
          <w:szCs w:val="15"/>
          <w:color w:val="auto"/>
        </w:rPr>
        <w:t>., the state bank supervisor for state chartered banks; the OCC or OTS, respectively, for federally chartered banks or thrifts; or the Federal Reserve for its member banks). If, at the Term Expiration Date, any Rent remains uncalculated or unpaid, then (i) Landlord shall with reasonable diligence complete any necessary calculations, (ii) Tenant shall extend the expiry date of such L/C Security from time to time as Landlord reasonably requires and (iii) in such extended period, Landlord shall not unreasonably refuse to consent to an appropriate reduction of the L/C Security. Tenant shall reimburse Landlord’s legal costs (as estimated by Landlord’s counsel) in handling Landlord’s acceptance of L/C Security or its replacement or extension.</w:t>
      </w:r>
    </w:p>
    <w:p>
      <w:pPr>
        <w:spacing w:after="0" w:line="187" w:lineRule="exact"/>
        <w:rPr>
          <w:rFonts w:ascii="Arial" w:cs="Arial" w:eastAsia="Arial" w:hAnsi="Arial"/>
          <w:sz w:val="15"/>
          <w:szCs w:val="15"/>
          <w:color w:val="auto"/>
        </w:rPr>
      </w:pPr>
    </w:p>
    <w:p>
      <w:pPr>
        <w:ind w:left="1640" w:hanging="511"/>
        <w:spacing w:after="0"/>
        <w:tabs>
          <w:tab w:leader="none" w:pos="16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If Tenant delivers to Landlord satisfactory L/C Security in place of the entire Security Deposit, Landlord shall remit to Tenant any cash Security Deposit</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Landlord previously held.</w:t>
      </w:r>
    </w:p>
    <w:p>
      <w:pPr>
        <w:spacing w:after="0" w:line="206" w:lineRule="exact"/>
        <w:rPr>
          <w:rFonts w:ascii="Arial" w:cs="Arial" w:eastAsia="Arial" w:hAnsi="Arial"/>
          <w:sz w:val="14"/>
          <w:szCs w:val="14"/>
          <w:color w:val="auto"/>
        </w:rPr>
      </w:pPr>
    </w:p>
    <w:p>
      <w:pPr>
        <w:jc w:val="both"/>
        <w:ind w:firstLine="1129"/>
        <w:spacing w:after="0" w:line="268" w:lineRule="auto"/>
        <w:tabs>
          <w:tab w:leader="none" w:pos="1575" w:val="left"/>
        </w:tabs>
        <w:numPr>
          <w:ilvl w:val="0"/>
          <w:numId w:val="73"/>
        </w:numPr>
        <w:rPr>
          <w:rFonts w:ascii="Arial" w:cs="Arial" w:eastAsia="Arial" w:hAnsi="Arial"/>
          <w:sz w:val="15"/>
          <w:szCs w:val="15"/>
          <w:color w:val="auto"/>
        </w:rPr>
      </w:pPr>
      <w:r>
        <w:rPr>
          <w:rFonts w:ascii="Arial" w:cs="Arial" w:eastAsia="Arial" w:hAnsi="Arial"/>
          <w:sz w:val="15"/>
          <w:szCs w:val="15"/>
          <w:color w:val="auto"/>
        </w:rPr>
        <w:t>Landlord may draw upon the L/C Security, and hold and apply the proceeds in the same manner and for the same purposes as the Security Deposit, if (i) an uncured Default (as defined below) exists, (ii) as of the date forty-five (45) days before any L/C Security expires (even if such scheduled expiry date is after the Term Expiration Date) Tenant has not delivered to Landlord an amendment or replacement for such L/C Security, reasonably satisfactory to Landlord, extending the expiry date to the earlier of (1) six (6) months after the then-current Term Expiration Date or (2) the date one year after the then-current expiry date of the L/C Security, (iii) the L/C Security provides for automatic renewals, Landlord asks the issuer to confirm the current L/C Security expiry date, and the issuer fails to do so within ten (10) business days, (iv) Tenant fails to pay (when and as Landlord reasonably requires) any bank charges for Landlord’s transfer of the L/C Security or (v) the issuer of the L/C Security ceases, or announces that it will cease, to maintain an office in the city where Landlord may present drafts under the L/C Security (and fails to permit drawing upon the L/C Security by overnight courier or facsimile). This Section does not limit any other provisions of this Lease allowing Landlord to draw the L/C Security under specified circumstances.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60" w:name="page161"/>
    <w:bookmarkEnd w:id="160"/>
    <w:p>
      <w:pPr>
        <w:jc w:val="both"/>
        <w:ind w:left="5" w:firstLine="1129"/>
        <w:spacing w:after="0" w:line="251" w:lineRule="auto"/>
        <w:tabs>
          <w:tab w:leader="none" w:pos="1566" w:val="left"/>
        </w:tabs>
        <w:numPr>
          <w:ilvl w:val="1"/>
          <w:numId w:val="74"/>
        </w:numPr>
        <w:rPr>
          <w:rFonts w:ascii="Arial" w:cs="Arial" w:eastAsia="Arial" w:hAnsi="Arial"/>
          <w:sz w:val="16"/>
          <w:szCs w:val="16"/>
          <w:color w:val="auto"/>
        </w:rPr>
      </w:pPr>
      <w:r>
        <w:rPr>
          <w:rFonts w:ascii="Arial" w:cs="Arial" w:eastAsia="Arial" w:hAnsi="Arial"/>
          <w:sz w:val="16"/>
          <w:szCs w:val="16"/>
          <w:color w:val="auto"/>
        </w:rPr>
        <w:t>Tenant shall not seek to enjoin, prevent, or otherwise interfere with Landlord’s draw under L/C Security, even if it violates this Lease. Tenant acknowledges that the only effect of a wrongful draw would be to substitute a cash Security Deposit for L/C Security, causing Tenant no legally recognizable damage. Landlord shall hold the proceeds of any draw in the same manner and for the same purposes as a cash Security Deposit. In the event of a wrongful draw, the parties shall cooperate to allow Tenant to post replacement L/C Security simultaneously with the return to Tenant of the wrongfully drawn sums, and Landlord shall upon request confirm in writing to the issuer of the L/C Security that Landlord’s draw was erroneous.</w:t>
      </w:r>
    </w:p>
    <w:p>
      <w:pPr>
        <w:spacing w:after="0" w:line="195" w:lineRule="exact"/>
        <w:rPr>
          <w:rFonts w:ascii="Arial" w:cs="Arial" w:eastAsia="Arial" w:hAnsi="Arial"/>
          <w:sz w:val="16"/>
          <w:szCs w:val="16"/>
          <w:color w:val="auto"/>
        </w:rPr>
      </w:pPr>
    </w:p>
    <w:p>
      <w:pPr>
        <w:jc w:val="both"/>
        <w:ind w:left="5" w:right="20" w:firstLine="1129"/>
        <w:spacing w:after="0" w:line="311" w:lineRule="auto"/>
        <w:tabs>
          <w:tab w:leader="none" w:pos="1557" w:val="left"/>
        </w:tabs>
        <w:numPr>
          <w:ilvl w:val="1"/>
          <w:numId w:val="74"/>
        </w:numPr>
        <w:rPr>
          <w:rFonts w:ascii="Arial" w:cs="Arial" w:eastAsia="Arial" w:hAnsi="Arial"/>
          <w:sz w:val="14"/>
          <w:szCs w:val="14"/>
          <w:color w:val="auto"/>
        </w:rPr>
      </w:pPr>
      <w:r>
        <w:rPr>
          <w:rFonts w:ascii="Arial" w:cs="Arial" w:eastAsia="Arial" w:hAnsi="Arial"/>
          <w:sz w:val="14"/>
          <w:szCs w:val="14"/>
          <w:color w:val="auto"/>
        </w:rPr>
        <w:t>If Landlord transfers its interest in the Premises, then Tenant shall at Tenant’s expense, within five (5) business days after receiving a request from Landlord, deliver (and, if the issuer requires, Landlord shall consent to) an amendment to the L/C Security naming Landlord’s grantee as substitute beneficiary. If the required Security Deposit changes while L/C Security is in force, then Tenant shall deliver (and, if the issuer requires, Landlord shall consent to) a corresponding amendment to the L/C Security.</w:t>
      </w:r>
    </w:p>
    <w:p>
      <w:pPr>
        <w:spacing w:after="0" w:line="154" w:lineRule="exact"/>
        <w:rPr>
          <w:rFonts w:ascii="Arial" w:cs="Arial" w:eastAsia="Arial" w:hAnsi="Arial"/>
          <w:sz w:val="14"/>
          <w:szCs w:val="14"/>
          <w:color w:val="auto"/>
        </w:rPr>
      </w:pPr>
    </w:p>
    <w:p>
      <w:pPr>
        <w:ind w:left="545" w:hanging="545"/>
        <w:spacing w:after="0"/>
        <w:tabs>
          <w:tab w:leader="none" w:pos="54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Use</w:t>
      </w:r>
      <w:r>
        <w:rPr>
          <w:rFonts w:ascii="Arial" w:cs="Arial" w:eastAsia="Arial" w:hAnsi="Arial"/>
          <w:sz w:val="16"/>
          <w:szCs w:val="16"/>
          <w:color w:val="auto"/>
        </w:rPr>
        <w:t>.</w:t>
      </w:r>
    </w:p>
    <w:p>
      <w:pPr>
        <w:spacing w:after="0" w:line="218" w:lineRule="exact"/>
        <w:rPr>
          <w:sz w:val="20"/>
          <w:szCs w:val="20"/>
          <w:color w:val="auto"/>
        </w:rPr>
      </w:pPr>
    </w:p>
    <w:p>
      <w:pPr>
        <w:jc w:val="both"/>
        <w:ind w:left="5" w:right="20" w:firstLine="567"/>
        <w:spacing w:after="0" w:line="267" w:lineRule="auto"/>
        <w:rPr>
          <w:sz w:val="20"/>
          <w:szCs w:val="20"/>
          <w:color w:val="auto"/>
        </w:rPr>
      </w:pPr>
      <w:r>
        <w:rPr>
          <w:rFonts w:ascii="Arial" w:cs="Arial" w:eastAsia="Arial" w:hAnsi="Arial"/>
          <w:sz w:val="16"/>
          <w:szCs w:val="16"/>
          <w:color w:val="auto"/>
        </w:rPr>
        <w:t>12.1. Tenant shall use the Premises for the Permitted Use, and shall not use the Premises, or permit or suffer the Premises to be used, for any other purpose without Landlord’s prior written consent, which consent Landlord may withhold in its sole and absolute discretion.</w:t>
      </w:r>
    </w:p>
    <w:p>
      <w:pPr>
        <w:spacing w:after="0" w:line="181" w:lineRule="exact"/>
        <w:rPr>
          <w:sz w:val="20"/>
          <w:szCs w:val="20"/>
          <w:color w:val="auto"/>
        </w:rPr>
      </w:pPr>
    </w:p>
    <w:p>
      <w:pPr>
        <w:jc w:val="both"/>
        <w:ind w:left="5" w:firstLine="567"/>
        <w:spacing w:after="0" w:line="272" w:lineRule="auto"/>
        <w:rPr>
          <w:sz w:val="20"/>
          <w:szCs w:val="20"/>
          <w:color w:val="auto"/>
        </w:rPr>
      </w:pPr>
      <w:r>
        <w:rPr>
          <w:rFonts w:ascii="Arial" w:cs="Arial" w:eastAsia="Arial" w:hAnsi="Arial"/>
          <w:sz w:val="15"/>
          <w:szCs w:val="15"/>
          <w:color w:val="auto"/>
        </w:rPr>
        <w:t>12.2. Tenant shall not use or occupy the Premises in violation of Applicable Laws; zoning ordinances; or the certificate of occupancy issued for the Premises or any portion thereof, and shall, upon five (5) days’ written notice from Landlord, discontinue any use of the Premises that is declared by any Governmental Authority having jurisdiction to be a violation of any of the above. Tenant shall comply with any direction of any Governmental Authority having jurisdiction that shall, by reason of the nature of Tenant’s use or occupancy of the Premises, impose any duty upon Tenant or Landlord with respect to the Premises or with respect to the use or occupation thereof. Nothing in this Section shall limit any of Landlord’s other rights or remedies under this Lease, under Applicable Laws or in equity.</w:t>
      </w:r>
    </w:p>
    <w:p>
      <w:pPr>
        <w:spacing w:after="0" w:line="181" w:lineRule="exact"/>
        <w:rPr>
          <w:sz w:val="20"/>
          <w:szCs w:val="20"/>
          <w:color w:val="auto"/>
        </w:rPr>
      </w:pPr>
    </w:p>
    <w:p>
      <w:pPr>
        <w:jc w:val="both"/>
        <w:ind w:left="5" w:firstLine="567"/>
        <w:spacing w:after="0" w:line="282" w:lineRule="auto"/>
        <w:rPr>
          <w:sz w:val="20"/>
          <w:szCs w:val="20"/>
          <w:color w:val="auto"/>
        </w:rPr>
      </w:pPr>
      <w:r>
        <w:rPr>
          <w:rFonts w:ascii="Arial" w:cs="Arial" w:eastAsia="Arial" w:hAnsi="Arial"/>
          <w:sz w:val="15"/>
          <w:szCs w:val="15"/>
          <w:color w:val="auto"/>
        </w:rPr>
        <w:t>12.3. Tenant shall not do or permit to be done anything that will invalidate any fire, environmental, extended coverage or any other insurance policy covering the Premises or any portion thereof, and shall comply with all rules, orders, regulations and requirements of the insurers of the Premises or any portion thereof, and Tenant shall promptly, upon demand, reimburse Landlord for any additional premium charged for such policy by reason of Tenant’s failure to comply with the provisions of this Article.</w:t>
      </w:r>
    </w:p>
    <w:p>
      <w:pPr>
        <w:spacing w:after="0" w:line="172" w:lineRule="exact"/>
        <w:rPr>
          <w:sz w:val="20"/>
          <w:szCs w:val="20"/>
          <w:color w:val="auto"/>
        </w:rPr>
      </w:pPr>
    </w:p>
    <w:p>
      <w:pPr>
        <w:jc w:val="both"/>
        <w:ind w:left="5" w:firstLine="567"/>
        <w:spacing w:after="0" w:line="267" w:lineRule="auto"/>
        <w:rPr>
          <w:sz w:val="20"/>
          <w:szCs w:val="20"/>
          <w:color w:val="auto"/>
        </w:rPr>
      </w:pPr>
      <w:r>
        <w:rPr>
          <w:rFonts w:ascii="Arial" w:cs="Arial" w:eastAsia="Arial" w:hAnsi="Arial"/>
          <w:sz w:val="16"/>
          <w:szCs w:val="16"/>
          <w:color w:val="auto"/>
        </w:rPr>
        <w:t>12.4. Tenant shall keep all doors opening onto public corridors closed, except when in use for ingress and egress, to the extent required in order to comply with Applicable Laws, including the applicable fire code.</w:t>
      </w:r>
    </w:p>
    <w:p>
      <w:pPr>
        <w:spacing w:after="0" w:line="181" w:lineRule="exact"/>
        <w:rPr>
          <w:sz w:val="20"/>
          <w:szCs w:val="20"/>
          <w:color w:val="auto"/>
        </w:rPr>
      </w:pPr>
    </w:p>
    <w:p>
      <w:pPr>
        <w:jc w:val="both"/>
        <w:ind w:left="5" w:firstLine="567"/>
        <w:spacing w:after="0" w:line="253" w:lineRule="auto"/>
        <w:rPr>
          <w:sz w:val="20"/>
          <w:szCs w:val="20"/>
          <w:color w:val="auto"/>
        </w:rPr>
      </w:pPr>
      <w:r>
        <w:rPr>
          <w:rFonts w:ascii="Arial" w:cs="Arial" w:eastAsia="Arial" w:hAnsi="Arial"/>
          <w:sz w:val="16"/>
          <w:szCs w:val="16"/>
          <w:color w:val="auto"/>
        </w:rPr>
        <w:t>12.5. No additional locks or bolts of any kind shall be placed upon any of the doors or windows by Tenant, nor shall any changes be made to existing exterior locks or the mechanisms thereof without Landlord’s prior written consent. Tenant shall, upon termination of this Lease, return to Landlord all keys to the Building (interior and exterior) either furnished to or otherwise procured by Tenant. In the event any key so furnished to Tenant is lost, Tenant shall pay to Landlord the cost of replacing the same or of changing the lock or locks opened by such lost key if Landlord shall deem it necessary to make such change.</w:t>
      </w:r>
    </w:p>
    <w:p>
      <w:pPr>
        <w:spacing w:after="0" w:line="343"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61" w:name="page162"/>
    <w:bookmarkEnd w:id="161"/>
    <w:p>
      <w:pPr>
        <w:jc w:val="both"/>
        <w:ind w:firstLine="567"/>
        <w:spacing w:after="0" w:line="272" w:lineRule="auto"/>
        <w:rPr>
          <w:sz w:val="20"/>
          <w:szCs w:val="20"/>
          <w:color w:val="auto"/>
        </w:rPr>
      </w:pPr>
      <w:r>
        <w:rPr>
          <w:rFonts w:ascii="Arial" w:cs="Arial" w:eastAsia="Arial" w:hAnsi="Arial"/>
          <w:sz w:val="15"/>
          <w:szCs w:val="15"/>
          <w:color w:val="auto"/>
        </w:rPr>
        <w:t>12.6. No awnings or other projections shall be attached to any outside wall of the Building. No curtains, blinds, shades or screens shall be attached to or hung in, or used in connection with, any window or door of the Premises, other than Landlord’s standard window coverings, without Landlord’s prior written approval, which will not be unreasonably withheld, conditioned or delayed. Neither the interior nor exterior of any windows shall be coated with any sunscreen material without Landlord’s prior written consent, nor shall any bottles, parcels or other articles be placed on the windowsills. No equipment, furniture or other items of personal property shall be placed on any exterior balcony without Landlord’s prior written consent, which will not be unreasonably withheld, conditioned or delayed.</w:t>
      </w:r>
    </w:p>
    <w:p>
      <w:pPr>
        <w:spacing w:after="0" w:line="157" w:lineRule="exact"/>
        <w:rPr>
          <w:sz w:val="20"/>
          <w:szCs w:val="20"/>
          <w:color w:val="auto"/>
        </w:rPr>
      </w:pPr>
    </w:p>
    <w:p>
      <w:pPr>
        <w:jc w:val="both"/>
        <w:ind w:firstLine="567"/>
        <w:spacing w:after="0" w:line="296" w:lineRule="auto"/>
        <w:rPr>
          <w:sz w:val="20"/>
          <w:szCs w:val="20"/>
          <w:color w:val="auto"/>
        </w:rPr>
      </w:pPr>
      <w:r>
        <w:rPr>
          <w:rFonts w:ascii="Arial" w:cs="Arial" w:eastAsia="Arial" w:hAnsi="Arial"/>
          <w:sz w:val="14"/>
          <w:szCs w:val="14"/>
          <w:color w:val="auto"/>
        </w:rPr>
        <w:t>12.7. No sign, advertisement or notice (“</w:t>
      </w:r>
      <w:r>
        <w:rPr>
          <w:rFonts w:ascii="Arial" w:cs="Arial" w:eastAsia="Arial" w:hAnsi="Arial"/>
          <w:sz w:val="14"/>
          <w:szCs w:val="14"/>
          <w:u w:val="single" w:color="auto"/>
          <w:color w:val="auto"/>
        </w:rPr>
        <w:t>Signage</w:t>
      </w:r>
      <w:r>
        <w:rPr>
          <w:rFonts w:ascii="Arial" w:cs="Arial" w:eastAsia="Arial" w:hAnsi="Arial"/>
          <w:sz w:val="14"/>
          <w:szCs w:val="14"/>
          <w:color w:val="auto"/>
        </w:rPr>
        <w:t>”) shall be exhibited, painted or affixed by Tenant on any exterior part of the Premises without Landlord’s prior written consent, which will not be unreasonably withheld, conditioned or delayed. Signage shall conform to Landlord’s design criteria. For any Signage, Tenant shall, at Tenant’s own cost and expense, (a) acquire all permits for such Signage in compliance with Applicable Laws and (b) design, fabricate, install and maintain such Signage in a first-class condition. Tenant shall be responsible for reimbursing Landlord for costs incurred by Landlord in removing any of Tenant’s Signage upon the expiration or earlier termination of the Lease. At Landlord’s option, Landlord may install any such Signage, and Tenant shall pay all costs associated with such installation within thirty (30) days after demand therefor.</w:t>
      </w:r>
    </w:p>
    <w:p>
      <w:pPr>
        <w:spacing w:after="0" w:line="142" w:lineRule="exact"/>
        <w:rPr>
          <w:sz w:val="20"/>
          <w:szCs w:val="20"/>
          <w:color w:val="auto"/>
        </w:rPr>
      </w:pPr>
    </w:p>
    <w:p>
      <w:pPr>
        <w:jc w:val="both"/>
        <w:ind w:firstLine="567"/>
        <w:spacing w:after="0" w:line="267" w:lineRule="auto"/>
        <w:rPr>
          <w:sz w:val="20"/>
          <w:szCs w:val="20"/>
          <w:color w:val="auto"/>
        </w:rPr>
      </w:pPr>
      <w:r>
        <w:rPr>
          <w:rFonts w:ascii="Arial" w:cs="Arial" w:eastAsia="Arial" w:hAnsi="Arial"/>
          <w:sz w:val="16"/>
          <w:szCs w:val="16"/>
          <w:color w:val="auto"/>
        </w:rPr>
        <w:t>12.8. Tenant may only place equipment within the Premises with floor loading consistent with the Building’s structural design unless Tenant obtains Landlord’s prior written approval. Tenant may place such equipment only in a location designed to carry the weight of such equipment.</w:t>
      </w:r>
    </w:p>
    <w:p>
      <w:pPr>
        <w:spacing w:after="0" w:line="181"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6"/>
          <w:szCs w:val="16"/>
          <w:color w:val="auto"/>
        </w:rPr>
        <w:t>12.9.</w:t>
      </w:r>
      <w:r>
        <w:rPr>
          <w:sz w:val="20"/>
          <w:szCs w:val="20"/>
          <w:color w:val="auto"/>
        </w:rPr>
        <w:tab/>
      </w:r>
      <w:r>
        <w:rPr>
          <w:rFonts w:ascii="Arial" w:cs="Arial" w:eastAsia="Arial" w:hAnsi="Arial"/>
          <w:sz w:val="14"/>
          <w:szCs w:val="14"/>
          <w:color w:val="auto"/>
        </w:rPr>
        <w:t>Tenant shall not (a) use or allow the Premises to be used for unlawful purposes or (b) cause, maintain or permit any nuisance or waste in, on or about the Premises.</w:t>
      </w:r>
    </w:p>
    <w:p>
      <w:pPr>
        <w:spacing w:after="0" w:line="218" w:lineRule="exact"/>
        <w:rPr>
          <w:sz w:val="20"/>
          <w:szCs w:val="20"/>
          <w:color w:val="auto"/>
        </w:rPr>
      </w:pPr>
    </w:p>
    <w:p>
      <w:pPr>
        <w:jc w:val="both"/>
        <w:ind w:right="20" w:firstLine="567"/>
        <w:spacing w:after="0" w:line="267" w:lineRule="auto"/>
        <w:rPr>
          <w:sz w:val="20"/>
          <w:szCs w:val="20"/>
          <w:color w:val="auto"/>
        </w:rPr>
      </w:pPr>
      <w:r>
        <w:rPr>
          <w:rFonts w:ascii="Arial" w:cs="Arial" w:eastAsia="Arial" w:hAnsi="Arial"/>
          <w:sz w:val="15"/>
          <w:szCs w:val="15"/>
          <w:color w:val="auto"/>
        </w:rPr>
        <w:t>12.10. Notwithstanding any other provision herein to the contrary, Tenant shall be responsible for all liabilities, costs and expenses arising out of or in connection with the compliance of the Premises with the Americans with Disabilities Act, 42 U.S.C. § 12101, et seq., and any state and local accessibility laws, codes, ordinances and rules (collectively, and together with regulations promulgated pursuant thereto, the “</w:t>
      </w:r>
      <w:r>
        <w:rPr>
          <w:rFonts w:ascii="Arial" w:cs="Arial" w:eastAsia="Arial" w:hAnsi="Arial"/>
          <w:sz w:val="15"/>
          <w:szCs w:val="15"/>
          <w:u w:val="single" w:color="auto"/>
          <w:color w:val="auto"/>
        </w:rPr>
        <w:t>ADA</w:t>
      </w:r>
      <w:r>
        <w:rPr>
          <w:rFonts w:ascii="Arial" w:cs="Arial" w:eastAsia="Arial" w:hAnsi="Arial"/>
          <w:sz w:val="15"/>
          <w:szCs w:val="15"/>
          <w:color w:val="auto"/>
        </w:rPr>
        <w:t>”), and Tenant shall indemnify, save, defend (at Landlord’s option and with counsel reasonably acceptable to Landlord) and hold Landlord and its affiliates, employees, agents and contractors; and any lender, mortgagee or beneficiary (each, a “</w:t>
      </w:r>
      <w:r>
        <w:rPr>
          <w:rFonts w:ascii="Arial" w:cs="Arial" w:eastAsia="Arial" w:hAnsi="Arial"/>
          <w:sz w:val="15"/>
          <w:szCs w:val="15"/>
          <w:u w:val="single" w:color="auto"/>
          <w:color w:val="auto"/>
        </w:rPr>
        <w:t>Lender</w:t>
      </w:r>
      <w:r>
        <w:rPr>
          <w:rFonts w:ascii="Arial" w:cs="Arial" w:eastAsia="Arial" w:hAnsi="Arial"/>
          <w:sz w:val="15"/>
          <w:szCs w:val="15"/>
          <w:color w:val="auto"/>
        </w:rPr>
        <w:t>” and, collectively with Landlord and its affiliates, employees, agents and contractors, the “</w:t>
      </w:r>
      <w:r>
        <w:rPr>
          <w:rFonts w:ascii="Arial" w:cs="Arial" w:eastAsia="Arial" w:hAnsi="Arial"/>
          <w:sz w:val="15"/>
          <w:szCs w:val="15"/>
          <w:u w:val="single" w:color="auto"/>
          <w:color w:val="auto"/>
        </w:rPr>
        <w:t>Landlord Indemnitees</w:t>
      </w:r>
      <w:r>
        <w:rPr>
          <w:rFonts w:ascii="Arial" w:cs="Arial" w:eastAsia="Arial" w:hAnsi="Arial"/>
          <w:sz w:val="15"/>
          <w:szCs w:val="15"/>
          <w:color w:val="auto"/>
        </w:rPr>
        <w:t>”) harmless from and against any demands, claims, liabilities, losses, costs, expenses, actions, causes of action, damages, suits or judgments, and all reasonable expenses (including reasonable attorneys’ fees, charges and disbursements, regardless of whether the applicable demand, claim, action, cause of action or suit is voluntarily withdrawn or dismissed) incurred in investigating or resisting the same (collectively, “</w:t>
      </w:r>
      <w:r>
        <w:rPr>
          <w:rFonts w:ascii="Arial" w:cs="Arial" w:eastAsia="Arial" w:hAnsi="Arial"/>
          <w:sz w:val="15"/>
          <w:szCs w:val="15"/>
          <w:u w:val="single" w:color="auto"/>
          <w:color w:val="auto"/>
        </w:rPr>
        <w:t>Claims</w:t>
      </w:r>
      <w:r>
        <w:rPr>
          <w:rFonts w:ascii="Arial" w:cs="Arial" w:eastAsia="Arial" w:hAnsi="Arial"/>
          <w:sz w:val="15"/>
          <w:szCs w:val="15"/>
          <w:color w:val="auto"/>
        </w:rPr>
        <w:t>”) arising out of any such failure of the Premises to comply with the ADA. The Premises have not undergone inspection by a Certified Access Specialist (as defined in California Civil Code Section 55.52). The provisions of this Section shall survive the expiration or earlier termination of this Lease.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62" w:name="page163"/>
    <w:bookmarkEnd w:id="162"/>
    <w:p>
      <w:pPr>
        <w:ind w:left="525" w:hanging="525"/>
        <w:spacing w:after="0"/>
        <w:tabs>
          <w:tab w:leader="none" w:pos="52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Rules and Regulations, CC&amp;Rs and Parking Facilities</w:t>
      </w:r>
      <w:r>
        <w:rPr>
          <w:rFonts w:ascii="Arial" w:cs="Arial" w:eastAsia="Arial" w:hAnsi="Arial"/>
          <w:sz w:val="16"/>
          <w:szCs w:val="16"/>
          <w:color w:val="auto"/>
        </w:rPr>
        <w:t>.</w:t>
      </w:r>
    </w:p>
    <w:p>
      <w:pPr>
        <w:spacing w:after="0" w:line="194" w:lineRule="exact"/>
        <w:rPr>
          <w:sz w:val="20"/>
          <w:szCs w:val="20"/>
          <w:color w:val="auto"/>
        </w:rPr>
      </w:pPr>
    </w:p>
    <w:p>
      <w:pPr>
        <w:jc w:val="both"/>
        <w:ind w:left="5" w:right="20" w:firstLine="567"/>
        <w:spacing w:after="0" w:line="296" w:lineRule="auto"/>
        <w:rPr>
          <w:sz w:val="20"/>
          <w:szCs w:val="20"/>
          <w:color w:val="auto"/>
        </w:rPr>
      </w:pPr>
      <w:r>
        <w:rPr>
          <w:rFonts w:ascii="Arial" w:cs="Arial" w:eastAsia="Arial" w:hAnsi="Arial"/>
          <w:sz w:val="14"/>
          <w:szCs w:val="14"/>
          <w:color w:val="auto"/>
        </w:rPr>
        <w:t xml:space="preserve">13.1. Tenant shall faithfully observe and comply with the rules and regulations adopted by Landlord and attached hereto as </w:t>
      </w:r>
      <w:r>
        <w:rPr>
          <w:rFonts w:ascii="Arial" w:cs="Arial" w:eastAsia="Arial" w:hAnsi="Arial"/>
          <w:sz w:val="14"/>
          <w:szCs w:val="14"/>
          <w:u w:val="single" w:color="auto"/>
          <w:color w:val="auto"/>
        </w:rPr>
        <w:t>Exhibit F</w:t>
      </w:r>
      <w:r>
        <w:rPr>
          <w:rFonts w:ascii="Arial" w:cs="Arial" w:eastAsia="Arial" w:hAnsi="Arial"/>
          <w:sz w:val="14"/>
          <w:szCs w:val="14"/>
          <w:color w:val="auto"/>
        </w:rPr>
        <w:t>, together with such other reasonable and nondiscriminatory rules and regulations as are hereafter promulgated by Landlord as necessary, in Landlord’s judgment, for safety and security, the care and cleanliness of the Premises, or the preservation of good order therein (the “</w:t>
      </w:r>
      <w:r>
        <w:rPr>
          <w:rFonts w:ascii="Arial" w:cs="Arial" w:eastAsia="Arial" w:hAnsi="Arial"/>
          <w:sz w:val="14"/>
          <w:szCs w:val="14"/>
          <w:u w:val="single" w:color="auto"/>
          <w:color w:val="auto"/>
        </w:rPr>
        <w:t>Rules and Regulations</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Tenant shall not be obligated to adhere to such additional rules or regulations until Landlord has provided Tenant with written notice thereof; </w:t>
      </w:r>
      <w:r>
        <w:rPr>
          <w:rFonts w:ascii="Arial" w:cs="Arial" w:eastAsia="Arial" w:hAnsi="Arial"/>
          <w:sz w:val="14"/>
          <w:szCs w:val="14"/>
          <w:u w:val="single" w:color="auto"/>
          <w:color w:val="auto"/>
        </w:rPr>
        <w:t>provided</w:t>
      </w:r>
      <w:r>
        <w:rPr>
          <w:rFonts w:ascii="Arial" w:cs="Arial" w:eastAsia="Arial" w:hAnsi="Arial"/>
          <w:sz w:val="14"/>
          <w:szCs w:val="14"/>
          <w:color w:val="auto"/>
        </w:rPr>
        <w:t>, further, that no such additional rule or regulation shall (a) impose upon Tenant any financial obligation materially greater than those in this Lease or (b) materially adversely affect Tenant’s beneficial use of the Premises for the Permitted Use.</w:t>
      </w:r>
    </w:p>
    <w:p>
      <w:pPr>
        <w:spacing w:after="0" w:line="165" w:lineRule="exact"/>
        <w:rPr>
          <w:sz w:val="20"/>
          <w:szCs w:val="20"/>
          <w:color w:val="auto"/>
        </w:rPr>
      </w:pPr>
    </w:p>
    <w:p>
      <w:pPr>
        <w:jc w:val="both"/>
        <w:ind w:left="5" w:firstLine="567"/>
        <w:spacing w:after="0" w:line="276" w:lineRule="auto"/>
        <w:rPr>
          <w:sz w:val="20"/>
          <w:szCs w:val="20"/>
          <w:color w:val="auto"/>
        </w:rPr>
      </w:pPr>
      <w:r>
        <w:rPr>
          <w:rFonts w:ascii="Arial" w:cs="Arial" w:eastAsia="Arial" w:hAnsi="Arial"/>
          <w:sz w:val="15"/>
          <w:szCs w:val="15"/>
          <w:color w:val="auto"/>
        </w:rPr>
        <w:t>13.2. This Lease is subject to any recorded covenants, conditions or restrictions on the Property or Premises (the “</w:t>
      </w:r>
      <w:r>
        <w:rPr>
          <w:rFonts w:ascii="Arial" w:cs="Arial" w:eastAsia="Arial" w:hAnsi="Arial"/>
          <w:sz w:val="15"/>
          <w:szCs w:val="15"/>
          <w:u w:val="single" w:color="auto"/>
          <w:color w:val="auto"/>
        </w:rPr>
        <w:t>CC&amp;R</w:t>
      </w:r>
      <w:r>
        <w:rPr>
          <w:rFonts w:ascii="Arial" w:cs="Arial" w:eastAsia="Arial" w:hAnsi="Arial"/>
          <w:sz w:val="15"/>
          <w:szCs w:val="15"/>
          <w:color w:val="auto"/>
        </w:rPr>
        <w:t xml:space="preserve">s”), as the same may be amended, amended and restated, supplemented or otherwise modified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amendments, restatements, supplements or modifications do not materially modify Tenant’s rights or obligations hereunder. Tenant shall comply with the CC&amp;Rs,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Tenant shall not be liable or responsible for any failure of the Premises to comply with the CC&amp;Rs (as applied and interpreted as of the Execution Date), to the extent such failure existed as of the Execution Date.</w:t>
      </w:r>
    </w:p>
    <w:p>
      <w:pPr>
        <w:spacing w:after="0" w:line="176" w:lineRule="exact"/>
        <w:rPr>
          <w:sz w:val="20"/>
          <w:szCs w:val="20"/>
          <w:color w:val="auto"/>
        </w:rPr>
      </w:pPr>
    </w:p>
    <w:p>
      <w:pPr>
        <w:ind w:left="565"/>
        <w:spacing w:after="0"/>
        <w:tabs>
          <w:tab w:leader="none" w:pos="1125"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4"/>
          <w:szCs w:val="14"/>
          <w:color w:val="auto"/>
        </w:rPr>
        <w:t>Tenant shall have the exclusive right to use the parking facilities serving the Premises during the Term at no additional cost, subject to Landlord’s rights under this</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6"/>
          <w:szCs w:val="16"/>
          <w:color w:val="auto"/>
        </w:rPr>
        <w:t>Lease.</w:t>
      </w:r>
    </w:p>
    <w:p>
      <w:pPr>
        <w:spacing w:after="0" w:line="207" w:lineRule="exact"/>
        <w:rPr>
          <w:sz w:val="20"/>
          <w:szCs w:val="20"/>
          <w:color w:val="auto"/>
        </w:rPr>
      </w:pPr>
    </w:p>
    <w:p>
      <w:pPr>
        <w:ind w:left="525" w:hanging="525"/>
        <w:spacing w:after="0"/>
        <w:tabs>
          <w:tab w:leader="none" w:pos="52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Control by Landlord</w:t>
      </w:r>
      <w:r>
        <w:rPr>
          <w:rFonts w:ascii="Arial" w:cs="Arial" w:eastAsia="Arial" w:hAnsi="Arial"/>
          <w:sz w:val="16"/>
          <w:szCs w:val="16"/>
          <w:color w:val="auto"/>
        </w:rPr>
        <w:t>.</w:t>
      </w:r>
    </w:p>
    <w:p>
      <w:pPr>
        <w:spacing w:after="0" w:line="218" w:lineRule="exact"/>
        <w:rPr>
          <w:sz w:val="20"/>
          <w:szCs w:val="20"/>
          <w:color w:val="auto"/>
        </w:rPr>
      </w:pPr>
    </w:p>
    <w:p>
      <w:pPr>
        <w:jc w:val="both"/>
        <w:ind w:left="5" w:right="20" w:firstLine="567"/>
        <w:spacing w:after="0" w:line="257" w:lineRule="auto"/>
        <w:rPr>
          <w:sz w:val="20"/>
          <w:szCs w:val="20"/>
          <w:color w:val="auto"/>
        </w:rPr>
      </w:pPr>
      <w:r>
        <w:rPr>
          <w:rFonts w:ascii="Arial" w:cs="Arial" w:eastAsia="Arial" w:hAnsi="Arial"/>
          <w:sz w:val="16"/>
          <w:szCs w:val="16"/>
          <w:color w:val="auto"/>
        </w:rPr>
        <w:t xml:space="preserve">14.1. Landlord reserves control over the Premises to the extent not inconsistent with Tenant’s enjoyment of the same as provided by this Lease. This reservation includes Landlord’s right to grant easements and licenses to third parties;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such rights shall be exercised in a way that does not materially adversely affect Tenant’s beneficial use and occupancy of the Premises, including the Permitted Use and Tenant’s access to the Premises.</w:t>
      </w:r>
    </w:p>
    <w:p>
      <w:pPr>
        <w:spacing w:after="0" w:line="189" w:lineRule="exact"/>
        <w:rPr>
          <w:sz w:val="20"/>
          <w:szCs w:val="20"/>
          <w:color w:val="auto"/>
        </w:rPr>
      </w:pPr>
    </w:p>
    <w:p>
      <w:pPr>
        <w:jc w:val="both"/>
        <w:ind w:left="5" w:right="20" w:firstLine="567"/>
        <w:spacing w:after="0" w:line="282" w:lineRule="auto"/>
        <w:rPr>
          <w:sz w:val="20"/>
          <w:szCs w:val="20"/>
          <w:color w:val="auto"/>
        </w:rPr>
      </w:pPr>
      <w:r>
        <w:rPr>
          <w:rFonts w:ascii="Arial" w:cs="Arial" w:eastAsia="Arial" w:hAnsi="Arial"/>
          <w:sz w:val="15"/>
          <w:szCs w:val="15"/>
          <w:color w:val="auto"/>
        </w:rPr>
        <w:t xml:space="preserve">14.2. Tenant shall, at Landlord’s request, promptly execute such further documents as may be reasonably appropriate to assist Landlord in the performance of its obligations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Tenant need not execute any document that creates additional liability for Tenant, materially (a) reduces Tenant’s rights or (b) increases Tenant’s obligations hereunder, or that deprives Tenant of the quiet enjoyment and use of the Premises as provided for in this Lease.</w:t>
      </w:r>
    </w:p>
    <w:p>
      <w:pPr>
        <w:spacing w:after="0" w:line="322"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63" w:name="page164"/>
    <w:bookmarkEnd w:id="163"/>
    <w:p>
      <w:pPr>
        <w:jc w:val="both"/>
        <w:ind w:left="5" w:firstLine="567"/>
        <w:spacing w:after="0" w:line="266" w:lineRule="auto"/>
        <w:rPr>
          <w:sz w:val="20"/>
          <w:szCs w:val="20"/>
          <w:color w:val="auto"/>
        </w:rPr>
      </w:pPr>
      <w:r>
        <w:rPr>
          <w:rFonts w:ascii="Arial" w:cs="Arial" w:eastAsia="Arial" w:hAnsi="Arial"/>
          <w:sz w:val="15"/>
          <w:szCs w:val="15"/>
          <w:color w:val="auto"/>
        </w:rPr>
        <w:t xml:space="preserve">14.3. Landlord may, at any and all reasonable times during non-business hours (or during business hours, if (a) with respect to </w:t>
      </w:r>
      <w:r>
        <w:rPr>
          <w:rFonts w:ascii="Arial" w:cs="Arial" w:eastAsia="Arial" w:hAnsi="Arial"/>
          <w:sz w:val="15"/>
          <w:szCs w:val="15"/>
          <w:u w:val="single" w:color="auto"/>
          <w:color w:val="auto"/>
        </w:rPr>
        <w:t>Subsections 14.3(v)</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14.3(y)</w:t>
      </w:r>
      <w:r>
        <w:rPr>
          <w:rFonts w:ascii="Arial" w:cs="Arial" w:eastAsia="Arial" w:hAnsi="Arial"/>
          <w:sz w:val="15"/>
          <w:szCs w:val="15"/>
          <w:color w:val="auto"/>
        </w:rPr>
        <w:t xml:space="preserve">, Tenant so requests, and (b) with respect to </w:t>
      </w:r>
      <w:r>
        <w:rPr>
          <w:rFonts w:ascii="Arial" w:cs="Arial" w:eastAsia="Arial" w:hAnsi="Arial"/>
          <w:sz w:val="15"/>
          <w:szCs w:val="15"/>
          <w:u w:val="single" w:color="auto"/>
          <w:color w:val="auto"/>
        </w:rPr>
        <w:t>Subsection 14.3(z)</w:t>
      </w:r>
      <w:r>
        <w:rPr>
          <w:rFonts w:ascii="Arial" w:cs="Arial" w:eastAsia="Arial" w:hAnsi="Arial"/>
          <w:sz w:val="15"/>
          <w:szCs w:val="15"/>
          <w:color w:val="auto"/>
        </w:rPr>
        <w:t>, if Landlord so requests), and upon twenty-four (24) hours’ prior notice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time restrictions shall apply or advance notice be required if an emergency necessitates immediate entry), enter the Premises to (v) inspect the same and to determine whether Tenant is in compliance with its obligations hereunder, (w) supply any service Landlord is required to provide hereunder, (x) post notices of nonresponsibility, (y) access the telephone equipment, electrical substation and fire risers and (z) show the Premises to prospective purchasers or tenants during the final year of the Term. In no event shall Tenant’s Rent abate as a result of Landlord’s activities pursuant to this Section;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all such activities shall be conducted in such a manner so as to cause as little interference to Tenant’s business and Permitted Use of the Premises as is reasonably possible. Landlord shall coordinate with Tenant to schedule in advance any entry to the clean room areas of the Premises (except in the case of any emergency, as set forth below, in which case, no prior notice, coordination or scheduling shall be required), which entry Tenant shall not unreasonably withhold, condition or delay, and except in the event of an emergency, Landlord shall not enter such clean room areas unless accompanied by a representative of Tenant. Landlord shall at all times retain a key with which to unlock all of the doors in the Premises. If an emergency necessitates immediate access to the Premises, Landlord may use whatever force is necessary to enter the Premises, and any such entry to the Premises shall not constitute a forcible or unlawful entry to the Premises, a detainer of the Premises, or an eviction of Tenant from the Premises or any portion thereof.</w:t>
      </w:r>
    </w:p>
    <w:p>
      <w:pPr>
        <w:spacing w:after="0" w:line="188" w:lineRule="exact"/>
        <w:rPr>
          <w:sz w:val="20"/>
          <w:szCs w:val="20"/>
          <w:color w:val="auto"/>
        </w:rPr>
      </w:pPr>
    </w:p>
    <w:p>
      <w:pPr>
        <w:jc w:val="both"/>
        <w:ind w:left="5" w:right="20" w:hanging="5"/>
        <w:spacing w:after="0" w:line="311" w:lineRule="auto"/>
        <w:tabs>
          <w:tab w:leader="none" w:pos="573" w:val="left"/>
        </w:tabs>
        <w:numPr>
          <w:ilvl w:val="0"/>
          <w:numId w:val="78"/>
        </w:numPr>
        <w:rPr>
          <w:rFonts w:ascii="Arial" w:cs="Arial" w:eastAsia="Arial" w:hAnsi="Arial"/>
          <w:sz w:val="14"/>
          <w:szCs w:val="14"/>
          <w:color w:val="auto"/>
        </w:rPr>
      </w:pPr>
      <w:r>
        <w:rPr>
          <w:rFonts w:ascii="Arial" w:cs="Arial" w:eastAsia="Arial" w:hAnsi="Arial"/>
          <w:sz w:val="14"/>
          <w:szCs w:val="14"/>
          <w:u w:val="single" w:color="auto"/>
          <w:color w:val="auto"/>
        </w:rPr>
        <w:t>Quiet Enjoyment</w:t>
      </w:r>
      <w:r>
        <w:rPr>
          <w:rFonts w:ascii="Arial" w:cs="Arial" w:eastAsia="Arial" w:hAnsi="Arial"/>
          <w:sz w:val="14"/>
          <w:szCs w:val="14"/>
          <w:color w:val="auto"/>
        </w:rPr>
        <w:t>. Landlord covenants that Tenant, upon paying the Rent and performing its obligations contained in this Lease, may peacefully and quietly have, hold and enjoy the Premises, free from any claim by Landlord or persons claiming under or through Landlord, but subject to all of the terms and provisions hereof, provisions of Applicable Laws and rights of record to which this Lease is or may become subordinate. This covenant is in lieu of any other quiet enjoyment covenant, either express or implied.</w:t>
      </w:r>
    </w:p>
    <w:p>
      <w:pPr>
        <w:spacing w:after="0" w:line="154" w:lineRule="exact"/>
        <w:rPr>
          <w:rFonts w:ascii="Arial" w:cs="Arial" w:eastAsia="Arial" w:hAnsi="Arial"/>
          <w:sz w:val="14"/>
          <w:szCs w:val="14"/>
          <w:color w:val="auto"/>
        </w:rPr>
      </w:pPr>
    </w:p>
    <w:p>
      <w:pPr>
        <w:ind w:left="525" w:hanging="525"/>
        <w:spacing w:after="0"/>
        <w:tabs>
          <w:tab w:leader="none" w:pos="525"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Utilities and Services</w:t>
      </w:r>
      <w:r>
        <w:rPr>
          <w:rFonts w:ascii="Arial" w:cs="Arial" w:eastAsia="Arial" w:hAnsi="Arial"/>
          <w:sz w:val="16"/>
          <w:szCs w:val="16"/>
          <w:color w:val="auto"/>
        </w:rPr>
        <w:t>.</w:t>
      </w:r>
    </w:p>
    <w:p>
      <w:pPr>
        <w:spacing w:after="0" w:line="218" w:lineRule="exact"/>
        <w:rPr>
          <w:sz w:val="20"/>
          <w:szCs w:val="20"/>
          <w:color w:val="auto"/>
        </w:rPr>
      </w:pPr>
    </w:p>
    <w:p>
      <w:pPr>
        <w:jc w:val="both"/>
        <w:ind w:left="5" w:right="20" w:firstLine="567"/>
        <w:spacing w:after="0" w:line="257" w:lineRule="auto"/>
        <w:rPr>
          <w:sz w:val="20"/>
          <w:szCs w:val="20"/>
          <w:color w:val="auto"/>
        </w:rPr>
      </w:pPr>
      <w:r>
        <w:rPr>
          <w:rFonts w:ascii="Arial" w:cs="Arial" w:eastAsia="Arial" w:hAnsi="Arial"/>
          <w:sz w:val="16"/>
          <w:szCs w:val="16"/>
          <w:color w:val="auto"/>
        </w:rPr>
        <w:t>16.1. Tenant shall, at its sole cost and expense, promptly and properly observe and comply with (including in the making by Tenant of any Alterations to the Premises) all present and future orders, regulations, directions, rules, laws, ordinances, and requirements of all Governmental Authorities arising from the use or occupancy of, or applicable to, the Premises or any portion thereof.</w:t>
      </w:r>
    </w:p>
    <w:p>
      <w:pPr>
        <w:spacing w:after="0" w:line="189" w:lineRule="exact"/>
        <w:rPr>
          <w:sz w:val="20"/>
          <w:szCs w:val="20"/>
          <w:color w:val="auto"/>
        </w:rPr>
      </w:pPr>
    </w:p>
    <w:p>
      <w:pPr>
        <w:jc w:val="both"/>
        <w:ind w:left="5" w:firstLine="567"/>
        <w:spacing w:after="0" w:line="270" w:lineRule="auto"/>
        <w:rPr>
          <w:sz w:val="20"/>
          <w:szCs w:val="20"/>
          <w:color w:val="auto"/>
        </w:rPr>
      </w:pPr>
      <w:r>
        <w:rPr>
          <w:rFonts w:ascii="Arial" w:cs="Arial" w:eastAsia="Arial" w:hAnsi="Arial"/>
          <w:sz w:val="15"/>
          <w:szCs w:val="15"/>
          <w:color w:val="auto"/>
        </w:rPr>
        <w:t>16.2. Tenant shall, at Tenant’s sole cost and expense, procure and maintain contracts, with copies of the same and of any related records furnished promptly to Landlord after execution thereof, in customary form and substance for, and with contractors specializing and experienced in, the maintenance of the following equipment and improvements, if any, if and when installed on the Premises: (a) heating, ventilating and air conditioning (“</w:t>
      </w:r>
      <w:r>
        <w:rPr>
          <w:rFonts w:ascii="Arial" w:cs="Arial" w:eastAsia="Arial" w:hAnsi="Arial"/>
          <w:sz w:val="15"/>
          <w:szCs w:val="15"/>
          <w:u w:val="single" w:color="auto"/>
          <w:color w:val="auto"/>
        </w:rPr>
        <w:t>HVAC</w:t>
      </w:r>
      <w:r>
        <w:rPr>
          <w:rFonts w:ascii="Arial" w:cs="Arial" w:eastAsia="Arial" w:hAnsi="Arial"/>
          <w:sz w:val="15"/>
          <w:szCs w:val="15"/>
          <w:color w:val="auto"/>
        </w:rPr>
        <w:t>”) equipment, (b) boilers and pressure vessels, (c) fire extinguishing systems, including fire alarm and smoke detection devices, (d) landscaping and irrigation systems, (e) roof coverings and drains, (f) clarifiers, (g) basic utility feeds to the perimeter of the Building and (h) any other equipment reasonably required by Landlord. Notwithstanding the foregoing, Landlord reserves the right, upon notice to Tenant, to procure and maintain any or all of such service contracts, and if Landlord so elects, Tenant shall reimburse Landlord, upon demand, for the costs thereof.</w:t>
      </w:r>
    </w:p>
    <w:p>
      <w:pPr>
        <w:spacing w:after="0" w:line="333"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64" w:name="page165"/>
    <w:bookmarkEnd w:id="164"/>
    <w:p>
      <w:pPr>
        <w:jc w:val="both"/>
        <w:ind w:firstLine="567"/>
        <w:spacing w:after="0" w:line="284" w:lineRule="auto"/>
        <w:rPr>
          <w:sz w:val="20"/>
          <w:szCs w:val="20"/>
          <w:color w:val="auto"/>
        </w:rPr>
      </w:pPr>
      <w:r>
        <w:rPr>
          <w:rFonts w:ascii="Arial" w:cs="Arial" w:eastAsia="Arial" w:hAnsi="Arial"/>
          <w:sz w:val="14"/>
          <w:szCs w:val="14"/>
          <w:color w:val="auto"/>
        </w:rPr>
        <w:t>16.3. Within sixty (60) days after the Term Commencement Date, and within sixty (60) days after the beginning of each calendar year during the Term, Landlord shall give Tenant a written estimate for such calendar year of the cost of insurance provided by Landlord in connection with this Lease, the Premises and/or the Property (“</w:t>
      </w:r>
      <w:r>
        <w:rPr>
          <w:rFonts w:ascii="Arial" w:cs="Arial" w:eastAsia="Arial" w:hAnsi="Arial"/>
          <w:sz w:val="14"/>
          <w:szCs w:val="14"/>
          <w:u w:val="single" w:color="auto"/>
          <w:color w:val="auto"/>
        </w:rPr>
        <w:t>Insurance</w:t>
      </w:r>
      <w:r>
        <w:rPr>
          <w:rFonts w:ascii="Arial" w:cs="Arial" w:eastAsia="Arial" w:hAnsi="Arial"/>
          <w:sz w:val="14"/>
          <w:szCs w:val="14"/>
          <w:color w:val="auto"/>
        </w:rPr>
        <w:t xml:space="preserve"> </w:t>
      </w:r>
      <w:r>
        <w:rPr>
          <w:rFonts w:ascii="Arial" w:cs="Arial" w:eastAsia="Arial" w:hAnsi="Arial"/>
          <w:sz w:val="14"/>
          <w:szCs w:val="14"/>
          <w:u w:val="single" w:color="auto"/>
          <w:color w:val="auto"/>
        </w:rPr>
        <w:t>Costs</w:t>
      </w:r>
      <w:r>
        <w:rPr>
          <w:rFonts w:ascii="Arial" w:cs="Arial" w:eastAsia="Arial" w:hAnsi="Arial"/>
          <w:sz w:val="14"/>
          <w:szCs w:val="14"/>
          <w:color w:val="auto"/>
        </w:rPr>
        <w:t>”); Taxes; and dues payable to any property owners’ association governing the Premises. Tenant shall pay such estimated amount to Landlord in advance in equal monthly installments. Within ninety (90) days after the end of each calendar year, Landlord shall furnish to Tenant a statement showing in reasonable detail such costs incurred by Landlord during such year (the “</w:t>
      </w:r>
      <w:r>
        <w:rPr>
          <w:rFonts w:ascii="Arial" w:cs="Arial" w:eastAsia="Arial" w:hAnsi="Arial"/>
          <w:sz w:val="14"/>
          <w:szCs w:val="14"/>
          <w:u w:val="single" w:color="auto"/>
          <w:color w:val="auto"/>
        </w:rPr>
        <w:t>Annual Statement</w:t>
      </w:r>
      <w:r>
        <w:rPr>
          <w:rFonts w:ascii="Arial" w:cs="Arial" w:eastAsia="Arial" w:hAnsi="Arial"/>
          <w:sz w:val="14"/>
          <w:szCs w:val="14"/>
          <w:color w:val="auto"/>
        </w:rPr>
        <w:t xml:space="preserve">”), and Tenant shall pay to Landlord the costs incurred in excess of the payments previously made by Tenant within ten (10) days of receipt of the Annual Statement. In the event that the payments previously made by Tenant exceed Tenant’s obligation, such excess amount shall be credited by Landlord to the Rent or other charges next due and owing,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Term has expired, Landlord shall remit such excess amount to Tenant within forty-five (45) days after the Annual Statement is delivered. Landlord’s Annual Statement shall be final and binding upon Tenant unless Tenant, within thirty (30) days after Tenant’s receipt thereof, shall contest any item therein by giving written notice to Landlord, specifying each item contested and the reasons therefor (an “</w:t>
      </w:r>
      <w:r>
        <w:rPr>
          <w:rFonts w:ascii="Arial" w:cs="Arial" w:eastAsia="Arial" w:hAnsi="Arial"/>
          <w:sz w:val="14"/>
          <w:szCs w:val="14"/>
          <w:u w:val="single" w:color="auto"/>
          <w:color w:val="auto"/>
        </w:rPr>
        <w:t>Annual Statement Objection Notice</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Tenant shall in all events pay the amount specified in the Annual Statement pending the outcome of the further review described in this Section. If, during such thirty (30)-day period, Tenant delivers an Annual Statement Objection Notice reasonably and in good faith questioning or contesting the correctness of the Annual Statement, Landlord shall provide Tenant with reasonable access to Landlord’s books and records to the extent relevant to the determination of the contested matters set forth in the Annual Statement Objection Notice, and such other information as Landlord reasonably determines to be responsive to Tenant’s written inquiries. If, as of the date that is sixty (60) days after Tenant has submitted an Annual Statement Objection Notice to Landlord, the parties have not agreed on the appropriate adjustment to the Annual Statement, then Tenant may elect, by written notice to Landlord, to engage, at Tenant’s sole cost, an independent third party accountant with at least ten (10) years’ experience in commercial real estate accounting in the San Francisco or Alameda County, California area, reasonably approved by Landlord (the “</w:t>
      </w:r>
      <w:r>
        <w:rPr>
          <w:rFonts w:ascii="Arial" w:cs="Arial" w:eastAsia="Arial" w:hAnsi="Arial"/>
          <w:sz w:val="14"/>
          <w:szCs w:val="14"/>
          <w:u w:val="single" w:color="auto"/>
          <w:color w:val="auto"/>
        </w:rPr>
        <w:t>Accountant</w:t>
      </w:r>
      <w:r>
        <w:rPr>
          <w:rFonts w:ascii="Arial" w:cs="Arial" w:eastAsia="Arial" w:hAnsi="Arial"/>
          <w:sz w:val="14"/>
          <w:szCs w:val="14"/>
          <w:color w:val="auto"/>
        </w:rPr>
        <w:t>”). If the parties cannot agree on the Accountant, each shall within ten (10) days after such impasse appoint an Accountant and, within ten (10) days after the appointment of both such Accountants, those two Accountants shall select a third. If either party fails to timely appoint an Accountant, then the Accountant the other party appoints shall be the sole Accountant. Within ten (10) days after appointment of the Accountant(s), Landlord and Tenant shall each simultaneously give the Accountant(s) (with a copy to the other party) its determination of the contested expenses set forth in the Annual Statement Objection Notice, with such supporting data or information as each submitting party determines appropriate. Within ten (10) days after such submissions, the Accountant (or if there is more than one Accountant, the Accountants by majority vote) shall select either Landlord’s or Tenant’s determination of such expenses. The Accountant(s) may not select or designate any other determination of expenses. The determination of the Accountant(s) shall bind the parties. If the parties agree or the Accountant(s) determine that the contested expenses actually paid by Tenant for the calendar year in question exceeded Tenant’s obligations for such calendar year, then Landlord shall, at Tenant’s option, either (a) credit the excess to the next succeeding installments of estimated Additional Rent or (b) pay the excess to Tenant within thirty (30) days after delivery of such results. If the parties agree or the Accountant(s) determine that Tenant’s payments of such expenses for such calendar year were less than Tenant’s obligation for the calendar year, then Tenant shall pay the deficiency to Landlord within thirty (30) days after delivery of such results. In all instances, Tenant shall pay the cost of the Accountant(s).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65" w:name="page166"/>
    <w:bookmarkEnd w:id="165"/>
    <w:p>
      <w:pPr>
        <w:jc w:val="both"/>
        <w:ind w:right="20" w:firstLine="567"/>
        <w:spacing w:after="0" w:line="267" w:lineRule="auto"/>
        <w:rPr>
          <w:sz w:val="20"/>
          <w:szCs w:val="20"/>
          <w:color w:val="auto"/>
        </w:rPr>
      </w:pPr>
      <w:r>
        <w:rPr>
          <w:rFonts w:ascii="Arial" w:cs="Arial" w:eastAsia="Arial" w:hAnsi="Arial"/>
          <w:sz w:val="16"/>
          <w:szCs w:val="16"/>
          <w:color w:val="auto"/>
        </w:rPr>
        <w:t>16.4. Commencing as of the Execution Date, Tenant shall make all arrangements for and pay for all water, electricity, air, sewer, refuse, gas, heat, light, power, telephone service and any other service or utility Tenant required at the Premises.</w:t>
      </w:r>
    </w:p>
    <w:p>
      <w:pPr>
        <w:spacing w:after="0" w:line="158" w:lineRule="exact"/>
        <w:rPr>
          <w:sz w:val="20"/>
          <w:szCs w:val="20"/>
          <w:color w:val="auto"/>
        </w:rPr>
      </w:pPr>
    </w:p>
    <w:p>
      <w:pPr>
        <w:jc w:val="both"/>
        <w:ind w:firstLine="567"/>
        <w:spacing w:after="0" w:line="267" w:lineRule="auto"/>
        <w:rPr>
          <w:sz w:val="20"/>
          <w:szCs w:val="20"/>
          <w:color w:val="auto"/>
        </w:rPr>
      </w:pPr>
      <w:r>
        <w:rPr>
          <w:rFonts w:ascii="Arial" w:cs="Arial" w:eastAsia="Arial" w:hAnsi="Arial"/>
          <w:sz w:val="15"/>
          <w:szCs w:val="15"/>
          <w:color w:val="auto"/>
        </w:rPr>
        <w:t>16.5. Landlord shall not be liable for, nor shall any eviction of Tenant result from, the failure to furnish any utility or service, whether or not such failure is caused by accidents; breakage; casualties (to the extent not caused by the party claiming Force Majeure); Severe Weather Conditions (as defined below); physical natural disasters (but excluding weather conditions that are not Severe Weather Conditions); strikes, lockouts or other labor disturbances or labor disputes (other than labor disturbances and labor disputes resulting solely from the acts or omissions of the party claiming Force Majeure); acts of terrorism; riots or civil disturbances; wars or insurrections; shortages of materials (which shortages are not unique to the party claiming Force Majeure); regulations, moratoria or other actions, inactions or delays; failures by third parties to deliver gas, oil or another suitable fuel supply, or inability of the party claiming Force Majeure, by exercise of reasonable diligence, to obtain gas, oil or another suitable fuel; or other causes beyond the reasonable control of the party claiming that Force Majeure has occurred (collectively, “</w:t>
      </w:r>
      <w:r>
        <w:rPr>
          <w:rFonts w:ascii="Arial" w:cs="Arial" w:eastAsia="Arial" w:hAnsi="Arial"/>
          <w:sz w:val="15"/>
          <w:szCs w:val="15"/>
          <w:u w:val="single" w:color="auto"/>
          <w:color w:val="auto"/>
        </w:rPr>
        <w:t>Force Majeure</w:t>
      </w:r>
      <w:r>
        <w:rPr>
          <w:rFonts w:ascii="Arial" w:cs="Arial" w:eastAsia="Arial" w:hAnsi="Arial"/>
          <w:sz w:val="15"/>
          <w:szCs w:val="15"/>
          <w:color w:val="auto"/>
        </w:rPr>
        <w:t>”); or, to the extent permitted by Applicable Laws, Landlord’s negligence. In the event of such failure, Tenant shall not be entitled to termination of this Lease or any abatement or reduction of Rent, nor shall Tenant be relieved from the operation of any covenant or agreement of this Lease. “</w:t>
      </w:r>
      <w:r>
        <w:rPr>
          <w:rFonts w:ascii="Arial" w:cs="Arial" w:eastAsia="Arial" w:hAnsi="Arial"/>
          <w:sz w:val="15"/>
          <w:szCs w:val="15"/>
          <w:u w:val="single" w:color="auto"/>
          <w:color w:val="auto"/>
        </w:rPr>
        <w:t>Severe Weather Conditions</w:t>
      </w:r>
      <w:r>
        <w:rPr>
          <w:rFonts w:ascii="Arial" w:cs="Arial" w:eastAsia="Arial" w:hAnsi="Arial"/>
          <w:sz w:val="15"/>
          <w:szCs w:val="15"/>
          <w:color w:val="auto"/>
        </w:rPr>
        <w:t>” means weather conditions that are materially worse than those that reasonably would be anticipated for the Property at the applicable time based on historic meteorological records.</w:t>
      </w:r>
    </w:p>
    <w:p>
      <w:pPr>
        <w:spacing w:after="0" w:line="185" w:lineRule="exact"/>
        <w:rPr>
          <w:sz w:val="20"/>
          <w:szCs w:val="20"/>
          <w:color w:val="auto"/>
        </w:rPr>
      </w:pPr>
    </w:p>
    <w:p>
      <w:pPr>
        <w:jc w:val="both"/>
        <w:ind w:firstLine="567"/>
        <w:spacing w:after="0" w:line="267" w:lineRule="auto"/>
        <w:rPr>
          <w:sz w:val="20"/>
          <w:szCs w:val="20"/>
          <w:color w:val="auto"/>
        </w:rPr>
      </w:pPr>
      <w:r>
        <w:rPr>
          <w:rFonts w:ascii="Arial" w:cs="Arial" w:eastAsia="Arial" w:hAnsi="Arial"/>
          <w:sz w:val="16"/>
          <w:szCs w:val="16"/>
          <w:color w:val="auto"/>
        </w:rPr>
        <w:t>16.6. Tenant shall pay for, prior to delinquency of payment therefor, any utilities and services that may be furnished to the Premises during or, if Tenant occupies the Premises after the expiration or earlier termination of the Term, after the Term.</w:t>
      </w:r>
    </w:p>
    <w:p>
      <w:pPr>
        <w:spacing w:after="0" w:line="181"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6"/>
          <w:szCs w:val="16"/>
          <w:color w:val="auto"/>
        </w:rPr>
        <w:t>16.7.</w:t>
      </w:r>
      <w:r>
        <w:rPr>
          <w:sz w:val="20"/>
          <w:szCs w:val="20"/>
          <w:color w:val="auto"/>
        </w:rPr>
        <w:tab/>
      </w:r>
      <w:r>
        <w:rPr>
          <w:rFonts w:ascii="Arial" w:cs="Arial" w:eastAsia="Arial" w:hAnsi="Arial"/>
          <w:sz w:val="15"/>
          <w:szCs w:val="15"/>
          <w:color w:val="auto"/>
        </w:rPr>
        <w:t>[Intentionally omitted.]</w:t>
      </w:r>
    </w:p>
    <w:p>
      <w:pPr>
        <w:spacing w:after="0" w:line="218"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5"/>
          <w:szCs w:val="15"/>
          <w:color w:val="auto"/>
        </w:rPr>
        <w:t>16.8. For any utilities serving the Premises for which Tenant is billed directly by such utility provider, Tenant agrees to furnish to Landlord within thirty (30) days after Landlord’s request, (a) any invoices, statements or other utility usage information reasonably requested by Landlord, and (b) an ENERGY STAR® Statement of Performance (or similar comprehensive utility usage report (e.g., related to Labs 21), if requested by Landlord) and any other information reasonably requested by Landlord for the immediately preceding year. Tenant shall retain records of utility usage at the Premises, including invoices and statements from the utility provider, for at least twenty-four (24) months, or such other period of time as may be requested by Landlord. Tenant acknowledges that any utility information for the Premises may be shared with third parties, including Landlord’s consultants and Governmental Authorities. The provisions of this Section shall survive the expiration or earlier termination of this Lease.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66" w:name="page167"/>
    <w:bookmarkEnd w:id="166"/>
    <w:p>
      <w:pPr>
        <w:ind w:left="525" w:hanging="525"/>
        <w:spacing w:after="0"/>
        <w:tabs>
          <w:tab w:leader="none" w:pos="52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Alterations</w:t>
      </w:r>
      <w:r>
        <w:rPr>
          <w:rFonts w:ascii="Arial" w:cs="Arial" w:eastAsia="Arial" w:hAnsi="Arial"/>
          <w:sz w:val="16"/>
          <w:szCs w:val="16"/>
          <w:color w:val="auto"/>
        </w:rPr>
        <w:t>.</w:t>
      </w:r>
    </w:p>
    <w:p>
      <w:pPr>
        <w:spacing w:after="0" w:line="194" w:lineRule="exact"/>
        <w:rPr>
          <w:sz w:val="20"/>
          <w:szCs w:val="20"/>
          <w:color w:val="auto"/>
        </w:rPr>
      </w:pPr>
    </w:p>
    <w:p>
      <w:pPr>
        <w:jc w:val="both"/>
        <w:ind w:left="5" w:firstLine="567"/>
        <w:spacing w:after="0" w:line="285" w:lineRule="auto"/>
        <w:rPr>
          <w:sz w:val="20"/>
          <w:szCs w:val="20"/>
          <w:color w:val="auto"/>
        </w:rPr>
      </w:pPr>
      <w:r>
        <w:rPr>
          <w:rFonts w:ascii="Arial" w:cs="Arial" w:eastAsia="Arial" w:hAnsi="Arial"/>
          <w:sz w:val="14"/>
          <w:szCs w:val="14"/>
          <w:color w:val="auto"/>
        </w:rPr>
        <w:t>17.1. Tenant shall make no alterations, additions or improvements other than the Tenant Improvements in or to the Premises or engage in any construction, demolition, reconstruction, renovation, or other work (whether major or minor) of any kind in, at, or serving the Premises (“</w:t>
      </w:r>
      <w:r>
        <w:rPr>
          <w:rFonts w:ascii="Arial" w:cs="Arial" w:eastAsia="Arial" w:hAnsi="Arial"/>
          <w:sz w:val="14"/>
          <w:szCs w:val="14"/>
          <w:u w:val="single" w:color="auto"/>
          <w:color w:val="auto"/>
        </w:rPr>
        <w:t>Alterations</w:t>
      </w:r>
      <w:r>
        <w:rPr>
          <w:rFonts w:ascii="Arial" w:cs="Arial" w:eastAsia="Arial" w:hAnsi="Arial"/>
          <w:sz w:val="14"/>
          <w:szCs w:val="14"/>
          <w:color w:val="auto"/>
        </w:rPr>
        <w:t xml:space="preserve">”) without Landlord’s prior written approval, which approval Landlord shall not unreasonably withhold;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however, that in the event any proposed Alteration affects (a) any structural portions of the Building, including exterior walls, roof, foundation, foundation systems (including barriers and subslab systems), or core of the Building, (b) the exterior of the Building or (c) any Building systems, including elevator, plumbing, air conditioning, heating, electrical, security, life safety and power, then Landlord may withhold its approval in its sole and absolute discretion. Tenant shall, in making any such Alterations, use only those architects, contractors, suppliers and mechanics of which Landlord has given prior written approval, which approval shall be in Landlord’s sole and absolute discretion. In seeking Landlord’s approval, Tenant shall provide Landlord, at least fourteen (14) days in advance of any proposed construction, with plans, specifications, bid proposals, certified stamped engineering drawings and calculations by Tenant’s engineer of record or architect of record, (including connections to the Building’s structural system, modifications to the Building’s envelope, non-structural penetrations in slabs or walls, and modifications or tie-ins to life safety systems), work contracts, requests for laydown areas and such other information concerning the nature and cost of the Alterations as Landlord may reasonably request. In no event shall Tenant use or Landlord be required to approve any architects, consultants, contractors, subcontractors or material suppliers that Landlord reasonably believes could cause labor disharmony. Notwithstanding the foregoing, the following shall not require prior consent from Landlord (except that with respect to </w:t>
      </w:r>
      <w:r>
        <w:rPr>
          <w:rFonts w:ascii="Arial" w:cs="Arial" w:eastAsia="Arial" w:hAnsi="Arial"/>
          <w:sz w:val="14"/>
          <w:szCs w:val="14"/>
          <w:u w:val="single" w:color="auto"/>
          <w:color w:val="auto"/>
        </w:rPr>
        <w:t>Subsection 17.1(ii)</w:t>
      </w:r>
      <w:r>
        <w:rPr>
          <w:rFonts w:ascii="Arial" w:cs="Arial" w:eastAsia="Arial" w:hAnsi="Arial"/>
          <w:sz w:val="14"/>
          <w:szCs w:val="14"/>
          <w:color w:val="auto"/>
        </w:rPr>
        <w:t xml:space="preserve">, Tenant shall use commercially reasonable efforts to give twenty-four (24) hours’ prior notice to Landlord (and in any event, Tenant shall give notice to Landlord as soon as reasonably possible) of the need for such maintenance, repair or replacement): (i) routine repairs and maintenance not affecting the items in </w:t>
      </w:r>
      <w:r>
        <w:rPr>
          <w:rFonts w:ascii="Arial" w:cs="Arial" w:eastAsia="Arial" w:hAnsi="Arial"/>
          <w:sz w:val="14"/>
          <w:szCs w:val="14"/>
          <w:u w:val="single" w:color="auto"/>
          <w:color w:val="auto"/>
        </w:rPr>
        <w:t>Subsections 17.1(a)</w:t>
      </w:r>
      <w:r>
        <w:rPr>
          <w:rFonts w:ascii="Arial" w:cs="Arial" w:eastAsia="Arial" w:hAnsi="Arial"/>
          <w:sz w:val="14"/>
          <w:szCs w:val="14"/>
          <w:color w:val="auto"/>
        </w:rPr>
        <w:t xml:space="preserve">, </w:t>
      </w:r>
      <w:r>
        <w:rPr>
          <w:rFonts w:ascii="Arial" w:cs="Arial" w:eastAsia="Arial" w:hAnsi="Arial"/>
          <w:sz w:val="14"/>
          <w:szCs w:val="14"/>
          <w:u w:val="single" w:color="auto"/>
          <w:color w:val="auto"/>
        </w:rPr>
        <w:t>17.1(b)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17.1(c)</w:t>
      </w:r>
      <w:r>
        <w:rPr>
          <w:rFonts w:ascii="Arial" w:cs="Arial" w:eastAsia="Arial" w:hAnsi="Arial"/>
          <w:sz w:val="14"/>
          <w:szCs w:val="14"/>
          <w:color w:val="auto"/>
        </w:rPr>
        <w:t xml:space="preserve"> and not in excess of Ten Thousand Dollars ($10,000) per instance and Fifty Thousand Dollars ($50,000) annually in the aggregate; and (ii) any emergency maintenance, repair, or replacement of any item described in </w:t>
      </w:r>
      <w:r>
        <w:rPr>
          <w:rFonts w:ascii="Arial" w:cs="Arial" w:eastAsia="Arial" w:hAnsi="Arial"/>
          <w:sz w:val="14"/>
          <w:szCs w:val="14"/>
          <w:u w:val="single" w:color="auto"/>
          <w:color w:val="auto"/>
        </w:rPr>
        <w:t>Subsection 17.1(c)</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the case of any replacement of a Building system or major component of a Building system (including, by way of example only, a compressor of an air conditioning unit or HVAC system or elevator motor) the replacement is of the same or greater capacity and quality as the component or system replaced.</w:t>
      </w:r>
    </w:p>
    <w:p>
      <w:pPr>
        <w:spacing w:after="0" w:line="177" w:lineRule="exact"/>
        <w:rPr>
          <w:sz w:val="20"/>
          <w:szCs w:val="20"/>
          <w:color w:val="auto"/>
        </w:rPr>
      </w:pPr>
    </w:p>
    <w:p>
      <w:pPr>
        <w:jc w:val="both"/>
        <w:ind w:left="5" w:firstLine="567"/>
        <w:spacing w:after="0" w:line="267" w:lineRule="auto"/>
        <w:rPr>
          <w:sz w:val="20"/>
          <w:szCs w:val="20"/>
          <w:color w:val="auto"/>
        </w:rPr>
      </w:pPr>
      <w:r>
        <w:rPr>
          <w:rFonts w:ascii="Arial" w:cs="Arial" w:eastAsia="Arial" w:hAnsi="Arial"/>
          <w:sz w:val="16"/>
          <w:szCs w:val="16"/>
          <w:color w:val="auto"/>
        </w:rPr>
        <w:t>17.2. Tenant shall not construct or permit to be constructed partitions or other obstructions that might interfere with free access to mechanical installation or service facilities of the Building, or interfere with the moving of Landlord’s equipment to or from the enclosures containing such installations or facilities.</w:t>
      </w:r>
    </w:p>
    <w:p>
      <w:pPr>
        <w:spacing w:after="0" w:line="181" w:lineRule="exact"/>
        <w:rPr>
          <w:sz w:val="20"/>
          <w:szCs w:val="20"/>
          <w:color w:val="auto"/>
        </w:rPr>
      </w:pPr>
    </w:p>
    <w:p>
      <w:pPr>
        <w:ind w:left="565"/>
        <w:spacing w:after="0"/>
        <w:tabs>
          <w:tab w:leader="none" w:pos="1105" w:val="left"/>
        </w:tabs>
        <w:rPr>
          <w:sz w:val="20"/>
          <w:szCs w:val="20"/>
          <w:color w:val="auto"/>
        </w:rPr>
      </w:pPr>
      <w:r>
        <w:rPr>
          <w:rFonts w:ascii="Arial" w:cs="Arial" w:eastAsia="Arial" w:hAnsi="Arial"/>
          <w:sz w:val="16"/>
          <w:szCs w:val="16"/>
          <w:color w:val="auto"/>
        </w:rPr>
        <w:t>17.3.</w:t>
      </w:r>
      <w:r>
        <w:rPr>
          <w:sz w:val="20"/>
          <w:szCs w:val="20"/>
          <w:color w:val="auto"/>
        </w:rPr>
        <w:tab/>
      </w:r>
      <w:r>
        <w:rPr>
          <w:rFonts w:ascii="Arial" w:cs="Arial" w:eastAsia="Arial" w:hAnsi="Arial"/>
          <w:sz w:val="14"/>
          <w:szCs w:val="14"/>
          <w:color w:val="auto"/>
        </w:rPr>
        <w:t>Tenant shall accomplish any work performed on the Premises in such a manner as to permit any life safety systems to remain fully operable at all times.</w:t>
      </w:r>
    </w:p>
    <w:p>
      <w:pPr>
        <w:spacing w:after="0" w:line="368"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67" w:name="page168"/>
    <w:bookmarkEnd w:id="167"/>
    <w:p>
      <w:pPr>
        <w:jc w:val="both"/>
        <w:ind w:right="20" w:firstLine="567"/>
        <w:spacing w:after="0" w:line="296" w:lineRule="auto"/>
        <w:rPr>
          <w:sz w:val="20"/>
          <w:szCs w:val="20"/>
          <w:color w:val="auto"/>
        </w:rPr>
      </w:pPr>
      <w:r>
        <w:rPr>
          <w:rFonts w:ascii="Arial" w:cs="Arial" w:eastAsia="Arial" w:hAnsi="Arial"/>
          <w:sz w:val="14"/>
          <w:szCs w:val="14"/>
          <w:color w:val="auto"/>
        </w:rPr>
        <w:t xml:space="preserve">17.4. To the extent Landlord is performing or needs to perform any work on the Premises, Tenant shall reasonably cooperate and coordinate with Landlord with respect to any work performed on the Premises by Tenant or Tenant’s contractors. Tenant covenants and agrees that all work done by Tenant or Tenant’s contractors shall be performed in full compliance with Applicable Laws. Within thirty (30) days after completion of any Alterations, Tenant shall provide Landlord with complete “as built” drawing print sets and electronic CADD files on disc (or files in such other current format in common use as Landlord reasonably approves or requires) showing any changes in the Premises. Any such “as built” plans shall show the applicable Alterations as an overlay on the Building as-built plans;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Landlord provides the Building “as built” plans to Tenant.</w:t>
      </w:r>
    </w:p>
    <w:p>
      <w:pPr>
        <w:spacing w:after="0" w:line="142"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6"/>
          <w:szCs w:val="16"/>
          <w:color w:val="auto"/>
        </w:rPr>
        <w:t>17.5. Before commencing any Alterations that require Landlord’s consent or Tenant Improvements, Tenant shall give Landlord at least fourteen (14) days’ prior written notice of the proposed commencement of such work (if Tenant has not already given Landlord such written notice) and shall, if required by Landlord, secure, at Tenant’s own cost and expense, a completion and lien indemnity bond satisfactory to Landlord for such work.</w:t>
      </w:r>
    </w:p>
    <w:p>
      <w:pPr>
        <w:spacing w:after="0" w:line="165" w:lineRule="exact"/>
        <w:rPr>
          <w:sz w:val="20"/>
          <w:szCs w:val="20"/>
          <w:color w:val="auto"/>
        </w:rPr>
      </w:pPr>
    </w:p>
    <w:p>
      <w:pPr>
        <w:jc w:val="both"/>
        <w:ind w:right="20" w:firstLine="567"/>
        <w:spacing w:after="0" w:line="257" w:lineRule="auto"/>
        <w:rPr>
          <w:sz w:val="20"/>
          <w:szCs w:val="20"/>
          <w:color w:val="auto"/>
        </w:rPr>
      </w:pPr>
      <w:r>
        <w:rPr>
          <w:rFonts w:ascii="Arial" w:cs="Arial" w:eastAsia="Arial" w:hAnsi="Arial"/>
          <w:sz w:val="16"/>
          <w:szCs w:val="16"/>
          <w:color w:val="auto"/>
        </w:rPr>
        <w:t>17.6. Tenant shall repair any damage to the Premises caused by Tenant’s removal of any property from the Premises. During any such restoration period, Tenant shall pay Rent to Landlord as provided herein as if such space were otherwise occupied by Tenant. The provisions of this Section shall survive the expiration or earlier termination of this Lease.</w:t>
      </w:r>
    </w:p>
    <w:p>
      <w:pPr>
        <w:spacing w:after="0" w:line="165" w:lineRule="exact"/>
        <w:rPr>
          <w:sz w:val="20"/>
          <w:szCs w:val="20"/>
          <w:color w:val="auto"/>
        </w:rPr>
      </w:pPr>
    </w:p>
    <w:p>
      <w:pPr>
        <w:jc w:val="both"/>
        <w:ind w:firstLine="567"/>
        <w:spacing w:after="0" w:line="268" w:lineRule="auto"/>
        <w:rPr>
          <w:sz w:val="20"/>
          <w:szCs w:val="20"/>
          <w:color w:val="auto"/>
        </w:rPr>
      </w:pPr>
      <w:r>
        <w:rPr>
          <w:rFonts w:ascii="Arial" w:cs="Arial" w:eastAsia="Arial" w:hAnsi="Arial"/>
          <w:sz w:val="15"/>
          <w:szCs w:val="15"/>
          <w:color w:val="auto"/>
        </w:rPr>
        <w:t xml:space="preserve">17.7. The Premises plus any Alterations, Signage, Tenant Improvements, attached equipment, decorations, fixtures, movable laboratory casework and related appliances, trade fixtures, additions and improvements attached to or built into the Premises, made by either of the Parties (including all floor and wall coverings; paneling; sinks and related plumbing fixtures; laboratory benches; exterior venting fume hoods; walk-in freezers and refrigerators; ductwork; conduits; electrical panels and circuits; business and trade fixtures; attached machinery and equipment; and built-in furniture and cabinets, in each case, together with all additions and accessories thereto), shall (unless, prior to such construction or installation, Landlord elects otherwise) at all times remain the property of Landlord, shall remain in the Premises and shall (unless, prior to construction or installation thereof, Landlord elects otherwise) be surrendered to Landlord upon the expiration or earlier termination of this Lease. For the avoidance of doubt, the items listed on </w:t>
      </w:r>
      <w:r>
        <w:rPr>
          <w:rFonts w:ascii="Arial" w:cs="Arial" w:eastAsia="Arial" w:hAnsi="Arial"/>
          <w:sz w:val="15"/>
          <w:szCs w:val="15"/>
          <w:u w:val="single" w:color="auto"/>
          <w:color w:val="auto"/>
        </w:rPr>
        <w:t>Exhibit G</w:t>
      </w:r>
      <w:r>
        <w:rPr>
          <w:rFonts w:ascii="Arial" w:cs="Arial" w:eastAsia="Arial" w:hAnsi="Arial"/>
          <w:sz w:val="15"/>
          <w:szCs w:val="15"/>
          <w:color w:val="auto"/>
        </w:rPr>
        <w:t xml:space="preserve"> attached hereto (which </w:t>
      </w:r>
      <w:r>
        <w:rPr>
          <w:rFonts w:ascii="Arial" w:cs="Arial" w:eastAsia="Arial" w:hAnsi="Arial"/>
          <w:sz w:val="15"/>
          <w:szCs w:val="15"/>
          <w:u w:val="single" w:color="auto"/>
          <w:color w:val="auto"/>
        </w:rPr>
        <w:t>Exhibit G</w:t>
      </w:r>
      <w:r>
        <w:rPr>
          <w:rFonts w:ascii="Arial" w:cs="Arial" w:eastAsia="Arial" w:hAnsi="Arial"/>
          <w:sz w:val="15"/>
          <w:szCs w:val="15"/>
          <w:color w:val="auto"/>
        </w:rPr>
        <w:t xml:space="preserve"> may be updated by Tenant from and after the Term Commencement Date, subject to Landlord’s written consent) constitute Tenant’s property and shall be removed by Tenant upon the expiration or earlier termination of the Lease.</w:t>
      </w:r>
    </w:p>
    <w:p>
      <w:pPr>
        <w:spacing w:after="0" w:line="184" w:lineRule="exact"/>
        <w:rPr>
          <w:sz w:val="20"/>
          <w:szCs w:val="20"/>
          <w:color w:val="auto"/>
        </w:rPr>
      </w:pPr>
    </w:p>
    <w:p>
      <w:pPr>
        <w:jc w:val="both"/>
        <w:ind w:right="20" w:firstLine="567"/>
        <w:spacing w:after="0" w:line="257" w:lineRule="auto"/>
        <w:rPr>
          <w:sz w:val="20"/>
          <w:szCs w:val="20"/>
          <w:color w:val="auto"/>
        </w:rPr>
      </w:pPr>
      <w:r>
        <w:rPr>
          <w:rFonts w:ascii="Arial" w:cs="Arial" w:eastAsia="Arial" w:hAnsi="Arial"/>
          <w:sz w:val="16"/>
          <w:szCs w:val="16"/>
          <w:color w:val="auto"/>
        </w:rPr>
        <w:t>17.8. Notwithstanding any other provision of this Article to the contrary, in no event shall Tenant remove any improvement or equipment (including the FF&amp;E) from the Premises as to which Landlord contributed payment, including the Tenant Improvements, without Landlord’s prior written consent, which consent Landlord may withhold in its sole and absolute discretion.</w:t>
      </w:r>
    </w:p>
    <w:p>
      <w:pPr>
        <w:spacing w:after="0" w:line="189" w:lineRule="exact"/>
        <w:rPr>
          <w:sz w:val="20"/>
          <w:szCs w:val="20"/>
          <w:color w:val="auto"/>
        </w:rPr>
      </w:pPr>
    </w:p>
    <w:p>
      <w:pPr>
        <w:jc w:val="both"/>
        <w:ind w:firstLine="567"/>
        <w:spacing w:after="0" w:line="272" w:lineRule="auto"/>
        <w:rPr>
          <w:sz w:val="20"/>
          <w:szCs w:val="20"/>
          <w:color w:val="auto"/>
        </w:rPr>
      </w:pPr>
      <w:r>
        <w:rPr>
          <w:rFonts w:ascii="Arial" w:cs="Arial" w:eastAsia="Arial" w:hAnsi="Arial"/>
          <w:sz w:val="15"/>
          <w:szCs w:val="15"/>
          <w:color w:val="auto"/>
        </w:rPr>
        <w:t>17.9. If Tenant shall fail to remove any of its property from the Premises by the expiration or earlier termination of this Lease, then Landlord may, at its option, remove the same in any manner that Landlord shall choose and store such effects without liability to Tenant for loss thereof or damage thereto, and Tenant shall pay Landlord, upon demand, any costs and expenses incurred due to such removal and storage or Landlord may, at its sole option and without notice to Tenant, sell such property or any portion thereof at private sale and without legal process for such price as Landlord may obtain and apply the proceeds of such sale against any (a) amounts due by Tenant to Landlord under this Lease and (b) any expenses incident to the removal, storage and sale of such personal property.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68" w:name="page169"/>
    <w:bookmarkEnd w:id="168"/>
    <w:p>
      <w:pPr>
        <w:jc w:val="both"/>
        <w:ind w:left="5" w:right="20" w:firstLine="567"/>
        <w:spacing w:after="0" w:line="301" w:lineRule="auto"/>
        <w:rPr>
          <w:sz w:val="20"/>
          <w:szCs w:val="20"/>
          <w:color w:val="auto"/>
        </w:rPr>
      </w:pPr>
      <w:r>
        <w:rPr>
          <w:rFonts w:ascii="Arial" w:cs="Arial" w:eastAsia="Arial" w:hAnsi="Arial"/>
          <w:sz w:val="14"/>
          <w:szCs w:val="14"/>
          <w:color w:val="auto"/>
        </w:rPr>
        <w:t>17.10. Tenant shall pay to Landlord an amount equal to one percent (1%) of the cost to Tenant of all Alterations to cover Landlord’s overhead and expenses for plan review, coordination, scheduling and supervision thereof. For purposes of payment of such sum, Tenant shall submit to Landlord copies of all bills, invoices and statements covering the costs of such charges, accompanied by payment to Landlord of the fee set forth in this Section. Tenant shall reimburse Landlord for any extra expenses incurred by Landlord by reason of faulty work done by Tenant or its contractors, or by reason of delays caused by such work, or by reason of inadequate clean-up.</w:t>
      </w:r>
    </w:p>
    <w:p>
      <w:pPr>
        <w:spacing w:after="0" w:line="138" w:lineRule="exact"/>
        <w:rPr>
          <w:sz w:val="20"/>
          <w:szCs w:val="20"/>
          <w:color w:val="auto"/>
        </w:rPr>
      </w:pPr>
    </w:p>
    <w:p>
      <w:pPr>
        <w:jc w:val="both"/>
        <w:ind w:left="5" w:firstLine="567"/>
        <w:spacing w:after="0" w:line="257" w:lineRule="auto"/>
        <w:rPr>
          <w:sz w:val="20"/>
          <w:szCs w:val="20"/>
          <w:color w:val="auto"/>
        </w:rPr>
      </w:pPr>
      <w:r>
        <w:rPr>
          <w:rFonts w:ascii="Arial" w:cs="Arial" w:eastAsia="Arial" w:hAnsi="Arial"/>
          <w:sz w:val="16"/>
          <w:szCs w:val="16"/>
          <w:color w:val="auto"/>
        </w:rPr>
        <w:t>17.11. Within sixty (60) days after final completion of the Tenant Improvements or any Alterations performed by Tenant with respect to the Premises, Tenant shall submit to Landlord documentation showing the amounts expended by Tenant with respect to such Tenant Improvements and Alterations, together with supporting documentation reasonably acceptable to Landlord.</w:t>
      </w:r>
    </w:p>
    <w:p>
      <w:pPr>
        <w:spacing w:after="0" w:line="165" w:lineRule="exact"/>
        <w:rPr>
          <w:sz w:val="20"/>
          <w:szCs w:val="20"/>
          <w:color w:val="auto"/>
        </w:rPr>
      </w:pPr>
    </w:p>
    <w:p>
      <w:pPr>
        <w:jc w:val="both"/>
        <w:ind w:left="5" w:right="20" w:firstLine="567"/>
        <w:spacing w:after="0" w:line="267" w:lineRule="auto"/>
        <w:rPr>
          <w:sz w:val="20"/>
          <w:szCs w:val="20"/>
          <w:color w:val="auto"/>
        </w:rPr>
      </w:pPr>
      <w:r>
        <w:rPr>
          <w:rFonts w:ascii="Arial" w:cs="Arial" w:eastAsia="Arial" w:hAnsi="Arial"/>
          <w:sz w:val="16"/>
          <w:szCs w:val="16"/>
          <w:color w:val="auto"/>
        </w:rPr>
        <w:t>17.12. Tenant shall take, and shall cause its contractors to take, commercially reasonable steps to protect the Premises during the performance of any Alterations or Tenant Improvements, including covering or temporarily removing any window coverings so as to guard against dust, debris or damage.</w:t>
      </w:r>
    </w:p>
    <w:p>
      <w:pPr>
        <w:spacing w:after="0" w:line="158" w:lineRule="exact"/>
        <w:rPr>
          <w:sz w:val="20"/>
          <w:szCs w:val="20"/>
          <w:color w:val="auto"/>
        </w:rPr>
      </w:pPr>
    </w:p>
    <w:p>
      <w:pPr>
        <w:jc w:val="both"/>
        <w:ind w:left="5" w:right="20" w:firstLine="567"/>
        <w:spacing w:after="0" w:line="267" w:lineRule="auto"/>
        <w:rPr>
          <w:sz w:val="20"/>
          <w:szCs w:val="20"/>
          <w:color w:val="auto"/>
        </w:rPr>
      </w:pPr>
      <w:r>
        <w:rPr>
          <w:rFonts w:ascii="Arial" w:cs="Arial" w:eastAsia="Arial" w:hAnsi="Arial"/>
          <w:sz w:val="16"/>
          <w:szCs w:val="16"/>
          <w:color w:val="auto"/>
        </w:rPr>
        <w:t>17.13. Tenant shall require its contractors and subcontractors performing work on the Premises to name Landlord and its affiliates and Lenders as additional insureds on their respective insurance policies.</w:t>
      </w:r>
    </w:p>
    <w:p>
      <w:pPr>
        <w:spacing w:after="0" w:line="181" w:lineRule="exact"/>
        <w:rPr>
          <w:sz w:val="20"/>
          <w:szCs w:val="20"/>
          <w:color w:val="auto"/>
        </w:rPr>
      </w:pPr>
    </w:p>
    <w:p>
      <w:pPr>
        <w:ind w:left="545" w:hanging="545"/>
        <w:spacing w:after="0"/>
        <w:tabs>
          <w:tab w:leader="none" w:pos="54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Repairs and Maintenance</w:t>
      </w:r>
      <w:r>
        <w:rPr>
          <w:rFonts w:ascii="Arial" w:cs="Arial" w:eastAsia="Arial" w:hAnsi="Arial"/>
          <w:sz w:val="16"/>
          <w:szCs w:val="16"/>
          <w:color w:val="auto"/>
        </w:rPr>
        <w:t>.</w:t>
      </w:r>
    </w:p>
    <w:p>
      <w:pPr>
        <w:spacing w:after="0" w:line="218" w:lineRule="exact"/>
        <w:rPr>
          <w:sz w:val="20"/>
          <w:szCs w:val="20"/>
          <w:color w:val="auto"/>
        </w:rPr>
      </w:pPr>
    </w:p>
    <w:p>
      <w:pPr>
        <w:jc w:val="both"/>
        <w:ind w:left="5" w:firstLine="567"/>
        <w:spacing w:after="0" w:line="286" w:lineRule="auto"/>
        <w:rPr>
          <w:sz w:val="20"/>
          <w:szCs w:val="20"/>
          <w:color w:val="auto"/>
        </w:rPr>
      </w:pPr>
      <w:r>
        <w:rPr>
          <w:rFonts w:ascii="Arial" w:cs="Arial" w:eastAsia="Arial" w:hAnsi="Arial"/>
          <w:sz w:val="14"/>
          <w:szCs w:val="14"/>
          <w:color w:val="auto"/>
        </w:rPr>
        <w:t xml:space="preserve">18.1. Tenant, at its sole cost and expense, shall maintain and keep the Premises, all improvements thereon, and all appurtenances thereto, including sidewalks, parking areas, curbs, roads, driveways, lighting standards, landscaping, sewers, water, gas and electrical distribution systems and facilities, drainage facilities, and all signs, both illuminated and non-illuminated that are now or hereafter on the Premises, in good condition and in a manner consistent with the Permitted Use. Tenant shall make all repairs, replacements and improvements, including all structural, roof, HVAC, plumbing and electrical repairs, replacements and improvements required, and shall keep the same free and clear from all rubbish, debris, insects, rodents and other vermin and pests. Tenant, within thirty (30) days after Landlord’s request, shall provide to Landlord a copy of the budget for maintenance, repairs and replacements at the Premises for the current calendar year, as well as a detailed summary of the amounts actually expended by Tenant during the preceding calendar year for maintenance, repairs and replacements at the Premises. All repairs made by Tenant shall be at least equal in quality to the original work, and shall be made only by a licensed, bonded contractor approved in advance by Landlord; </w:t>
      </w:r>
      <w:r>
        <w:rPr>
          <w:rFonts w:ascii="Arial" w:cs="Arial" w:eastAsia="Arial" w:hAnsi="Arial"/>
          <w:sz w:val="14"/>
          <w:szCs w:val="14"/>
          <w:u w:val="single" w:color="auto"/>
          <w:color w:val="auto"/>
        </w:rPr>
        <w:t>provided</w:t>
      </w:r>
      <w:r>
        <w:rPr>
          <w:rFonts w:ascii="Arial" w:cs="Arial" w:eastAsia="Arial" w:hAnsi="Arial"/>
          <w:sz w:val="14"/>
          <w:szCs w:val="14"/>
          <w:color w:val="auto"/>
        </w:rPr>
        <w:t>, however, that such contractor need not be bonded or approved by Landlord if the non-structural alterations, repairs, additions or improvements to be performed do not exceed Twenty-Five Thousand Dollars ($25,000) in value. Landlord may impose reasonable restrictions and requirements with respect to such repairs. Tenant shall not take or omit to take any action, the taking or omission of which shall cause waste, damage or injury to the Premises. Tenant shall indemnify, save, defend (at Landlord’s option and with counsel reasonably acceptable to Landlord) and hold harmless Landlord from and against any and all Claims (as defined below) arising out of the failure of Tenant or Tenant’s Agents to perform the covenants contained in this paragraph. “</w:t>
      </w:r>
      <w:r>
        <w:rPr>
          <w:rFonts w:ascii="Arial" w:cs="Arial" w:eastAsia="Arial" w:hAnsi="Arial"/>
          <w:sz w:val="14"/>
          <w:szCs w:val="14"/>
          <w:u w:val="single" w:color="auto"/>
          <w:color w:val="auto"/>
        </w:rPr>
        <w:t>Tenant’s Agents</w:t>
      </w:r>
      <w:r>
        <w:rPr>
          <w:rFonts w:ascii="Arial" w:cs="Arial" w:eastAsia="Arial" w:hAnsi="Arial"/>
          <w:sz w:val="14"/>
          <w:szCs w:val="14"/>
          <w:color w:val="auto"/>
        </w:rPr>
        <w:t>” shall be defined to include Tenant’s officers, employees, agents, contractors, invitees, customers and subcontractors.</w:t>
      </w:r>
    </w:p>
    <w:p>
      <w:pPr>
        <w:spacing w:after="0" w:line="327"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69" w:name="page170"/>
    <w:bookmarkEnd w:id="169"/>
    <w:p>
      <w:pPr>
        <w:jc w:val="both"/>
        <w:ind w:firstLine="567"/>
        <w:spacing w:after="0" w:line="276" w:lineRule="auto"/>
        <w:rPr>
          <w:sz w:val="20"/>
          <w:szCs w:val="20"/>
          <w:color w:val="auto"/>
        </w:rPr>
      </w:pPr>
      <w:r>
        <w:rPr>
          <w:rFonts w:ascii="Arial" w:cs="Arial" w:eastAsia="Arial" w:hAnsi="Arial"/>
          <w:sz w:val="15"/>
          <w:szCs w:val="15"/>
          <w:color w:val="auto"/>
        </w:rPr>
        <w:t>18.2. Tenant shall maintain the lines designating the parking spaces in good condition and paint the same as often as may be necessary, so that they are easily discernable at all times; resurface the parking areas as necessary to maintain them in good condition; paint any exterior portions of the Building as necessary to maintain them in good condition; maintain the roof and landscaping in good condition; maintain sightly screens, barricades or enclosures around any waste or storage areas; and take all reasonable precautions to insure that the drainage facilities of the roof are not clogged and are in good and operable condition at all times.</w:t>
      </w:r>
    </w:p>
    <w:p>
      <w:pPr>
        <w:spacing w:after="0" w:line="152" w:lineRule="exact"/>
        <w:rPr>
          <w:sz w:val="20"/>
          <w:szCs w:val="20"/>
          <w:color w:val="auto"/>
        </w:rPr>
      </w:pPr>
    </w:p>
    <w:p>
      <w:pPr>
        <w:jc w:val="both"/>
        <w:ind w:right="20" w:firstLine="567"/>
        <w:spacing w:after="0" w:line="301" w:lineRule="auto"/>
        <w:rPr>
          <w:sz w:val="20"/>
          <w:szCs w:val="20"/>
          <w:color w:val="auto"/>
        </w:rPr>
      </w:pPr>
      <w:r>
        <w:rPr>
          <w:rFonts w:ascii="Arial" w:cs="Arial" w:eastAsia="Arial" w:hAnsi="Arial"/>
          <w:sz w:val="15"/>
          <w:szCs w:val="15"/>
          <w:color w:val="auto"/>
        </w:rPr>
        <w:t>18.3. There shall be no abatement of Rent and no liability of Landlord by reason of any injury to or interference with Tenant’s business arising from the making of any repairs, alterations or improvements in or to any portion of the Premises, or in or to improvements, fixtures, equipment and personal property therein.</w:t>
      </w:r>
    </w:p>
    <w:p>
      <w:pPr>
        <w:spacing w:after="0" w:line="135" w:lineRule="exact"/>
        <w:rPr>
          <w:sz w:val="20"/>
          <w:szCs w:val="20"/>
          <w:color w:val="auto"/>
        </w:rPr>
      </w:pPr>
    </w:p>
    <w:p>
      <w:pPr>
        <w:jc w:val="both"/>
        <w:ind w:firstLine="567"/>
        <w:spacing w:after="0" w:line="249" w:lineRule="auto"/>
        <w:rPr>
          <w:sz w:val="20"/>
          <w:szCs w:val="20"/>
          <w:color w:val="auto"/>
        </w:rPr>
      </w:pPr>
      <w:r>
        <w:rPr>
          <w:rFonts w:ascii="Arial" w:cs="Arial" w:eastAsia="Arial" w:hAnsi="Arial"/>
          <w:sz w:val="16"/>
          <w:szCs w:val="16"/>
          <w:color w:val="auto"/>
        </w:rPr>
        <w:t>18.4. During the Term, Landlord shall not be required to maintain or make any repairs or replacements of any nature or description whatsoever to the Premises. Tenant hereby expressly waives the right to make repairs at the expense of Landlord as provided for in any Applicable Laws in effect at the time of execution of this Lease, or in any other Applicable Laws that may hereafter be enacted, and waives its rights under Applicable Laws relating to a landlord’s duty to maintain its premises in a tenantable condition. Notwithstanding the foregoing, if Tenant shall fail, after reasonable notice, to maintain or to commence and thereafter to proceed with diligence to make any repair required of it pursuant to the terms of this Lease, Landlord, without being under any obligation to do so and without thereby waiving such default by Tenant, may so maintain or make such repair and may charge Tenant for the costs thereof. Any expense reasonably incurred by Landlord in connection with the making of such repairs may be billed by Landlord to Tenant monthly or, at Landlord’s option, immediately, and shall be due and payable within ten (10) days after such billing or, at Landlord’s option, may be deducted from the Security Deposit.</w:t>
      </w:r>
    </w:p>
    <w:p>
      <w:pPr>
        <w:spacing w:after="0" w:line="175" w:lineRule="exact"/>
        <w:rPr>
          <w:sz w:val="20"/>
          <w:szCs w:val="20"/>
          <w:color w:val="auto"/>
        </w:rPr>
      </w:pPr>
    </w:p>
    <w:p>
      <w:pPr>
        <w:jc w:val="both"/>
        <w:ind w:right="20" w:firstLine="567"/>
        <w:spacing w:after="0" w:line="276" w:lineRule="auto"/>
        <w:rPr>
          <w:sz w:val="20"/>
          <w:szCs w:val="20"/>
          <w:color w:val="auto"/>
        </w:rPr>
      </w:pPr>
      <w:r>
        <w:rPr>
          <w:rFonts w:ascii="Arial" w:cs="Arial" w:eastAsia="Arial" w:hAnsi="Arial"/>
          <w:sz w:val="15"/>
          <w:szCs w:val="15"/>
          <w:color w:val="auto"/>
        </w:rPr>
        <w:t>18.5. Landlord and Landlord’s agents shall have the right to enter upon the Premises or any portion thereof for the purposes of performing any repairs or maintenance Landlord is permitted to make pursuant to this Lease, and of ascertaining the condition of the Premises or whether Tenant is observing and performing Tenant’s obligations hereunder, all without unreasonable interference from Tenant or Tenant’s Agents. Except for emergency maintenance or repairs, the right of entry contained in this paragraph shall be exercisable at reasonable times, at reasonable hours and on not less than two (2) business days’ prior notice.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70" w:name="page171"/>
    <w:bookmarkEnd w:id="170"/>
    <w:p>
      <w:pPr>
        <w:ind w:left="565"/>
        <w:spacing w:after="0"/>
        <w:tabs>
          <w:tab w:leader="none" w:pos="1105" w:val="left"/>
        </w:tabs>
        <w:rPr>
          <w:sz w:val="20"/>
          <w:szCs w:val="20"/>
          <w:color w:val="auto"/>
        </w:rPr>
      </w:pPr>
      <w:r>
        <w:rPr>
          <w:rFonts w:ascii="Arial" w:cs="Arial" w:eastAsia="Arial" w:hAnsi="Arial"/>
          <w:sz w:val="16"/>
          <w:szCs w:val="16"/>
          <w:color w:val="auto"/>
        </w:rPr>
        <w:t>18.6.</w:t>
      </w:r>
      <w:r>
        <w:rPr>
          <w:sz w:val="20"/>
          <w:szCs w:val="20"/>
          <w:color w:val="auto"/>
        </w:rPr>
        <w:tab/>
      </w:r>
      <w:r>
        <w:rPr>
          <w:rFonts w:ascii="Arial" w:cs="Arial" w:eastAsia="Arial" w:hAnsi="Arial"/>
          <w:sz w:val="15"/>
          <w:szCs w:val="15"/>
          <w:color w:val="auto"/>
        </w:rPr>
        <w:t>[Intentionally omitted.]</w:t>
      </w:r>
    </w:p>
    <w:p>
      <w:pPr>
        <w:spacing w:after="0" w:line="194" w:lineRule="exact"/>
        <w:rPr>
          <w:sz w:val="20"/>
          <w:szCs w:val="20"/>
          <w:color w:val="auto"/>
        </w:rPr>
      </w:pPr>
    </w:p>
    <w:p>
      <w:pPr>
        <w:jc w:val="both"/>
        <w:ind w:left="5" w:firstLine="567"/>
        <w:spacing w:after="0" w:line="272" w:lineRule="auto"/>
        <w:rPr>
          <w:sz w:val="20"/>
          <w:szCs w:val="20"/>
          <w:color w:val="auto"/>
        </w:rPr>
      </w:pPr>
      <w:r>
        <w:rPr>
          <w:rFonts w:ascii="Arial" w:cs="Arial" w:eastAsia="Arial" w:hAnsi="Arial"/>
          <w:sz w:val="15"/>
          <w:szCs w:val="15"/>
          <w:color w:val="auto"/>
        </w:rPr>
        <w:t>18.7. Tenant shall, upon the expiration or sooner termination of the Term, surrender the Premises to Landlord in as good a condition as when received, ordinary wear and tear excepted and with the Tenant Improvements in substantially the same condition as existed on the Term Commencement Date (or if the Tenant Improvements are not Substantially Complete by the Term Commencement Date, then on the date that the Tenant Improvements are Substantially Complete); and shall, at Landlord’s request and Tenant’s sole cost and expense, remove all telephone and data systems, wiring and equipment from the Premises, and repair any damage to the Premises caused thereby. Landlord shall have no obligation to alter, remodel, improve, repair, decorate or paint the Premises or any part thereof.</w:t>
      </w:r>
    </w:p>
    <w:p>
      <w:pPr>
        <w:spacing w:after="0" w:line="157" w:lineRule="exact"/>
        <w:rPr>
          <w:sz w:val="20"/>
          <w:szCs w:val="20"/>
          <w:color w:val="auto"/>
        </w:rPr>
      </w:pPr>
    </w:p>
    <w:p>
      <w:pPr>
        <w:jc w:val="both"/>
        <w:ind w:left="5" w:firstLine="567"/>
        <w:spacing w:after="0" w:line="268" w:lineRule="auto"/>
        <w:rPr>
          <w:sz w:val="20"/>
          <w:szCs w:val="20"/>
          <w:color w:val="auto"/>
        </w:rPr>
      </w:pPr>
      <w:r>
        <w:rPr>
          <w:rFonts w:ascii="Arial" w:cs="Arial" w:eastAsia="Arial" w:hAnsi="Arial"/>
          <w:sz w:val="15"/>
          <w:szCs w:val="15"/>
          <w:color w:val="auto"/>
        </w:rPr>
        <w:t xml:space="preserve">18.8. If any excavation shall be made upon land adjacent to or under the Building, or shall be authorized to be made, Tenant shall afford to the person causing or authorized to cause such excavation, license to enter the Premises for the purpose of performing such work as such person shall deem necessary or desirable to preserve and protect the Building from injury or damage and to support the same by proper foundations, without any claim for damages or liability against Landlord and without reducing or otherwise affecting Tenant’s obligations under this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however, that Landlord shall not grant any permission or consent to the owner or occupant of any land adjacent to the Premises (other than to an affiliate of Landlord) to conduct any such excavation without the prior written consent of Tenant, which consent shall not be unreasonably withheld, conditioned or delayed; </w:t>
      </w:r>
      <w:r>
        <w:rPr>
          <w:rFonts w:ascii="Arial" w:cs="Arial" w:eastAsia="Arial" w:hAnsi="Arial"/>
          <w:sz w:val="15"/>
          <w:szCs w:val="15"/>
          <w:u w:val="single" w:color="auto"/>
          <w:color w:val="auto"/>
        </w:rPr>
        <w:t>provided</w:t>
      </w:r>
      <w:r>
        <w:rPr>
          <w:rFonts w:ascii="Arial" w:cs="Arial" w:eastAsia="Arial" w:hAnsi="Arial"/>
          <w:sz w:val="15"/>
          <w:szCs w:val="15"/>
          <w:color w:val="auto"/>
        </w:rPr>
        <w:t>, further, that such restriction shall not apply to the extent any such excavation is required by any Applicable Laws. If such excavation is being performed by Landlord, Landlord shall endeavor to perform such excavation in a manner that minimizes (to the extent reasonably possible) any material adverse effect on Tenant’s use of the Premises for the Permitted Use.</w:t>
      </w:r>
    </w:p>
    <w:p>
      <w:pPr>
        <w:spacing w:after="0" w:line="161" w:lineRule="exact"/>
        <w:rPr>
          <w:sz w:val="20"/>
          <w:szCs w:val="20"/>
          <w:color w:val="auto"/>
        </w:rPr>
      </w:pPr>
    </w:p>
    <w:p>
      <w:pPr>
        <w:jc w:val="both"/>
        <w:ind w:left="5" w:firstLine="567"/>
        <w:spacing w:after="0" w:line="267" w:lineRule="auto"/>
        <w:rPr>
          <w:sz w:val="20"/>
          <w:szCs w:val="20"/>
          <w:color w:val="auto"/>
        </w:rPr>
      </w:pPr>
      <w:r>
        <w:rPr>
          <w:rFonts w:ascii="Arial" w:cs="Arial" w:eastAsia="Arial" w:hAnsi="Arial"/>
          <w:sz w:val="16"/>
          <w:szCs w:val="16"/>
          <w:color w:val="auto"/>
        </w:rPr>
        <w:t xml:space="preserve">18.9. This Article relates to repairs and maintenance arising in the ordinary course of operation of the Premises. In the event of a casualty described in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shall apply in lieu of this Article. In the event of eminent domain, </w:t>
      </w:r>
      <w:r>
        <w:rPr>
          <w:rFonts w:ascii="Arial" w:cs="Arial" w:eastAsia="Arial" w:hAnsi="Arial"/>
          <w:sz w:val="16"/>
          <w:szCs w:val="16"/>
          <w:u w:val="single" w:color="auto"/>
          <w:color w:val="auto"/>
        </w:rPr>
        <w:t>Article 25</w:t>
      </w:r>
      <w:r>
        <w:rPr>
          <w:rFonts w:ascii="Arial" w:cs="Arial" w:eastAsia="Arial" w:hAnsi="Arial"/>
          <w:sz w:val="16"/>
          <w:szCs w:val="16"/>
          <w:color w:val="auto"/>
        </w:rPr>
        <w:t xml:space="preserve"> shall apply in lieu of this Article.</w:t>
      </w:r>
    </w:p>
    <w:p>
      <w:pPr>
        <w:spacing w:after="0" w:line="158" w:lineRule="exact"/>
        <w:rPr>
          <w:sz w:val="20"/>
          <w:szCs w:val="20"/>
          <w:color w:val="auto"/>
        </w:rPr>
      </w:pPr>
    </w:p>
    <w:p>
      <w:pPr>
        <w:ind w:left="525" w:hanging="525"/>
        <w:spacing w:after="0"/>
        <w:tabs>
          <w:tab w:leader="none" w:pos="52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194" w:lineRule="exact"/>
        <w:rPr>
          <w:sz w:val="20"/>
          <w:szCs w:val="20"/>
          <w:color w:val="auto"/>
        </w:rPr>
      </w:pPr>
    </w:p>
    <w:p>
      <w:pPr>
        <w:jc w:val="both"/>
        <w:ind w:left="5" w:firstLine="567"/>
        <w:spacing w:after="0" w:line="253" w:lineRule="auto"/>
        <w:rPr>
          <w:sz w:val="20"/>
          <w:szCs w:val="20"/>
          <w:color w:val="auto"/>
        </w:rPr>
      </w:pPr>
      <w:r>
        <w:rPr>
          <w:rFonts w:ascii="Arial" w:cs="Arial" w:eastAsia="Arial" w:hAnsi="Arial"/>
          <w:sz w:val="16"/>
          <w:szCs w:val="16"/>
          <w:color w:val="auto"/>
        </w:rPr>
        <w:t>19.1. Subject to the immediately succeeding sentence, Tenant shall keep the Premises free from any liens arising out of work or services performed, materials furnished or obligations incurred by Tenant. Tenant further covenants and agrees that any mechanic’s or materialman’s lien filed against the Premises for work or services claimed to have been done for, or materials claimed to have been furnished to, or obligations incurred by Tenant shall be discharged or bonded by Tenant within ten (10) days after the filing thereof, at Tenant’s sole cost and expense.</w:t>
      </w:r>
    </w:p>
    <w:p>
      <w:pPr>
        <w:spacing w:after="0" w:line="193" w:lineRule="exact"/>
        <w:rPr>
          <w:sz w:val="20"/>
          <w:szCs w:val="20"/>
          <w:color w:val="auto"/>
        </w:rPr>
      </w:pPr>
    </w:p>
    <w:p>
      <w:pPr>
        <w:jc w:val="both"/>
        <w:ind w:left="5" w:right="20" w:firstLine="567"/>
        <w:spacing w:after="0" w:line="276" w:lineRule="auto"/>
        <w:rPr>
          <w:sz w:val="20"/>
          <w:szCs w:val="20"/>
          <w:color w:val="auto"/>
        </w:rPr>
      </w:pPr>
      <w:r>
        <w:rPr>
          <w:rFonts w:ascii="Arial" w:cs="Arial" w:eastAsia="Arial" w:hAnsi="Arial"/>
          <w:sz w:val="15"/>
          <w:szCs w:val="15"/>
          <w:color w:val="auto"/>
        </w:rPr>
        <w:t xml:space="preserve">19.2. Should Tenant fail to discharge or bond against any lien of the nature described in </w:t>
      </w:r>
      <w:r>
        <w:rPr>
          <w:rFonts w:ascii="Arial" w:cs="Arial" w:eastAsia="Arial" w:hAnsi="Arial"/>
          <w:sz w:val="15"/>
          <w:szCs w:val="15"/>
          <w:u w:val="single" w:color="auto"/>
          <w:color w:val="auto"/>
        </w:rPr>
        <w:t>Section 19.1</w:t>
      </w:r>
      <w:r>
        <w:rPr>
          <w:rFonts w:ascii="Arial" w:cs="Arial" w:eastAsia="Arial" w:hAnsi="Arial"/>
          <w:sz w:val="15"/>
          <w:szCs w:val="15"/>
          <w:color w:val="auto"/>
        </w:rPr>
        <w:t>, Landlord may, at Landlord’s election, pay such claim or post a statutory lien bond or otherwise provide security to eliminate the lien as a claim against title, and Tenant shall immediately reimburse Landlord for the costs thereof as Additional Rent. Tenant shall indemnify, save, defend (at Landlord’s option and with counsel reasonably acceptable to Landlord) and hold the Landlord Indemnitees harmless from and against any Claims arising from any such liens, including any administrative, court or other legal proceedings related to such liens.</w:t>
      </w:r>
    </w:p>
    <w:p>
      <w:pPr>
        <w:spacing w:after="0" w:line="326"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71" w:name="page172"/>
    <w:bookmarkEnd w:id="171"/>
    <w:p>
      <w:pPr>
        <w:jc w:val="both"/>
        <w:ind w:left="5" w:firstLine="567"/>
        <w:spacing w:after="0" w:line="249" w:lineRule="auto"/>
        <w:rPr>
          <w:sz w:val="20"/>
          <w:szCs w:val="20"/>
          <w:color w:val="auto"/>
        </w:rPr>
      </w:pPr>
      <w:r>
        <w:rPr>
          <w:rFonts w:ascii="Arial" w:cs="Arial" w:eastAsia="Arial" w:hAnsi="Arial"/>
          <w:sz w:val="16"/>
          <w:szCs w:val="16"/>
          <w:color w:val="auto"/>
        </w:rPr>
        <w:t>19.3. In the event that Tenant leases or finances the acquisition of office equipment, furnishings or other personal property of a removable nature utilized by Tenant in the operation of Tenant’s business, Tenant warrants that any Uniform Commercial Code financing statement shall, upon its face or by exhibit thereto, indicate that such financing statement (and any associated lien) is applicable only to removable personal property of Tenant located within the Premises. Should any holder of a financing statement record or place of record a financing statement that appears to constitute a lien against any interest of Landlord or against equipment that may be located other than within an identified suite leased by Tenant, Tenant shall, within ten (10) days after filing such financing statement, cause (a) a copy of the Lender security agreement or other documents to which the financing statement pertains to be furnished to Landlord to facilitate Landlord’s ability to demonstrate that the lien of such financing statement is not applicable to Landlord’s interest and (b) Tenant’s Lender to amend such financing statement and any other documents of record to clarify that any liens imposed thereby are not applicable to any interest of Landlord in the Premises.</w:t>
      </w:r>
    </w:p>
    <w:p>
      <w:pPr>
        <w:spacing w:after="0" w:line="175" w:lineRule="exact"/>
        <w:rPr>
          <w:sz w:val="20"/>
          <w:szCs w:val="20"/>
          <w:color w:val="auto"/>
        </w:rPr>
      </w:pPr>
    </w:p>
    <w:p>
      <w:pPr>
        <w:jc w:val="both"/>
        <w:ind w:left="5" w:hanging="5"/>
        <w:spacing w:after="0" w:line="290" w:lineRule="auto"/>
        <w:tabs>
          <w:tab w:leader="none" w:pos="750" w:val="left"/>
        </w:tabs>
        <w:numPr>
          <w:ilvl w:val="0"/>
          <w:numId w:val="82"/>
        </w:numPr>
        <w:rPr>
          <w:rFonts w:ascii="Arial" w:cs="Arial" w:eastAsia="Arial" w:hAnsi="Arial"/>
          <w:sz w:val="14"/>
          <w:szCs w:val="14"/>
          <w:color w:val="auto"/>
        </w:rPr>
      </w:pPr>
      <w:r>
        <w:rPr>
          <w:rFonts w:ascii="Arial" w:cs="Arial" w:eastAsia="Arial" w:hAnsi="Arial"/>
          <w:sz w:val="14"/>
          <w:szCs w:val="14"/>
          <w:u w:val="single" w:color="auto"/>
          <w:color w:val="auto"/>
        </w:rPr>
        <w:t>Estoppel Certificate</w:t>
      </w:r>
      <w:r>
        <w:rPr>
          <w:rFonts w:ascii="Arial" w:cs="Arial" w:eastAsia="Arial" w:hAnsi="Arial"/>
          <w:sz w:val="14"/>
          <w:szCs w:val="14"/>
          <w:color w:val="auto"/>
        </w:rPr>
        <w:t xml:space="preserve">. Tenant shall, within ten (10) business days of receipt of written notice from Landlord, execute, acknowledge and deliver a statement in writing substantially in the form attached to this Lease as </w:t>
      </w:r>
      <w:r>
        <w:rPr>
          <w:rFonts w:ascii="Arial" w:cs="Arial" w:eastAsia="Arial" w:hAnsi="Arial"/>
          <w:sz w:val="14"/>
          <w:szCs w:val="14"/>
          <w:u w:val="single" w:color="auto"/>
          <w:color w:val="auto"/>
        </w:rPr>
        <w:t>Exhibit H</w:t>
      </w:r>
      <w:r>
        <w:rPr>
          <w:rFonts w:ascii="Arial" w:cs="Arial" w:eastAsia="Arial" w:hAnsi="Arial"/>
          <w:sz w:val="14"/>
          <w:szCs w:val="14"/>
          <w:color w:val="auto"/>
        </w:rPr>
        <w:t>, or on any other form reasonably requested by a proposed Lender or purchaser, (a) certifying that this Lease is unmodified and in full force and effect (or, if modified, stating the nature of such modification and certifying that this Lease as so modified is in full force and effect) and the dates to which rental and other charges are paid in advance, if any, (b) acknowledging that there are not, to Tenant’s knowledge, any uncured defaults on the part of Landlord hereunder, or specifying such defaults if any are claimed, and (c) setting forth such further information with respect to this Lease or the Premises as may be reasonably requested thereon. Any such statement may be relied upon by any prospective purchaser or encumbrancer of all or any portion of the Property. Tenant’s failure to deliver such statement within the prescribed time shall, at Landlord’s option, constitute a Default (as defined below) under this Lease, and, in any event, shall be binding upon Tenant that the Lease is in full force and effect and without modification except as may be represented by Landlord in any certificate prepared by Landlord and delivered to Tenant for execution.</w:t>
      </w:r>
    </w:p>
    <w:p>
      <w:pPr>
        <w:spacing w:after="0" w:line="107"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72" w:name="page173"/>
    <w:bookmarkEnd w:id="172"/>
    <w:p>
      <w:pPr>
        <w:ind w:left="525" w:hanging="525"/>
        <w:spacing w:after="0"/>
        <w:tabs>
          <w:tab w:leader="none" w:pos="525"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Hazardous Materials</w:t>
      </w:r>
      <w:r>
        <w:rPr>
          <w:rFonts w:ascii="Arial" w:cs="Arial" w:eastAsia="Arial" w:hAnsi="Arial"/>
          <w:sz w:val="16"/>
          <w:szCs w:val="16"/>
          <w:color w:val="auto"/>
        </w:rPr>
        <w:t>.</w:t>
      </w:r>
    </w:p>
    <w:p>
      <w:pPr>
        <w:spacing w:after="0" w:line="218" w:lineRule="exact"/>
        <w:rPr>
          <w:sz w:val="20"/>
          <w:szCs w:val="20"/>
          <w:color w:val="auto"/>
        </w:rPr>
      </w:pPr>
    </w:p>
    <w:p>
      <w:pPr>
        <w:jc w:val="both"/>
        <w:ind w:left="5" w:firstLine="567"/>
        <w:spacing w:after="0" w:line="284" w:lineRule="auto"/>
        <w:rPr>
          <w:sz w:val="20"/>
          <w:szCs w:val="20"/>
          <w:color w:val="auto"/>
        </w:rPr>
      </w:pPr>
      <w:r>
        <w:rPr>
          <w:rFonts w:ascii="Arial" w:cs="Arial" w:eastAsia="Arial" w:hAnsi="Arial"/>
          <w:sz w:val="14"/>
          <w:szCs w:val="14"/>
          <w:color w:val="auto"/>
        </w:rPr>
        <w:t>21.1. Tenant shall not cause or permit any Hazardous Materials (as defined below) to be brought upon, kept or used in or about the Premises in violation of Applicable Laws by Tenant or any of its employees, agents, contractors and invitees (collectively with Tenant, each a “</w:t>
      </w:r>
      <w:r>
        <w:rPr>
          <w:rFonts w:ascii="Arial" w:cs="Arial" w:eastAsia="Arial" w:hAnsi="Arial"/>
          <w:sz w:val="14"/>
          <w:szCs w:val="14"/>
          <w:u w:val="single" w:color="auto"/>
          <w:color w:val="auto"/>
        </w:rPr>
        <w:t>Tenant Party</w:t>
      </w:r>
      <w:r>
        <w:rPr>
          <w:rFonts w:ascii="Arial" w:cs="Arial" w:eastAsia="Arial" w:hAnsi="Arial"/>
          <w:sz w:val="14"/>
          <w:szCs w:val="14"/>
          <w:color w:val="auto"/>
        </w:rPr>
        <w:t>”). If (a) Tenant breaches such obligation, (b) the presence of Hazardous Materials as a result of such a breach results in contamination of the Premises, any portion thereof, or any adjacent property, (c) contamination of the Premises otherwise occurs during the Term or any extension or renewal hereof or holding over hereunder (other than if such contamination results from (i) migration of Hazardous Materials from outside the Premises not caused by a Tenant Party or (ii) to the extent such contamination is caused by Landlord’s gross negligence or willful misconduct) or (d) contamination of the Premises occurs as a result of Hazardous Materials that are placed on or under or are released into the Premises by a Tenant Party, then Tenant shall indemnify, save, defend (at Landlord’s option and with counsel reasonably acceptable to Landlord) and hold the Landlord Indemnitees harmless from and against any and all Claims, including (w) diminution in value of the Premises or any portion thereof, (x) damages for the loss or restriction on use of rentable or usable space or of any amenity of the Premises, (y) without duplicating damages under (w) and (x), damages arising from any adverse impact on marketing of space in the Premises or any portion thereof and (z) sums paid in settlement of Claims that arise during or after the Term as a result of such breach or contamination. This indemnification by Tenant includes costs incurred in connection with any investigation of site conditions or any clean-up, remedial, removal or restoration work required by any Governmental Authority because of Hazardous Materials present in the air, soil or groundwater above, on or under or about the Premises (collectively, “</w:t>
      </w:r>
      <w:r>
        <w:rPr>
          <w:rFonts w:ascii="Arial" w:cs="Arial" w:eastAsia="Arial" w:hAnsi="Arial"/>
          <w:sz w:val="14"/>
          <w:szCs w:val="14"/>
          <w:u w:val="single" w:color="auto"/>
          <w:color w:val="auto"/>
        </w:rPr>
        <w:t>Investigation and Remediation Costs</w:t>
      </w:r>
      <w:r>
        <w:rPr>
          <w:rFonts w:ascii="Arial" w:cs="Arial" w:eastAsia="Arial" w:hAnsi="Arial"/>
          <w:sz w:val="14"/>
          <w:szCs w:val="14"/>
          <w:color w:val="auto"/>
        </w:rPr>
        <w:t xml:space="preserve">”). Without limiting the foregoing, if the presence of any Hazardous Materials in, on, under or about the Premises, any portion thereof or any adjacent property caused or permitted by any Tenant Party results in any contamination of the Premises, any portion thereof or any adjacent property, then Tenant shall promptly take all actions at its sole cost and expense as are necessary to return the Premises, any portion thereof or any adjacent property to its respective condition existing prior to the time of such contamination;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Landlord’s written approval of such action shall first be obtained, which approval Landlord shall not unreasonably withhold;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further, that it shall be reasonable for Landlord to withhold its consent if such actions could have a material adverse long-term or short-term effect on the Premises, any portion thereof or any adjacent property; </w:t>
      </w:r>
      <w:r>
        <w:rPr>
          <w:rFonts w:ascii="Arial" w:cs="Arial" w:eastAsia="Arial" w:hAnsi="Arial"/>
          <w:sz w:val="14"/>
          <w:szCs w:val="14"/>
          <w:u w:val="single" w:color="auto"/>
          <w:color w:val="auto"/>
        </w:rPr>
        <w:t>provided</w:t>
      </w:r>
      <w:r>
        <w:rPr>
          <w:rFonts w:ascii="Arial" w:cs="Arial" w:eastAsia="Arial" w:hAnsi="Arial"/>
          <w:sz w:val="14"/>
          <w:szCs w:val="14"/>
          <w:color w:val="auto"/>
        </w:rPr>
        <w:t>, that Landlord will not withhold its consent if such action is mandated by Applicable Laws. Notwithstanding the foregoing, Landlord shall indemnify, save, defend (at Tenant’s option and with counsel reasonably acceptable to Tenant) and hold the Tenant Parties harmless from and against any and all Claims (including Investigation and Remediation Costs) resulting from the presence of Hazardous Materials at the Premises in violation of Applicable Laws as of the Execution Date, unless placed at the Premises by a Tenant Party, or the migration of Hazardous Materials from the Premises to any adjacent property in violation of Applicable Laws prior to the Execution Date, unless caused by a Tenant Party.</w:t>
      </w:r>
    </w:p>
    <w:p>
      <w:pPr>
        <w:spacing w:after="0" w:line="311"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73" w:name="page174"/>
    <w:bookmarkEnd w:id="173"/>
    <w:p>
      <w:pPr>
        <w:jc w:val="both"/>
        <w:ind w:left="5" w:firstLine="567"/>
        <w:spacing w:after="0" w:line="283" w:lineRule="auto"/>
        <w:rPr>
          <w:sz w:val="20"/>
          <w:szCs w:val="20"/>
          <w:color w:val="auto"/>
        </w:rPr>
      </w:pPr>
      <w:r>
        <w:rPr>
          <w:rFonts w:ascii="Arial" w:cs="Arial" w:eastAsia="Arial" w:hAnsi="Arial"/>
          <w:sz w:val="14"/>
          <w:szCs w:val="14"/>
          <w:color w:val="auto"/>
        </w:rPr>
        <w:t>21.2. Landlord acknowledges that it is not the intent of this Article to prohibit Tenant from operating its business for the Permitted Use. Tenant may operate its business according to the custom of Tenant’s industry so long as the use or presence of Hazardous Materials is strictly and properly monitored in accordance with Applicable Laws. As a material inducement to Landlord to allow Tenant to use Hazardous Materials in connection with its business, Tenant agrees to deliver to Landlord (a) a list identifying each type of Hazardous Material to be present at the Premises that is subject to regulation under any environmental Applicable Laws, (b) a list of any and all approvals or permits from Governmental Authorities required in connection with the presence of such Hazardous Material at the Premises and (c) correct and complete copies of (i) notices of violations of Applicable Laws related to Hazardous Materials and (ii) plans relating to the installation of any storage tanks to be installed in, on, under or about the Premises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installation of storage tanks shall only be permitted after Landlord has given Tenant its written consent to do so, which consent Landlord may withhold in its sole and absolute discretion) and closure plans or any other documents required by any and all Governmental Authorities for any storage tanks installed in, on, under or about the Premises for the closure of any such storage tanks (collectively, “</w:t>
      </w:r>
      <w:r>
        <w:rPr>
          <w:rFonts w:ascii="Arial" w:cs="Arial" w:eastAsia="Arial" w:hAnsi="Arial"/>
          <w:sz w:val="14"/>
          <w:szCs w:val="14"/>
          <w:u w:val="single" w:color="auto"/>
          <w:color w:val="auto"/>
        </w:rPr>
        <w:t>Hazardous Materials Documents</w:t>
      </w:r>
      <w:r>
        <w:rPr>
          <w:rFonts w:ascii="Arial" w:cs="Arial" w:eastAsia="Arial" w:hAnsi="Arial"/>
          <w:sz w:val="14"/>
          <w:szCs w:val="14"/>
          <w:color w:val="auto"/>
        </w:rPr>
        <w:t>”). Tenant shall deliver to Landlord updated Hazardous Materials Documents (l) no later than thirty</w:t>
      </w:r>
    </w:p>
    <w:p>
      <w:pPr>
        <w:spacing w:after="0" w:line="4" w:lineRule="exact"/>
        <w:rPr>
          <w:sz w:val="20"/>
          <w:szCs w:val="20"/>
          <w:color w:val="auto"/>
        </w:rPr>
      </w:pPr>
    </w:p>
    <w:p>
      <w:pPr>
        <w:jc w:val="both"/>
        <w:ind w:left="5" w:hanging="5"/>
        <w:spacing w:after="0" w:line="286" w:lineRule="auto"/>
        <w:tabs>
          <w:tab w:leader="none" w:pos="310" w:val="left"/>
        </w:tabs>
        <w:numPr>
          <w:ilvl w:val="0"/>
          <w:numId w:val="84"/>
        </w:numPr>
        <w:rPr>
          <w:rFonts w:ascii="Arial" w:cs="Arial" w:eastAsia="Arial" w:hAnsi="Arial"/>
          <w:sz w:val="14"/>
          <w:szCs w:val="14"/>
          <w:color w:val="auto"/>
        </w:rPr>
      </w:pPr>
      <w:r>
        <w:rPr>
          <w:rFonts w:ascii="Arial" w:cs="Arial" w:eastAsia="Arial" w:hAnsi="Arial"/>
          <w:sz w:val="14"/>
          <w:szCs w:val="14"/>
          <w:color w:val="auto"/>
        </w:rPr>
        <w:t>days prior to the initial occupancy of any portion of the Premises or the initial placement of equipment anywhere at the Premises, (m) if there are any changes to the Hazardous Materials Documents, annually thereafter no later than December 31 of each year, and (n) thirty (30) days prior to the initiation by Tenant of any Alterations or changes in Tenant’s business that involve any material increase in the types or amounts of Hazardous Materials. For each type of Hazardous Material listed, the Hazardous Materials Documents shall include (t) 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Notwithstanding anything in this Section to the contrary, Tenant shall not be required to provide Landlord with any Hazardous Materials Documents containing information of a proprietary nature, which Hazardous Materials Documents, in and of themselves, do not contain a reference to any Hazardous Materials or activities related to Hazardous Materials. Landlord may, at Landlord’s expense, cause the Hazardous Materials Documents to be reviewed by a person or firm qualified to analyze Hazardous Materials to confirm compliance with the provisions of this Lease and with Applicable Laws. In the event that a review of the Hazardous Materials Documents indicates non-compliance with this Lease or Applicable Laws, Tenant shall, at its expense, diligently take steps to bring its storage and use of Hazardous Materials into compliance.</w:t>
      </w:r>
    </w:p>
    <w:p>
      <w:pPr>
        <w:spacing w:after="0" w:line="174" w:lineRule="exact"/>
        <w:rPr>
          <w:sz w:val="20"/>
          <w:szCs w:val="20"/>
          <w:color w:val="auto"/>
        </w:rPr>
      </w:pPr>
    </w:p>
    <w:p>
      <w:pPr>
        <w:jc w:val="both"/>
        <w:ind w:left="5" w:firstLine="567"/>
        <w:spacing w:after="0" w:line="291" w:lineRule="auto"/>
        <w:rPr>
          <w:sz w:val="20"/>
          <w:szCs w:val="20"/>
          <w:color w:val="auto"/>
        </w:rPr>
      </w:pPr>
      <w:r>
        <w:rPr>
          <w:rFonts w:ascii="Arial" w:cs="Arial" w:eastAsia="Arial" w:hAnsi="Arial"/>
          <w:sz w:val="14"/>
          <w:szCs w:val="14"/>
          <w:color w:val="auto"/>
        </w:rPr>
        <w:t xml:space="preserve">21.3. Notwithstanding the provisions of </w:t>
      </w:r>
      <w:r>
        <w:rPr>
          <w:rFonts w:ascii="Arial" w:cs="Arial" w:eastAsia="Arial" w:hAnsi="Arial"/>
          <w:sz w:val="14"/>
          <w:szCs w:val="14"/>
          <w:u w:val="single" w:color="auto"/>
          <w:color w:val="auto"/>
        </w:rPr>
        <w:t>Sections 21.1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21.2</w:t>
      </w:r>
      <w:r>
        <w:rPr>
          <w:rFonts w:ascii="Arial" w:cs="Arial" w:eastAsia="Arial" w:hAnsi="Arial"/>
          <w:sz w:val="14"/>
          <w:szCs w:val="14"/>
          <w:color w:val="auto"/>
        </w:rPr>
        <w:t>, if (a) Tenant or any proposed transferee, assignee or sublessee of Tenant has been required by any prior landlord, Lender or Governmental Authority to take material remedial action in connection with Hazardous Materials contaminating a property if the contamination resulted from such party’s action or omission or use of the property in question and such party has failed to timely commence such remedial action and prosecute the same to completion in accordance with its contractual requirements and Applicable Laws or (b) Tenant or any proposed transferee, assignee or sublessee is subject to a material enforcement order issued by any Governmental Authority in connection with the use, disposal or storage of Hazardous Materials and is not complying with such order, then Landlord shall have the right to terminate this Lease in Landlord’s sole and absolute discretion (with respect to any such matter involving Tenant), and it shall not be unreasonable for Landlord to withhold its consent to any proposed transfer, assignment or subletting (with respect to any such matter involving a proposed transferee, assignee or sublessee).</w:t>
      </w:r>
    </w:p>
    <w:p>
      <w:pPr>
        <w:spacing w:after="0" w:line="170" w:lineRule="exact"/>
        <w:rPr>
          <w:sz w:val="20"/>
          <w:szCs w:val="20"/>
          <w:color w:val="auto"/>
        </w:rPr>
      </w:pPr>
    </w:p>
    <w:p>
      <w:pPr>
        <w:jc w:val="both"/>
        <w:ind w:left="5" w:firstLine="567"/>
        <w:spacing w:after="0" w:line="257" w:lineRule="auto"/>
        <w:rPr>
          <w:sz w:val="20"/>
          <w:szCs w:val="20"/>
          <w:color w:val="auto"/>
        </w:rPr>
      </w:pPr>
      <w:r>
        <w:rPr>
          <w:rFonts w:ascii="Arial" w:cs="Arial" w:eastAsia="Arial" w:hAnsi="Arial"/>
          <w:sz w:val="16"/>
          <w:szCs w:val="16"/>
          <w:color w:val="auto"/>
        </w:rPr>
        <w:t>21.4. At any time, and from time to time, prior to the expiration of the Term, Landlord shall have the right to conduct appropriate tests of the Premises or any portion thereof to demonstrate that Hazardous Materials are present or that contamination has occurred due to the acts or omissions of a Tenant Party. Tenant shall pay all reasonable costs of such tests if such tests reveal that Hazardous Materials exist at the Premises in violation of this Lease.</w:t>
      </w:r>
    </w:p>
    <w:p>
      <w:pPr>
        <w:spacing w:after="0" w:line="339"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74" w:name="page175"/>
    <w:bookmarkEnd w:id="174"/>
    <w:p>
      <w:pPr>
        <w:jc w:val="both"/>
        <w:ind w:left="5" w:firstLine="567"/>
        <w:spacing w:after="0" w:line="251" w:lineRule="auto"/>
        <w:rPr>
          <w:sz w:val="20"/>
          <w:szCs w:val="20"/>
          <w:color w:val="auto"/>
        </w:rPr>
      </w:pPr>
      <w:r>
        <w:rPr>
          <w:rFonts w:ascii="Arial" w:cs="Arial" w:eastAsia="Arial" w:hAnsi="Arial"/>
          <w:sz w:val="16"/>
          <w:szCs w:val="16"/>
          <w:color w:val="auto"/>
        </w:rPr>
        <w:t>21.5. If underground or other storage tanks storing Hazardous Materials installed or utilized by Tenant are located on the Premises, or are hereafter placed on the Premises by Tenant (or by any other party, if such storage tanks are utilized by Tenant), then Tenant shall monitor the storage tanks, maintain appropriate records, implement reporting procedures, properly close any underground storage tanks, and take or cause to be taken all other steps necessary or required under the Applicable Laws. Tenant shall have no responsibility or liability for underground or other storage tanks installed by anyone other than Tenant unless Tenant utilizes such tanks, in which case Tenant’s responsibility for such tanks shall be as set forth in this Section.</w:t>
      </w:r>
    </w:p>
    <w:p>
      <w:pPr>
        <w:spacing w:after="0" w:line="196" w:lineRule="exact"/>
        <w:rPr>
          <w:sz w:val="20"/>
          <w:szCs w:val="20"/>
          <w:color w:val="auto"/>
        </w:rPr>
      </w:pPr>
    </w:p>
    <w:p>
      <w:pPr>
        <w:ind w:left="565"/>
        <w:spacing w:after="0"/>
        <w:tabs>
          <w:tab w:leader="none" w:pos="1105" w:val="left"/>
        </w:tabs>
        <w:rPr>
          <w:sz w:val="20"/>
          <w:szCs w:val="20"/>
          <w:color w:val="auto"/>
        </w:rPr>
      </w:pPr>
      <w:r>
        <w:rPr>
          <w:rFonts w:ascii="Arial" w:cs="Arial" w:eastAsia="Arial" w:hAnsi="Arial"/>
          <w:sz w:val="16"/>
          <w:szCs w:val="16"/>
          <w:color w:val="auto"/>
        </w:rPr>
        <w:t>21.6.</w:t>
      </w:r>
      <w:r>
        <w:rPr>
          <w:sz w:val="20"/>
          <w:szCs w:val="20"/>
          <w:color w:val="auto"/>
        </w:rPr>
        <w:tab/>
      </w:r>
      <w:r>
        <w:rPr>
          <w:rFonts w:ascii="Arial" w:cs="Arial" w:eastAsia="Arial" w:hAnsi="Arial"/>
          <w:sz w:val="14"/>
          <w:szCs w:val="14"/>
          <w:color w:val="auto"/>
        </w:rPr>
        <w:t>Tenant shall promptly report to Landlord any actual or suspected presence of mold or water intrusion at the Premises.</w:t>
      </w:r>
    </w:p>
    <w:p>
      <w:pPr>
        <w:spacing w:after="0" w:line="218" w:lineRule="exact"/>
        <w:rPr>
          <w:sz w:val="20"/>
          <w:szCs w:val="20"/>
          <w:color w:val="auto"/>
        </w:rPr>
      </w:pPr>
    </w:p>
    <w:p>
      <w:pPr>
        <w:jc w:val="both"/>
        <w:ind w:left="5" w:right="20" w:firstLine="567"/>
        <w:spacing w:after="0" w:line="257" w:lineRule="auto"/>
        <w:rPr>
          <w:sz w:val="20"/>
          <w:szCs w:val="20"/>
          <w:color w:val="auto"/>
        </w:rPr>
      </w:pPr>
      <w:r>
        <w:rPr>
          <w:rFonts w:ascii="Arial" w:cs="Arial" w:eastAsia="Arial" w:hAnsi="Arial"/>
          <w:sz w:val="16"/>
          <w:szCs w:val="16"/>
          <w:color w:val="auto"/>
        </w:rPr>
        <w:t xml:space="preserve">21.7. Tenant’s obligations under this Article shall survive the expiration or earlier termination of the Lease. During any period of time needed by Tenant or Landlord after the termination of this Lease to complete the removal from the Premises of any such Hazardous Materials, Tenant shall be deemed a holdover tenant and subject to the provisions of </w:t>
      </w:r>
      <w:r>
        <w:rPr>
          <w:rFonts w:ascii="Arial" w:cs="Arial" w:eastAsia="Arial" w:hAnsi="Arial"/>
          <w:sz w:val="16"/>
          <w:szCs w:val="16"/>
          <w:u w:val="single" w:color="auto"/>
          <w:color w:val="auto"/>
        </w:rPr>
        <w:t>Article 27</w:t>
      </w:r>
      <w:r>
        <w:rPr>
          <w:rFonts w:ascii="Arial" w:cs="Arial" w:eastAsia="Arial" w:hAnsi="Arial"/>
          <w:sz w:val="16"/>
          <w:szCs w:val="16"/>
          <w:color w:val="auto"/>
        </w:rPr>
        <w:t>.</w:t>
      </w:r>
    </w:p>
    <w:p>
      <w:pPr>
        <w:spacing w:after="0" w:line="189" w:lineRule="exact"/>
        <w:rPr>
          <w:sz w:val="20"/>
          <w:szCs w:val="20"/>
          <w:color w:val="auto"/>
        </w:rPr>
      </w:pPr>
    </w:p>
    <w:p>
      <w:pPr>
        <w:jc w:val="both"/>
        <w:ind w:left="5" w:right="20" w:firstLine="567"/>
        <w:spacing w:after="0" w:line="267" w:lineRule="auto"/>
        <w:rPr>
          <w:sz w:val="20"/>
          <w:szCs w:val="20"/>
          <w:color w:val="auto"/>
        </w:rPr>
      </w:pPr>
      <w:r>
        <w:rPr>
          <w:rFonts w:ascii="Arial" w:cs="Arial" w:eastAsia="Arial" w:hAnsi="Arial"/>
          <w:sz w:val="16"/>
          <w:szCs w:val="16"/>
          <w:color w:val="auto"/>
        </w:rPr>
        <w:t>21.8. As used herein, the term “</w:t>
      </w:r>
      <w:r>
        <w:rPr>
          <w:rFonts w:ascii="Arial" w:cs="Arial" w:eastAsia="Arial" w:hAnsi="Arial"/>
          <w:sz w:val="16"/>
          <w:szCs w:val="16"/>
          <w:u w:val="single" w:color="auto"/>
          <w:color w:val="auto"/>
        </w:rPr>
        <w:t>Hazardous Material</w:t>
      </w:r>
      <w:r>
        <w:rPr>
          <w:rFonts w:ascii="Arial" w:cs="Arial" w:eastAsia="Arial" w:hAnsi="Arial"/>
          <w:sz w:val="16"/>
          <w:szCs w:val="16"/>
          <w:color w:val="auto"/>
        </w:rPr>
        <w:t>” means any hazardous or toxic substance, material or waste that is or becomes regulated by any Governmental Authority or under any Applicable Law.</w:t>
      </w:r>
    </w:p>
    <w:p>
      <w:pPr>
        <w:spacing w:after="0" w:line="181" w:lineRule="exact"/>
        <w:rPr>
          <w:sz w:val="20"/>
          <w:szCs w:val="20"/>
          <w:color w:val="auto"/>
        </w:rPr>
      </w:pPr>
    </w:p>
    <w:p>
      <w:pPr>
        <w:ind w:left="5" w:right="20" w:hanging="5"/>
        <w:spacing w:after="0" w:line="301" w:lineRule="auto"/>
        <w:tabs>
          <w:tab w:leader="none" w:pos="600"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Odors and Exhaust</w:t>
      </w:r>
      <w:r>
        <w:rPr>
          <w:rFonts w:ascii="Arial" w:cs="Arial" w:eastAsia="Arial" w:hAnsi="Arial"/>
          <w:sz w:val="15"/>
          <w:szCs w:val="15"/>
          <w:color w:val="auto"/>
        </w:rPr>
        <w:t>. Tenant acknowledges that Landlord would not enter into this Lease with Tenant unless Tenant assured Landlord that under no circumstances will the Premises be damaged by any exhaust from Tenant’s operations, including in Tenant’s vivarium. Landlord and Tenant therefore agree as follows:</w:t>
      </w:r>
    </w:p>
    <w:p>
      <w:pPr>
        <w:spacing w:after="0" w:line="158" w:lineRule="exact"/>
        <w:rPr>
          <w:sz w:val="20"/>
          <w:szCs w:val="20"/>
          <w:color w:val="auto"/>
        </w:rPr>
      </w:pPr>
    </w:p>
    <w:p>
      <w:pPr>
        <w:ind w:left="565"/>
        <w:spacing w:after="0"/>
        <w:tabs>
          <w:tab w:leader="none" w:pos="1105" w:val="left"/>
        </w:tabs>
        <w:rPr>
          <w:sz w:val="20"/>
          <w:szCs w:val="20"/>
          <w:color w:val="auto"/>
        </w:rPr>
      </w:pPr>
      <w:r>
        <w:rPr>
          <w:rFonts w:ascii="Arial" w:cs="Arial" w:eastAsia="Arial" w:hAnsi="Arial"/>
          <w:sz w:val="16"/>
          <w:szCs w:val="16"/>
          <w:color w:val="auto"/>
        </w:rPr>
        <w:t>22.1.</w:t>
      </w:r>
      <w:r>
        <w:rPr>
          <w:sz w:val="20"/>
          <w:szCs w:val="20"/>
          <w:color w:val="auto"/>
        </w:rPr>
        <w:tab/>
      </w:r>
      <w:r>
        <w:rPr>
          <w:rFonts w:ascii="Arial" w:cs="Arial" w:eastAsia="Arial" w:hAnsi="Arial"/>
          <w:sz w:val="14"/>
          <w:szCs w:val="14"/>
          <w:color w:val="auto"/>
        </w:rPr>
        <w:t>Tenant shall not cause or permit (or conduct any activities that would cause) any release of any odors or fumes of any kind from the Premises.</w:t>
      </w:r>
    </w:p>
    <w:p>
      <w:pPr>
        <w:spacing w:after="0" w:line="218" w:lineRule="exact"/>
        <w:rPr>
          <w:sz w:val="20"/>
          <w:szCs w:val="20"/>
          <w:color w:val="auto"/>
        </w:rPr>
      </w:pPr>
    </w:p>
    <w:p>
      <w:pPr>
        <w:jc w:val="both"/>
        <w:ind w:left="5" w:firstLine="567"/>
        <w:spacing w:after="0" w:line="270" w:lineRule="auto"/>
        <w:rPr>
          <w:sz w:val="20"/>
          <w:szCs w:val="20"/>
          <w:color w:val="auto"/>
        </w:rPr>
      </w:pPr>
      <w:r>
        <w:rPr>
          <w:rFonts w:ascii="Arial" w:cs="Arial" w:eastAsia="Arial" w:hAnsi="Arial"/>
          <w:sz w:val="15"/>
          <w:szCs w:val="15"/>
          <w:color w:val="auto"/>
        </w:rPr>
        <w:t>22.2. If the Building has a ventilation system that, in Landlord’s judgment, is adequate, suitable, and appropriate to vent the Premises in a manner that does not release odors affecting any indoor or outdoor part of the Premises, Tenant shall vent the Premises through such system. If Landlord at any time determines that any existing ventilation system is inadequate, or if no ventilation system exists, Tenant shall in compliance with Applicable Laws vent all fumes and odors from the Premises (and remove odors from Tenant’s exhaust stream) as Landlord requires. The placement and configuration of all ventilation exhaust pipes, louvers and other equipment shall be subject to Landlord’s approval. Tenant acknowledges Landlord’s legitimate desire to maintain the Premises (indoor and outdoor areas) in an odor-free manner, and Landlord may require Tenant to abate and remove all odors in a manner that goes beyond the requirements of Applicable Laws.</w:t>
      </w:r>
    </w:p>
    <w:p>
      <w:pPr>
        <w:spacing w:after="0" w:line="183" w:lineRule="exact"/>
        <w:rPr>
          <w:sz w:val="20"/>
          <w:szCs w:val="20"/>
          <w:color w:val="auto"/>
        </w:rPr>
      </w:pPr>
    </w:p>
    <w:p>
      <w:pPr>
        <w:jc w:val="both"/>
        <w:ind w:left="5" w:right="20" w:firstLine="567"/>
        <w:spacing w:after="0" w:line="282" w:lineRule="auto"/>
        <w:rPr>
          <w:sz w:val="20"/>
          <w:szCs w:val="20"/>
          <w:color w:val="auto"/>
        </w:rPr>
      </w:pPr>
      <w:r>
        <w:rPr>
          <w:rFonts w:ascii="Arial" w:cs="Arial" w:eastAsia="Arial" w:hAnsi="Arial"/>
          <w:sz w:val="15"/>
          <w:szCs w:val="15"/>
          <w:color w:val="auto"/>
        </w:rPr>
        <w:t>22.3. Tenant shall, at Tenant’s sole cost and expense, provide odor eliminators and other devices (such as filters, air cleaners, scrubbers and whatever other equipment may in Landlord’s judgment be necessary or appropriate from time to time) to completely remove, eliminate and abate any odors, fumes or other substances in Tenant’s exhaust stream that, in Landlord’s judgment, emanate from Tenant’s Premises. Any work Tenant performs under this Section shall constitute Alterations.</w:t>
      </w:r>
    </w:p>
    <w:p>
      <w:pPr>
        <w:spacing w:after="0" w:line="322"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75" w:name="page176"/>
    <w:bookmarkEnd w:id="175"/>
    <w:p>
      <w:pPr>
        <w:jc w:val="both"/>
        <w:ind w:left="5" w:firstLine="567"/>
        <w:spacing w:after="0" w:line="253" w:lineRule="auto"/>
        <w:rPr>
          <w:sz w:val="20"/>
          <w:szCs w:val="20"/>
          <w:color w:val="auto"/>
        </w:rPr>
      </w:pPr>
      <w:r>
        <w:rPr>
          <w:rFonts w:ascii="Arial" w:cs="Arial" w:eastAsia="Arial" w:hAnsi="Arial"/>
          <w:sz w:val="16"/>
          <w:szCs w:val="16"/>
          <w:color w:val="auto"/>
        </w:rPr>
        <w:t>22.4. Tenant’s responsibility to remove, eliminate and abate odors, fumes and exhaust shall continue throughout the Term. Landlord’s approval of the Tenant Improvements shall not preclude Landlord from requiring additional measures to eliminate odors, fumes and other adverse impacts of Tenant’s exhaust stream (as Landlord may designate in Landlord’s discretion). Tenant shall install additional equipment as Landlord requires from time to time under the preceding sentence. Such installations shall constitute Alterations.</w:t>
      </w:r>
    </w:p>
    <w:p>
      <w:pPr>
        <w:spacing w:after="0" w:line="193" w:lineRule="exact"/>
        <w:rPr>
          <w:sz w:val="20"/>
          <w:szCs w:val="20"/>
          <w:color w:val="auto"/>
        </w:rPr>
      </w:pPr>
    </w:p>
    <w:p>
      <w:pPr>
        <w:jc w:val="both"/>
        <w:ind w:left="5" w:right="20" w:firstLine="567"/>
        <w:spacing w:after="0" w:line="251" w:lineRule="auto"/>
        <w:rPr>
          <w:sz w:val="20"/>
          <w:szCs w:val="20"/>
          <w:color w:val="auto"/>
        </w:rPr>
      </w:pPr>
      <w:r>
        <w:rPr>
          <w:rFonts w:ascii="Arial" w:cs="Arial" w:eastAsia="Arial" w:hAnsi="Arial"/>
          <w:sz w:val="16"/>
          <w:szCs w:val="16"/>
          <w:color w:val="auto"/>
        </w:rPr>
        <w:t>22.5. If Tenant fails to install satisfactory odor control equipment within ten (10) business days after Landlord’s demand made at any time, then Landlord may, without limiting Landlord’s other rights and remedies, require Tenant to cease and suspend any operations in the Premises that, in Landlord’s determination, cause odors, fumes or exhaust. For example, if Landlord determines that Tenant’s production of a certain type of product causes odors, fumes or exhaust, and Tenant does not install satisfactory odor control equipment within ten (10) business days after Landlord’s request, then Landlord may require Tenant to stop producing such type of product in the Premises unless and until Tenant has installed odor control equipment satisfactory to Landlord.</w:t>
      </w:r>
    </w:p>
    <w:p>
      <w:pPr>
        <w:spacing w:after="0" w:line="196" w:lineRule="exact"/>
        <w:rPr>
          <w:sz w:val="20"/>
          <w:szCs w:val="20"/>
          <w:color w:val="auto"/>
        </w:rPr>
      </w:pPr>
    </w:p>
    <w:p>
      <w:pPr>
        <w:ind w:left="525" w:hanging="525"/>
        <w:spacing w:after="0"/>
        <w:tabs>
          <w:tab w:leader="none" w:pos="52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Insurance; Waiver of Subrogation</w:t>
      </w:r>
      <w:r>
        <w:rPr>
          <w:rFonts w:ascii="Arial" w:cs="Arial" w:eastAsia="Arial" w:hAnsi="Arial"/>
          <w:sz w:val="16"/>
          <w:szCs w:val="16"/>
          <w:color w:val="auto"/>
        </w:rPr>
        <w:t>.</w:t>
      </w:r>
    </w:p>
    <w:p>
      <w:pPr>
        <w:spacing w:after="0" w:line="218" w:lineRule="exact"/>
        <w:rPr>
          <w:sz w:val="20"/>
          <w:szCs w:val="20"/>
          <w:color w:val="auto"/>
        </w:rPr>
      </w:pPr>
    </w:p>
    <w:p>
      <w:pPr>
        <w:jc w:val="both"/>
        <w:ind w:left="5" w:firstLine="567"/>
        <w:spacing w:after="0" w:line="267" w:lineRule="auto"/>
        <w:rPr>
          <w:sz w:val="20"/>
          <w:szCs w:val="20"/>
          <w:color w:val="auto"/>
        </w:rPr>
      </w:pPr>
      <w:r>
        <w:rPr>
          <w:rFonts w:ascii="Arial" w:cs="Arial" w:eastAsia="Arial" w:hAnsi="Arial"/>
          <w:sz w:val="15"/>
          <w:szCs w:val="15"/>
          <w:color w:val="auto"/>
        </w:rPr>
        <w:t xml:space="preserve">23.1. Landlord shall maintain insurance for the Premises in amounts equal to full replacement cost (exclusive of the costs of excavation, foundations and footings, engineering costs or such other costs that would not be incurred in the event of a rebuild and without reference to depreciation taken by Landlord upon its books or tax returns),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coverage shall not be less than the amount of such insurance Landlord’s Lender, if any, requires Landlord to maintain, providing protection against any peril generally included within the classification “Fire and Extended Coverage,” together with insurance against sprinkler damage (if applicable), vandalism and malicious mischief. Landlord, subject to availability thereof, shall further insure, if Landlord deems it appropriate, coverage against flood, environmental hazard, earthquake, loss or failure of building equipment, rental loss during the period of repairs or rebuilding, Workers’ Compensation insurance and fidelity bonds for employees employed to perform services. Notwithstanding the foregoing, Landlord may, but shall not be deemed required to, provide insurance for any improvements installed by Tenant or that are in addition to the standard improvements customarily furnished by Landlord, without regard to whether or not such are made a part of or are affixed to the Building;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Landlord shall provide insurance for the Tenant Improvements that are made a part of or are permanently affixed to the Building.</w:t>
      </w:r>
    </w:p>
    <w:p>
      <w:pPr>
        <w:spacing w:after="0" w:line="187" w:lineRule="exact"/>
        <w:rPr>
          <w:sz w:val="20"/>
          <w:szCs w:val="20"/>
          <w:color w:val="auto"/>
        </w:rPr>
      </w:pPr>
    </w:p>
    <w:p>
      <w:pPr>
        <w:jc w:val="both"/>
        <w:ind w:left="5" w:right="20" w:firstLine="567"/>
        <w:spacing w:after="0" w:line="267" w:lineRule="auto"/>
        <w:rPr>
          <w:sz w:val="20"/>
          <w:szCs w:val="20"/>
          <w:color w:val="auto"/>
        </w:rPr>
      </w:pPr>
      <w:r>
        <w:rPr>
          <w:rFonts w:ascii="Arial" w:cs="Arial" w:eastAsia="Arial" w:hAnsi="Arial"/>
          <w:sz w:val="16"/>
          <w:szCs w:val="16"/>
          <w:color w:val="auto"/>
        </w:rPr>
        <w:t>23.2. In addition, Landlord shall carry Commercial General Liability insurance with limits of not less than One Million Dollars ($1,000,000) per occurrence/general aggregate for bodily injury (including death), or property damage with respect to the Premises.</w:t>
      </w:r>
    </w:p>
    <w:p>
      <w:pPr>
        <w:spacing w:after="0" w:line="332"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76" w:name="page177"/>
    <w:bookmarkEnd w:id="176"/>
    <w:p>
      <w:pPr>
        <w:jc w:val="both"/>
        <w:ind w:firstLine="567"/>
        <w:spacing w:after="0" w:line="287" w:lineRule="auto"/>
        <w:rPr>
          <w:sz w:val="20"/>
          <w:szCs w:val="20"/>
          <w:color w:val="auto"/>
        </w:rPr>
      </w:pPr>
      <w:r>
        <w:rPr>
          <w:rFonts w:ascii="Arial" w:cs="Arial" w:eastAsia="Arial" w:hAnsi="Arial"/>
          <w:sz w:val="14"/>
          <w:szCs w:val="14"/>
          <w:color w:val="auto"/>
        </w:rPr>
        <w:t>23.3. Tenant shall, at its own cost and expense, procure and maintain in effect, beginning on the Term Commencement Date or the date of occupancy, whichever occurs first, and continuing throughout the Term (and occupancy by Tenant, if any, after termination of this Lease) Commercial General Liability insurance on a broad-based occurrence coverage form, with limits of not less than Two Million Dollars ($2,000,000) per occurrence and in the aggregate for bodily injury (including death) and for property damage with respect to the Premises (including $100,000 fire legal liability (each loss)) with Two Million Dollars ($2,000,000) products and completed operations aggregate; and pollution and environmental liability insurance covering the environmental risks of Tenant’s business with limits of not less than One Million Dollars ($1,000,000) per incident and not less than Two Million Dollars ($2,000,000) in the aggregate, with respect to environmental contamination and pollution of the Premises caused by Tenant. Such environmental coverage shall include bodily injury, sickness, disease, or death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 defense of claims for such compensatory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provided the policy retroactive date is continuously maintained prior to the commencement date of this agreement, and coverage is continuously maintained during all periods in which Tenant occupies the Premises.</w:t>
      </w:r>
    </w:p>
    <w:p>
      <w:pPr>
        <w:spacing w:after="0" w:line="171" w:lineRule="exact"/>
        <w:rPr>
          <w:sz w:val="20"/>
          <w:szCs w:val="20"/>
          <w:color w:val="auto"/>
        </w:rPr>
      </w:pPr>
    </w:p>
    <w:p>
      <w:pPr>
        <w:jc w:val="both"/>
        <w:ind w:firstLine="567"/>
        <w:spacing w:after="0" w:line="266" w:lineRule="auto"/>
        <w:rPr>
          <w:sz w:val="20"/>
          <w:szCs w:val="20"/>
          <w:color w:val="auto"/>
        </w:rPr>
      </w:pPr>
      <w:r>
        <w:rPr>
          <w:rFonts w:ascii="Arial" w:cs="Arial" w:eastAsia="Arial" w:hAnsi="Arial"/>
          <w:sz w:val="15"/>
          <w:szCs w:val="15"/>
          <w:color w:val="auto"/>
        </w:rPr>
        <w:t>23.4. The insurance required to be purchased and maintained by Tenant pursuant to this Lease shall name Landlord, BioMed Realty, L.P., BioMed Realty Trust, Inc., and their respective officers, directors, employees, agents, general partners, members, subsidiaries, affiliates and Lenders (“</w:t>
      </w:r>
      <w:r>
        <w:rPr>
          <w:rFonts w:ascii="Arial" w:cs="Arial" w:eastAsia="Arial" w:hAnsi="Arial"/>
          <w:sz w:val="15"/>
          <w:szCs w:val="15"/>
          <w:u w:val="single" w:color="auto"/>
          <w:color w:val="auto"/>
        </w:rPr>
        <w:t>Landlord Parties</w:t>
      </w:r>
      <w:r>
        <w:rPr>
          <w:rFonts w:ascii="Arial" w:cs="Arial" w:eastAsia="Arial" w:hAnsi="Arial"/>
          <w:sz w:val="15"/>
          <w:szCs w:val="15"/>
          <w:color w:val="auto"/>
        </w:rPr>
        <w:t>”) as additional insureds as respects liability arising from work or operations performed by or on behalf of Tenant and Tenant’s use or occupancy of the Premises. Said insurance shall be with companies authorized to do business in the state in which the Project is located and at all times having a current rating of not less than A- and financial category rating of at least Class VII in “A.M. Best’s Insurance Guide” current edition. Tenant shall obtain for Landlord from the insurance companies or cause the insurance companies to furnish certificates of insurance evidencing all coverages required herein to Landlord. Landlord reserves the right to require complete, certified copies of all required insurance policies including any endorsements. No such policy shall be cancelable or subject to reduction of coverage or other modification or cancellation except after twenty (20) days’ prior written notice to Landlord from the insurer (except in the event of non-payment of premium, in which case ten (10) days written notice shall be given). Should carrier be unwilling or unable to provide such notice, Tenant shall provide notice to Landlord in accordance with this Section. All such policies shall be written as primary policies, not contributing with and not in excess of the coverage that Landlord may carry. Tenant’s required policies shall contain severability of interests clauses stating that, except with respect to limits of insurance, coverage shall apply separately to each insured or additional insured. Tenant’s policies shall contain dedicated or per location limits endorsements so that the amounts of insurance required herein shall not be prejudiced by losses at other locations. Tenant shall, at least twenty (20) days prior to the expiration of such policies, furnish Landlord with renewal certificates of insurance or binders. Tenant agrees that if Tenant does not take out and maintain such insurance, Landlord may (but shall not be required to) procure said insurance on Tenant’s behalf and at its cost to be paid by Tenant as Additional Rent.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77" w:name="page178"/>
    <w:bookmarkEnd w:id="177"/>
    <w:p>
      <w:pPr>
        <w:jc w:val="both"/>
        <w:ind w:right="20" w:firstLine="567"/>
        <w:spacing w:after="0" w:line="282" w:lineRule="auto"/>
        <w:rPr>
          <w:sz w:val="20"/>
          <w:szCs w:val="20"/>
          <w:color w:val="auto"/>
        </w:rPr>
      </w:pPr>
      <w:r>
        <w:rPr>
          <w:rFonts w:ascii="Arial" w:cs="Arial" w:eastAsia="Arial" w:hAnsi="Arial"/>
          <w:sz w:val="15"/>
          <w:szCs w:val="15"/>
          <w:color w:val="auto"/>
        </w:rPr>
        <w:t>23.5. Tenant assumes the risk of damage to any fixtures, goods, inventory, merchandise, equipment and leasehold improvements, and Landlord shall not be liable for injury to Tenant’s business or any loss of income therefrom, relative to such damage, all as more particularly set forth within this Lease. Tenant shall, at Tenant’s sole cost and expense, carry such insurance as Tenant desires for Tenant’s protection with respect to personal property of Tenant or business interruption.</w:t>
      </w:r>
    </w:p>
    <w:p>
      <w:pPr>
        <w:spacing w:after="0" w:line="148" w:lineRule="exact"/>
        <w:rPr>
          <w:sz w:val="20"/>
          <w:szCs w:val="20"/>
          <w:color w:val="auto"/>
        </w:rPr>
      </w:pPr>
    </w:p>
    <w:p>
      <w:pPr>
        <w:jc w:val="both"/>
        <w:ind w:right="20" w:firstLine="567"/>
        <w:spacing w:after="0" w:line="253" w:lineRule="auto"/>
        <w:rPr>
          <w:sz w:val="20"/>
          <w:szCs w:val="20"/>
          <w:color w:val="auto"/>
        </w:rPr>
      </w:pPr>
      <w:r>
        <w:rPr>
          <w:rFonts w:ascii="Arial" w:cs="Arial" w:eastAsia="Arial" w:hAnsi="Arial"/>
          <w:sz w:val="16"/>
          <w:szCs w:val="16"/>
          <w:color w:val="auto"/>
        </w:rPr>
        <w:t>23.6. In each instance where insurance is to name Landlord Parties as additional insureds, Tenant shall, upon Landlord’s written request, also designate and furnish certificates evidencing such Landlord Parties as additional insureds to (a) any Lender of Landlord holding a security interest in the Premises or any portion thereof, (b) the landlord under any lease whereunder Landlord is a tenant of the Property if the interest of Landlord is or shall become that of a tenant under a ground lease rather than that of a fee owner and (c) any management company retained by Landlord to manage the Premises.</w:t>
      </w:r>
    </w:p>
    <w:p>
      <w:pPr>
        <w:spacing w:after="0" w:line="193" w:lineRule="exact"/>
        <w:rPr>
          <w:sz w:val="20"/>
          <w:szCs w:val="20"/>
          <w:color w:val="auto"/>
        </w:rPr>
      </w:pPr>
    </w:p>
    <w:p>
      <w:pPr>
        <w:jc w:val="both"/>
        <w:ind w:firstLine="567"/>
        <w:spacing w:after="0" w:line="266" w:lineRule="auto"/>
        <w:rPr>
          <w:sz w:val="20"/>
          <w:szCs w:val="20"/>
          <w:color w:val="auto"/>
        </w:rPr>
      </w:pPr>
      <w:r>
        <w:rPr>
          <w:rFonts w:ascii="Arial" w:cs="Arial" w:eastAsia="Arial" w:hAnsi="Arial"/>
          <w:sz w:val="15"/>
          <w:szCs w:val="15"/>
          <w:color w:val="auto"/>
        </w:rPr>
        <w:t>23.7. Landlord, Tenant and each of their respective insurers hereby waive any and all rights of recovery or subrogation against one another or against the officers, directors, employees, agents, general partners, members, subsidiaries, affiliates and Lenders of the other as respects any loss, damage, claims, suits or demands, howsoever caused, that are covered, or should have been covered, by valid and collectible insurance, including any deductibles maintained thereunder. If necessary, each party agrees to endorse the required insurance policies to permit waivers of subrogation as required hereunder and hold harmless and indemnify the other party for any loss or expense incurred as a result of a failure to obtain such waivers of subrogation from insurers. Such waivers shall continue so long as their respective insurers so permit. Any termination of such a waiver shall be by written notice to the other party, containing a description of the circumstances hereinafter set forth in this Section. Landlord and Tenant, upon obtaining the policies of insurance required or permitted under this Lease, shall give notice to the insurance carrier or carriers that the foregoing mutual waiver of subrogation is contained in this Lease. If such policies shall not be obtainable with such waiver or shall be so obtainable only at a premium over that chargeable without such waiver, then the party seeking such policy shall notify the other of such conditions, and the party so notified shall have ten (10) days thereafter to either (a) procure such insurance with companies reasonably satisfactory to the other party or (b) agree to pay such additional premium. If the parties do not accomplish either (a) or (b), then this Section shall have no effect during such time as such policies shall not be obtainable or the party in whose favor a waiver of subrogation is desired refuses to pay the additional premium. If such policies shall at any time be unobtainable, but shall be subsequently obtainable, then neither party shall be subsequently liable for a failure to obtain such insurance until a reasonable time after notification thereof by the other party. If the release of either Landlord or Tenant, as set forth in the first sentence of this Section, shall contravene Applicable Laws, then the liability of the party in question shall be deemed not released but shall be secondary to the other party’s insurer.</w:t>
      </w:r>
    </w:p>
    <w:p>
      <w:pPr>
        <w:spacing w:after="0" w:line="183"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6"/>
          <w:szCs w:val="16"/>
          <w:color w:val="auto"/>
        </w:rPr>
        <w:t>23.8.</w:t>
      </w:r>
      <w:r>
        <w:rPr>
          <w:sz w:val="20"/>
          <w:szCs w:val="20"/>
          <w:color w:val="auto"/>
        </w:rPr>
        <w:tab/>
      </w:r>
      <w:r>
        <w:rPr>
          <w:rFonts w:ascii="Arial" w:cs="Arial" w:eastAsia="Arial" w:hAnsi="Arial"/>
          <w:sz w:val="14"/>
          <w:szCs w:val="14"/>
          <w:color w:val="auto"/>
        </w:rPr>
        <w:t>Landlord may require insurance policy limits required under this Lease to be raised to conform with requirements of Landlord’s Lender.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78" w:name="page179"/>
    <w:bookmarkEnd w:id="178"/>
    <w:p>
      <w:pPr>
        <w:jc w:val="both"/>
        <w:ind w:left="5" w:right="20" w:firstLine="567"/>
        <w:spacing w:after="0" w:line="253" w:lineRule="auto"/>
        <w:rPr>
          <w:sz w:val="20"/>
          <w:szCs w:val="20"/>
          <w:color w:val="auto"/>
        </w:rPr>
      </w:pPr>
      <w:r>
        <w:rPr>
          <w:rFonts w:ascii="Arial" w:cs="Arial" w:eastAsia="Arial" w:hAnsi="Arial"/>
          <w:sz w:val="16"/>
          <w:szCs w:val="16"/>
          <w:color w:val="auto"/>
        </w:rPr>
        <w:t xml:space="preserve">23.9. Any costs incurred by Landlord pursuant to this Article shall be included as Insurance Costs payable by Tenant pursuant to this Lease. During the first fifteen (15) months of the Term (and provided that Tenant is not then in default of any of its obligations under this Lease), Tenant shall only be responsible for fifty percent (50%) of Insurance Costs;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to the extent any Insurance Costs arise out of or are in connection with the negligence or willful misconduct of any Tenant Party, then Tenant is responsible for one hundred percent (100%) of such Insurance Costs.</w:t>
      </w:r>
    </w:p>
    <w:p>
      <w:pPr>
        <w:spacing w:after="0" w:line="170" w:lineRule="exact"/>
        <w:rPr>
          <w:sz w:val="20"/>
          <w:szCs w:val="20"/>
          <w:color w:val="auto"/>
        </w:rPr>
      </w:pPr>
    </w:p>
    <w:p>
      <w:pPr>
        <w:ind w:left="525" w:hanging="525"/>
        <w:spacing w:after="0"/>
        <w:tabs>
          <w:tab w:leader="none" w:pos="52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Damage or Destruction</w:t>
      </w:r>
      <w:r>
        <w:rPr>
          <w:rFonts w:ascii="Arial" w:cs="Arial" w:eastAsia="Arial" w:hAnsi="Arial"/>
          <w:sz w:val="16"/>
          <w:szCs w:val="16"/>
          <w:color w:val="auto"/>
        </w:rPr>
        <w:t>.</w:t>
      </w:r>
    </w:p>
    <w:p>
      <w:pPr>
        <w:spacing w:after="0" w:line="194" w:lineRule="exact"/>
        <w:rPr>
          <w:sz w:val="20"/>
          <w:szCs w:val="20"/>
          <w:color w:val="auto"/>
        </w:rPr>
      </w:pPr>
    </w:p>
    <w:p>
      <w:pPr>
        <w:jc w:val="both"/>
        <w:ind w:left="5" w:firstLine="567"/>
        <w:spacing w:after="0" w:line="250" w:lineRule="auto"/>
        <w:rPr>
          <w:sz w:val="20"/>
          <w:szCs w:val="20"/>
          <w:color w:val="auto"/>
        </w:rPr>
      </w:pPr>
      <w:r>
        <w:rPr>
          <w:rFonts w:ascii="Arial" w:cs="Arial" w:eastAsia="Arial" w:hAnsi="Arial"/>
          <w:sz w:val="16"/>
          <w:szCs w:val="16"/>
          <w:color w:val="auto"/>
        </w:rPr>
        <w:t xml:space="preserve">24.1. In the event of a partial destruction of the Premises by fire or other perils covered by extended coverage insurance not exceeding twenty-five percent (25%) of the full insurable value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damage thereto is such that the Premises may be repaired, reconstructed or restored within a period of six (6) months from the date of the happening of such casualty, (b) Landlord shall receive insurance proceeds sufficient to cover the cost of such repairs, reconstruction and restoration (except for any deductible amount provided by Landlord’s policy, which deductible amount, if paid by Landlord, shall constitute an Insurance Cost), and (c) such casualty was not intentionally caused by a Tenant Party, then Landlord shall commence and proceed diligently with the work of repair, reconstruction and restoration of the Premises, and this Lease shall continue in full force and effect.</w:t>
      </w:r>
    </w:p>
    <w:p>
      <w:pPr>
        <w:spacing w:after="0" w:line="197" w:lineRule="exact"/>
        <w:rPr>
          <w:sz w:val="20"/>
          <w:szCs w:val="20"/>
          <w:color w:val="auto"/>
        </w:rPr>
      </w:pPr>
    </w:p>
    <w:p>
      <w:pPr>
        <w:jc w:val="both"/>
        <w:ind w:left="5" w:firstLine="567"/>
        <w:spacing w:after="0" w:line="257" w:lineRule="auto"/>
        <w:rPr>
          <w:sz w:val="20"/>
          <w:szCs w:val="20"/>
          <w:color w:val="auto"/>
        </w:rPr>
      </w:pPr>
      <w:r>
        <w:rPr>
          <w:rFonts w:ascii="Arial" w:cs="Arial" w:eastAsia="Arial" w:hAnsi="Arial"/>
          <w:sz w:val="16"/>
          <w:szCs w:val="16"/>
          <w:color w:val="auto"/>
        </w:rPr>
        <w:t xml:space="preserve">24.2. In the event of any damage to or destruction of the Premises other than as described in </w:t>
      </w:r>
      <w:r>
        <w:rPr>
          <w:rFonts w:ascii="Arial" w:cs="Arial" w:eastAsia="Arial" w:hAnsi="Arial"/>
          <w:sz w:val="16"/>
          <w:szCs w:val="16"/>
          <w:u w:val="single" w:color="auto"/>
          <w:color w:val="auto"/>
        </w:rPr>
        <w:t>Section 24.1</w:t>
      </w:r>
      <w:r>
        <w:rPr>
          <w:rFonts w:ascii="Arial" w:cs="Arial" w:eastAsia="Arial" w:hAnsi="Arial"/>
          <w:sz w:val="16"/>
          <w:szCs w:val="16"/>
          <w:color w:val="auto"/>
        </w:rPr>
        <w:t>, Landlord may elect to repair, reconstruct and restore the Premises, in which case this Lease shall continue in full force and effect. If Landlord elects not to repair, reconstruct and restore the Premises, then this Lease shall terminate as of the date of such damage or destruction.</w:t>
      </w:r>
    </w:p>
    <w:p>
      <w:pPr>
        <w:spacing w:after="0" w:line="189" w:lineRule="exact"/>
        <w:rPr>
          <w:sz w:val="20"/>
          <w:szCs w:val="20"/>
          <w:color w:val="auto"/>
        </w:rPr>
      </w:pPr>
    </w:p>
    <w:p>
      <w:pPr>
        <w:jc w:val="both"/>
        <w:ind w:left="5" w:right="20" w:firstLine="567"/>
        <w:spacing w:after="0" w:line="267" w:lineRule="auto"/>
        <w:rPr>
          <w:sz w:val="20"/>
          <w:szCs w:val="20"/>
          <w:color w:val="auto"/>
        </w:rPr>
      </w:pPr>
      <w:r>
        <w:rPr>
          <w:rFonts w:ascii="Arial" w:cs="Arial" w:eastAsia="Arial" w:hAnsi="Arial"/>
          <w:sz w:val="16"/>
          <w:szCs w:val="16"/>
          <w:color w:val="auto"/>
        </w:rPr>
        <w:t>24.3. Landlord shall give written notice to Tenant within sixty (60) days following the date of damage or destruction of its election not to repair, reconstruct or restore the Premises.</w:t>
      </w:r>
    </w:p>
    <w:p>
      <w:pPr>
        <w:spacing w:after="0" w:line="181" w:lineRule="exact"/>
        <w:rPr>
          <w:sz w:val="20"/>
          <w:szCs w:val="20"/>
          <w:color w:val="auto"/>
        </w:rPr>
      </w:pPr>
    </w:p>
    <w:p>
      <w:pPr>
        <w:jc w:val="both"/>
        <w:ind w:left="5" w:firstLine="567"/>
        <w:spacing w:after="0" w:line="257" w:lineRule="auto"/>
        <w:rPr>
          <w:sz w:val="20"/>
          <w:szCs w:val="20"/>
          <w:color w:val="auto"/>
        </w:rPr>
      </w:pPr>
      <w:r>
        <w:rPr>
          <w:rFonts w:ascii="Arial" w:cs="Arial" w:eastAsia="Arial" w:hAnsi="Arial"/>
          <w:sz w:val="16"/>
          <w:szCs w:val="16"/>
          <w:color w:val="auto"/>
        </w:rPr>
        <w:t>24.4. Upon any termination of this Lease under any of the provisions of this Article, the parties shall be released thereby without further obligation to the other from the date possession of the Premises is surrendered to Landlord, except with regard to (a) items occurring prior to the damage or destruction and (b) provisions of this Lease that, by their express terms, survive the expiration or earlier termination hereof.</w:t>
      </w:r>
    </w:p>
    <w:p>
      <w:pPr>
        <w:spacing w:after="0" w:line="189" w:lineRule="exact"/>
        <w:rPr>
          <w:sz w:val="20"/>
          <w:szCs w:val="20"/>
          <w:color w:val="auto"/>
        </w:rPr>
      </w:pPr>
    </w:p>
    <w:p>
      <w:pPr>
        <w:jc w:val="both"/>
        <w:ind w:left="5" w:firstLine="567"/>
        <w:spacing w:after="0" w:line="301" w:lineRule="auto"/>
        <w:rPr>
          <w:sz w:val="20"/>
          <w:szCs w:val="20"/>
          <w:color w:val="auto"/>
        </w:rPr>
      </w:pPr>
      <w:r>
        <w:rPr>
          <w:rFonts w:ascii="Arial" w:cs="Arial" w:eastAsia="Arial" w:hAnsi="Arial"/>
          <w:sz w:val="14"/>
          <w:szCs w:val="14"/>
          <w:color w:val="auto"/>
        </w:rPr>
        <w:t xml:space="preserve">24.5. In the event of repair, reconstruction and restoration as provided in this Article, all Rent to be paid by Tenant under this Lease shall be abated proportionately based on the extent to which Tenant’s use of the Premises is impaired during the period of such repair, reconstruction or restoration, unless Landlord provides Tenant with other space during the period of repair, reconstruction and restoration that, in Tenant’s reasonable opinion, is suitable for the temporary conduct of Tenant’s business; </w:t>
      </w:r>
      <w:r>
        <w:rPr>
          <w:rFonts w:ascii="Arial" w:cs="Arial" w:eastAsia="Arial" w:hAnsi="Arial"/>
          <w:sz w:val="14"/>
          <w:szCs w:val="14"/>
          <w:u w:val="single" w:color="auto"/>
          <w:color w:val="auto"/>
        </w:rPr>
        <w:t>provided</w:t>
      </w:r>
      <w:r>
        <w:rPr>
          <w:rFonts w:ascii="Arial" w:cs="Arial" w:eastAsia="Arial" w:hAnsi="Arial"/>
          <w:sz w:val="14"/>
          <w:szCs w:val="14"/>
          <w:color w:val="auto"/>
        </w:rPr>
        <w:t>, however, that the amount of such abatement shall be reduced by the proceeds of business interruption or loss of rental income insurance actually received by Tenant with respect to the Premises.</w:t>
      </w:r>
    </w:p>
    <w:p>
      <w:pPr>
        <w:spacing w:after="0" w:line="312"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79" w:name="page180"/>
    <w:bookmarkEnd w:id="179"/>
    <w:p>
      <w:pPr>
        <w:jc w:val="both"/>
        <w:ind w:left="5" w:right="20" w:firstLine="567"/>
        <w:spacing w:after="0" w:line="301" w:lineRule="auto"/>
        <w:rPr>
          <w:sz w:val="20"/>
          <w:szCs w:val="20"/>
          <w:color w:val="auto"/>
        </w:rPr>
      </w:pPr>
      <w:r>
        <w:rPr>
          <w:rFonts w:ascii="Arial" w:cs="Arial" w:eastAsia="Arial" w:hAnsi="Arial"/>
          <w:sz w:val="14"/>
          <w:szCs w:val="14"/>
          <w:color w:val="auto"/>
        </w:rPr>
        <w:t xml:space="preserve">24.6. Notwithstanding anything to the contrary contained in this Article, should Landlord be delayed or prevented from completing the repair, reconstruction or restoration of the damage or destruction to the Premises after the occurrence of such damage or destruction by Force Majeure or delays caused by a Tenant Party, then the time for Landlord to commence or complete repairs, reconstruction and restoration shall be extended on a day-for-day basis; </w:t>
      </w:r>
      <w:r>
        <w:rPr>
          <w:rFonts w:ascii="Arial" w:cs="Arial" w:eastAsia="Arial" w:hAnsi="Arial"/>
          <w:sz w:val="14"/>
          <w:szCs w:val="14"/>
          <w:u w:val="single" w:color="auto"/>
          <w:color w:val="auto"/>
        </w:rPr>
        <w:t>provided</w:t>
      </w:r>
      <w:r>
        <w:rPr>
          <w:rFonts w:ascii="Arial" w:cs="Arial" w:eastAsia="Arial" w:hAnsi="Arial"/>
          <w:sz w:val="14"/>
          <w:szCs w:val="14"/>
          <w:color w:val="auto"/>
        </w:rPr>
        <w:t>, however, that, if such delay continues for more than ninety (90) days in the aggregate, then, at Landlord’s election, Landlord shall be relieved of its obligation to make such repairs, reconstruction and restoration.</w:t>
      </w:r>
    </w:p>
    <w:p>
      <w:pPr>
        <w:spacing w:after="0" w:line="138" w:lineRule="exact"/>
        <w:rPr>
          <w:sz w:val="20"/>
          <w:szCs w:val="20"/>
          <w:color w:val="auto"/>
        </w:rPr>
      </w:pPr>
    </w:p>
    <w:p>
      <w:pPr>
        <w:jc w:val="both"/>
        <w:ind w:left="5" w:firstLine="567"/>
        <w:spacing w:after="0" w:line="290" w:lineRule="auto"/>
        <w:rPr>
          <w:sz w:val="20"/>
          <w:szCs w:val="20"/>
          <w:color w:val="auto"/>
        </w:rPr>
      </w:pPr>
      <w:r>
        <w:rPr>
          <w:rFonts w:ascii="Arial" w:cs="Arial" w:eastAsia="Arial" w:hAnsi="Arial"/>
          <w:sz w:val="14"/>
          <w:szCs w:val="14"/>
          <w:color w:val="auto"/>
        </w:rPr>
        <w:t xml:space="preserve">24.7. If Landlord is obligated to or elects to repair, reconstruct or restore as herein provided, then Landlord shall be obligated to make such repairs, reconstruction or restoration only with regard to those portions of the Premises that were originally provided at Landlord’s expense. The repairs, reconstruction or restoration of improvements not originally provided by Landlord or at Landlord’s expense shall be the obligation of Tenant;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Tenant Improvements that are made a part of or are permanently affixed to the Building shall be deemed to have been provided by Landlord. In the event Tenant has elected to upgrade certain improvements from Landlord’s building standards (the “</w:t>
      </w:r>
      <w:r>
        <w:rPr>
          <w:rFonts w:ascii="Arial" w:cs="Arial" w:eastAsia="Arial" w:hAnsi="Arial"/>
          <w:sz w:val="14"/>
          <w:szCs w:val="14"/>
          <w:u w:val="single" w:color="auto"/>
          <w:color w:val="auto"/>
        </w:rPr>
        <w:t>Building Standard</w:t>
      </w:r>
      <w:r>
        <w:rPr>
          <w:rFonts w:ascii="Arial" w:cs="Arial" w:eastAsia="Arial" w:hAnsi="Arial"/>
          <w:sz w:val="14"/>
          <w:szCs w:val="14"/>
          <w:color w:val="auto"/>
        </w:rPr>
        <w:t>”), Landlord shall, upon the need for replacement due to an insured loss, provide only the Building Standard (except that with respect to insured Tenant Improvements that are made a part of or are permanently affixed to the Building, Landlord shall, upon the need for replacement due to an insured loss, provide building standards substantially similar to such initial Tenant Improvements), unless Tenant again elects to upgrade such improvements and pay any incremental costs related thereto, except to the extent that insurance proceeds, if received, are adequate to provide such upgrades, in addition to providing for basic repairs, reconstruction and restoration of the Premises.</w:t>
      </w:r>
    </w:p>
    <w:p>
      <w:pPr>
        <w:spacing w:after="0" w:line="169" w:lineRule="exact"/>
        <w:rPr>
          <w:sz w:val="20"/>
          <w:szCs w:val="20"/>
          <w:color w:val="auto"/>
        </w:rPr>
      </w:pPr>
    </w:p>
    <w:p>
      <w:pPr>
        <w:jc w:val="both"/>
        <w:ind w:left="5" w:right="20" w:firstLine="567"/>
        <w:spacing w:after="0" w:line="282" w:lineRule="auto"/>
        <w:rPr>
          <w:sz w:val="20"/>
          <w:szCs w:val="20"/>
          <w:color w:val="auto"/>
        </w:rPr>
      </w:pPr>
      <w:r>
        <w:rPr>
          <w:rFonts w:ascii="Arial" w:cs="Arial" w:eastAsia="Arial" w:hAnsi="Arial"/>
          <w:sz w:val="15"/>
          <w:szCs w:val="15"/>
          <w:color w:val="auto"/>
        </w:rPr>
        <w:t>24.8. Notwithstanding anything to the contrary contained in this Article, Landlord shall not have any obligation whatsoever to repair, reconstruct or restore the Premises if the damage resulting from any casualty covered under this Article occurs during the last twenty-four (24) months of the Term or any extension thereof, or to the extent that insurance proceeds are not available therefor (other than due to Landlord’s failure to maintain the insurance required of Landlord by this Lease).</w:t>
      </w:r>
    </w:p>
    <w:p>
      <w:pPr>
        <w:spacing w:after="0" w:line="172" w:lineRule="exact"/>
        <w:rPr>
          <w:sz w:val="20"/>
          <w:szCs w:val="20"/>
          <w:color w:val="auto"/>
        </w:rPr>
      </w:pPr>
    </w:p>
    <w:p>
      <w:pPr>
        <w:jc w:val="both"/>
        <w:ind w:left="5" w:right="20" w:firstLine="567"/>
        <w:spacing w:after="0" w:line="272" w:lineRule="auto"/>
        <w:rPr>
          <w:sz w:val="20"/>
          <w:szCs w:val="20"/>
          <w:color w:val="auto"/>
        </w:rPr>
      </w:pPr>
      <w:r>
        <w:rPr>
          <w:rFonts w:ascii="Arial" w:cs="Arial" w:eastAsia="Arial" w:hAnsi="Arial"/>
          <w:sz w:val="15"/>
          <w:szCs w:val="15"/>
          <w:color w:val="auto"/>
        </w:rPr>
        <w:t xml:space="preserve">24.9. Landlord’s obligation, should it elect or be obligated to repair, reconstruct or restore, shall be limited to the Premises (including the Tenant Improvements that are made a part of or are permanently affixed to the Building, as set forth above). Tenant shall, at its expense, replace or fully repair all of Tenant’s personal property and any Alterations installed by Tenant existing at the time of such damage or destruction. If the Premises are to be repaired, reconstructed or restored in accordance with the foregoing, Landlord shall make available to Tenant any portion of insurance proceeds it receives that are allocable to the Alterations constructed by Tenant pursuant to this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Tenant is not then in default under this Lease, and subject to the requirements of any Lender of Landlord.</w:t>
      </w:r>
    </w:p>
    <w:p>
      <w:pPr>
        <w:spacing w:after="0" w:line="181" w:lineRule="exact"/>
        <w:rPr>
          <w:sz w:val="20"/>
          <w:szCs w:val="20"/>
          <w:color w:val="auto"/>
        </w:rPr>
      </w:pPr>
    </w:p>
    <w:p>
      <w:pPr>
        <w:ind w:left="525" w:hanging="525"/>
        <w:spacing w:after="0"/>
        <w:tabs>
          <w:tab w:leader="none" w:pos="52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Eminent Domain</w:t>
      </w:r>
      <w:r>
        <w:rPr>
          <w:rFonts w:ascii="Arial" w:cs="Arial" w:eastAsia="Arial" w:hAnsi="Arial"/>
          <w:sz w:val="16"/>
          <w:szCs w:val="16"/>
          <w:color w:val="auto"/>
        </w:rPr>
        <w:t>.</w:t>
      </w:r>
    </w:p>
    <w:p>
      <w:pPr>
        <w:spacing w:after="0" w:line="218" w:lineRule="exact"/>
        <w:rPr>
          <w:sz w:val="20"/>
          <w:szCs w:val="20"/>
          <w:color w:val="auto"/>
        </w:rPr>
      </w:pPr>
    </w:p>
    <w:p>
      <w:pPr>
        <w:jc w:val="both"/>
        <w:ind w:left="5" w:firstLine="567"/>
        <w:spacing w:after="0" w:line="276" w:lineRule="auto"/>
        <w:rPr>
          <w:sz w:val="20"/>
          <w:szCs w:val="20"/>
          <w:color w:val="auto"/>
        </w:rPr>
      </w:pPr>
      <w:r>
        <w:rPr>
          <w:rFonts w:ascii="Arial" w:cs="Arial" w:eastAsia="Arial" w:hAnsi="Arial"/>
          <w:sz w:val="15"/>
          <w:szCs w:val="15"/>
          <w:color w:val="auto"/>
        </w:rPr>
        <w:t>25.1. In the event (a) the whole of the Premises or (b) such part thereof as shall substantially interfere with Tenant’s use and occupancy of the Premises for the Permitted Use shall be taken for any public or quasi-public purpose by any lawful power or authority by exercise of the right of appropriation, condemnation or eminent domain, or sold to prevent such taking, Tenant or Landlord may terminate this Lease effective as of the date possession is required to be surrendered to such authority, except with regard to (y) items occurring prior to the taking and (z) provisions of this Lease that, by their express terms, survive the expiration or earlier termination hereof.</w:t>
      </w:r>
    </w:p>
    <w:p>
      <w:pPr>
        <w:spacing w:after="0" w:line="326"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80" w:name="page181"/>
    <w:bookmarkEnd w:id="180"/>
    <w:p>
      <w:pPr>
        <w:ind w:left="565"/>
        <w:spacing w:after="0"/>
        <w:tabs>
          <w:tab w:leader="none" w:pos="1105" w:val="left"/>
        </w:tabs>
        <w:rPr>
          <w:sz w:val="20"/>
          <w:szCs w:val="20"/>
          <w:color w:val="auto"/>
        </w:rPr>
      </w:pPr>
      <w:r>
        <w:rPr>
          <w:rFonts w:ascii="Arial" w:cs="Arial" w:eastAsia="Arial" w:hAnsi="Arial"/>
          <w:sz w:val="16"/>
          <w:szCs w:val="16"/>
          <w:color w:val="auto"/>
        </w:rPr>
        <w:t>25.2.</w:t>
      </w:r>
      <w:r>
        <w:rPr>
          <w:sz w:val="20"/>
          <w:szCs w:val="20"/>
          <w:color w:val="auto"/>
        </w:rPr>
        <w:tab/>
      </w:r>
      <w:r>
        <w:rPr>
          <w:rFonts w:ascii="Arial" w:cs="Arial" w:eastAsia="Arial" w:hAnsi="Arial"/>
          <w:sz w:val="15"/>
          <w:szCs w:val="15"/>
          <w:color w:val="auto"/>
        </w:rPr>
        <w:t>[Intentionally omitted.]</w:t>
      </w:r>
    </w:p>
    <w:p>
      <w:pPr>
        <w:spacing w:after="0" w:line="194" w:lineRule="exact"/>
        <w:rPr>
          <w:sz w:val="20"/>
          <w:szCs w:val="20"/>
          <w:color w:val="auto"/>
        </w:rPr>
      </w:pPr>
    </w:p>
    <w:p>
      <w:pPr>
        <w:jc w:val="both"/>
        <w:ind w:left="5" w:firstLine="567"/>
        <w:spacing w:after="0" w:line="340" w:lineRule="auto"/>
        <w:rPr>
          <w:sz w:val="20"/>
          <w:szCs w:val="20"/>
          <w:color w:val="auto"/>
        </w:rPr>
      </w:pPr>
      <w:r>
        <w:rPr>
          <w:rFonts w:ascii="Arial" w:cs="Arial" w:eastAsia="Arial" w:hAnsi="Arial"/>
          <w:sz w:val="14"/>
          <w:szCs w:val="14"/>
          <w:color w:val="auto"/>
        </w:rPr>
        <w:t>25.3. Tenant shall be entitled to any award that is specifically awarded as compensation for (a) the taking of Tenant’s personal property that was installed at Tenant’s expense and (b) the costs of Tenant moving to a new location. Except as set forth in the previous sentence, any award for such taking shall be the property of Landlord.</w:t>
      </w:r>
    </w:p>
    <w:p>
      <w:pPr>
        <w:spacing w:after="0" w:line="111" w:lineRule="exact"/>
        <w:rPr>
          <w:sz w:val="20"/>
          <w:szCs w:val="20"/>
          <w:color w:val="auto"/>
        </w:rPr>
      </w:pPr>
    </w:p>
    <w:p>
      <w:pPr>
        <w:jc w:val="both"/>
        <w:ind w:left="5" w:right="20" w:firstLine="567"/>
        <w:spacing w:after="0" w:line="257" w:lineRule="auto"/>
        <w:rPr>
          <w:sz w:val="20"/>
          <w:szCs w:val="20"/>
          <w:color w:val="auto"/>
        </w:rPr>
      </w:pPr>
      <w:r>
        <w:rPr>
          <w:rFonts w:ascii="Arial" w:cs="Arial" w:eastAsia="Arial" w:hAnsi="Arial"/>
          <w:sz w:val="16"/>
          <w:szCs w:val="16"/>
          <w:color w:val="auto"/>
        </w:rPr>
        <w:t>25.4. If, upon any taking of the nature described in this Article, this Lease continues in effect, then Landlord shall promptly proceed to restore the Premises to substantially their same condition prior to such partial taking. To the extent such restoration is infeasible, as determined by Landlord in its sole and absolute discretion, the Rent shall be decreased proportionately to reflect the loss of any portion of the Premises no longer available to Tenant.</w:t>
      </w:r>
    </w:p>
    <w:p>
      <w:pPr>
        <w:spacing w:after="0" w:line="189" w:lineRule="exact"/>
        <w:rPr>
          <w:sz w:val="20"/>
          <w:szCs w:val="20"/>
          <w:color w:val="auto"/>
        </w:rPr>
      </w:pPr>
    </w:p>
    <w:p>
      <w:pPr>
        <w:ind w:left="525" w:hanging="525"/>
        <w:spacing w:after="0"/>
        <w:tabs>
          <w:tab w:leader="none" w:pos="525"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Surrender</w:t>
      </w:r>
      <w:r>
        <w:rPr>
          <w:rFonts w:ascii="Arial" w:cs="Arial" w:eastAsia="Arial" w:hAnsi="Arial"/>
          <w:sz w:val="16"/>
          <w:szCs w:val="16"/>
          <w:color w:val="auto"/>
        </w:rPr>
        <w:t>.</w:t>
      </w:r>
    </w:p>
    <w:p>
      <w:pPr>
        <w:spacing w:after="0" w:line="218" w:lineRule="exact"/>
        <w:rPr>
          <w:sz w:val="20"/>
          <w:szCs w:val="20"/>
          <w:color w:val="auto"/>
        </w:rPr>
      </w:pPr>
    </w:p>
    <w:p>
      <w:pPr>
        <w:jc w:val="both"/>
        <w:ind w:left="5" w:firstLine="567"/>
        <w:spacing w:after="0" w:line="267" w:lineRule="auto"/>
        <w:rPr>
          <w:sz w:val="20"/>
          <w:szCs w:val="20"/>
          <w:color w:val="auto"/>
        </w:rPr>
      </w:pPr>
      <w:r>
        <w:rPr>
          <w:rFonts w:ascii="Arial" w:cs="Arial" w:eastAsia="Arial" w:hAnsi="Arial"/>
          <w:sz w:val="15"/>
          <w:szCs w:val="15"/>
          <w:color w:val="auto"/>
        </w:rPr>
        <w:t>26.1. At least thirty (30) days prior to Tenant’s surrender of possession of any part of the Premises, Tenant shall provide Landlord with a facility decommissioning and Hazardous Materials closure plan for the Premises (“</w:t>
      </w:r>
      <w:r>
        <w:rPr>
          <w:rFonts w:ascii="Arial" w:cs="Arial" w:eastAsia="Arial" w:hAnsi="Arial"/>
          <w:sz w:val="15"/>
          <w:szCs w:val="15"/>
          <w:u w:val="single" w:color="auto"/>
          <w:color w:val="auto"/>
        </w:rPr>
        <w:t>Exit Survey</w:t>
      </w:r>
      <w:r>
        <w:rPr>
          <w:rFonts w:ascii="Arial" w:cs="Arial" w:eastAsia="Arial" w:hAnsi="Arial"/>
          <w:sz w:val="15"/>
          <w:szCs w:val="15"/>
          <w:color w:val="auto"/>
        </w:rPr>
        <w:t xml:space="preserve">”) prepared by an independent third party, which Exit Survey must be reasonably acceptable to Landlord. The Exit Survey shall comply with the American National Standards Institute’s Laboratory Decommissioning guidelines (ANSI/AIHA Z9.11-2008) or any successor standards published by ANSI or any successor organization (or, if ANSI and its successors no longer exist, a similar entity publishing similar standards). In addition, at least ten (10) days prior to Tenant’s surrender of possession of any part of the Premises, Tenant shall (a) provide Landlord with written evidence of all appropriate governmental releases obtained by Tenant in accordance with Applicable Laws, including laws pertaining to the surrender of the Premises, (b) place Laboratory Equipment Decontamination Forms on all decommissioned equipment to assure safe occupancy by future users and (c) conduct a site inspection with Landlord. In addition, Tenant agrees to remain responsible after the surrender of the Premises for the remediation of any recognized environmental conditions set forth in the Exit Survey and comply with any recommendations set forth in the Exit Survey;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Tenant shall only be responsible for Hazardous Materials to the extent of Tenant’s obligations under Article 21 of this Lease. Tenant’s obligations under this Section shall survive the expiration or earlier termination of the Lease.</w:t>
      </w:r>
    </w:p>
    <w:p>
      <w:pPr>
        <w:spacing w:after="0" w:line="185" w:lineRule="exact"/>
        <w:rPr>
          <w:sz w:val="20"/>
          <w:szCs w:val="20"/>
          <w:color w:val="auto"/>
        </w:rPr>
      </w:pPr>
    </w:p>
    <w:p>
      <w:pPr>
        <w:jc w:val="both"/>
        <w:ind w:left="5" w:right="20" w:firstLine="567"/>
        <w:spacing w:after="0" w:line="267" w:lineRule="auto"/>
        <w:rPr>
          <w:sz w:val="20"/>
          <w:szCs w:val="20"/>
          <w:color w:val="auto"/>
        </w:rPr>
      </w:pPr>
      <w:r>
        <w:rPr>
          <w:rFonts w:ascii="Arial" w:cs="Arial" w:eastAsia="Arial" w:hAnsi="Arial"/>
          <w:sz w:val="16"/>
          <w:szCs w:val="16"/>
          <w:color w:val="auto"/>
        </w:rPr>
        <w:t>26.2. No surrender of possession of any part of the Premises shall release Tenant from any of its obligations hereunder, unless such surrender is accepted in writing by Landlord.</w:t>
      </w:r>
    </w:p>
    <w:p>
      <w:pPr>
        <w:spacing w:after="0" w:line="181" w:lineRule="exact"/>
        <w:rPr>
          <w:sz w:val="20"/>
          <w:szCs w:val="20"/>
          <w:color w:val="auto"/>
        </w:rPr>
      </w:pPr>
    </w:p>
    <w:p>
      <w:pPr>
        <w:jc w:val="both"/>
        <w:ind w:left="5" w:right="20" w:firstLine="567"/>
        <w:spacing w:after="0" w:line="267" w:lineRule="auto"/>
        <w:rPr>
          <w:sz w:val="20"/>
          <w:szCs w:val="20"/>
          <w:color w:val="auto"/>
        </w:rPr>
      </w:pPr>
      <w:r>
        <w:rPr>
          <w:rFonts w:ascii="Arial" w:cs="Arial" w:eastAsia="Arial" w:hAnsi="Arial"/>
          <w:sz w:val="16"/>
          <w:szCs w:val="16"/>
          <w:color w:val="auto"/>
        </w:rPr>
        <w:t>26.3. The voluntary or other surrender of this Lease by Tenant shall not effect a merger with Landlord’s fee title or leasehold interest in the Premises or any portion thereof, unless Landlord consents in writing, and shall, at Landlord’s option, operate as an assignment to Landlord of any or all subleases.</w:t>
      </w:r>
    </w:p>
    <w:p>
      <w:pPr>
        <w:spacing w:after="0" w:line="332"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81" w:name="page182"/>
    <w:bookmarkEnd w:id="181"/>
    <w:p>
      <w:pPr>
        <w:jc w:val="both"/>
        <w:ind w:left="5" w:right="20" w:firstLine="567"/>
        <w:spacing w:after="0" w:line="282" w:lineRule="auto"/>
        <w:rPr>
          <w:sz w:val="20"/>
          <w:szCs w:val="20"/>
          <w:color w:val="auto"/>
        </w:rPr>
      </w:pPr>
      <w:r>
        <w:rPr>
          <w:rFonts w:ascii="Arial" w:cs="Arial" w:eastAsia="Arial" w:hAnsi="Arial"/>
          <w:sz w:val="15"/>
          <w:szCs w:val="15"/>
          <w:color w:val="auto"/>
        </w:rPr>
        <w:t>26.4. The voluntary or other surrender of any ground or other underlying lease that now exists or may hereafter be executed affecting the Premises or any portion thereof, or a mutual cancellation thereof or of Landlord’s interest therein by Landlord and its lessor shall not effect a merger with Landlord’s fee title or leasehold interest in the Premises and shall, at the option of the successor to Landlord’s interest in the Premises or any portion thereof operate as an assignment of this Lease.</w:t>
      </w:r>
    </w:p>
    <w:p>
      <w:pPr>
        <w:spacing w:after="0" w:line="148" w:lineRule="exact"/>
        <w:rPr>
          <w:sz w:val="20"/>
          <w:szCs w:val="20"/>
          <w:color w:val="auto"/>
        </w:rPr>
      </w:pPr>
    </w:p>
    <w:p>
      <w:pPr>
        <w:ind w:left="525" w:hanging="525"/>
        <w:spacing w:after="0"/>
        <w:tabs>
          <w:tab w:leader="none" w:pos="52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Holding Over</w:t>
      </w:r>
      <w:r>
        <w:rPr>
          <w:rFonts w:ascii="Arial" w:cs="Arial" w:eastAsia="Arial" w:hAnsi="Arial"/>
          <w:sz w:val="16"/>
          <w:szCs w:val="16"/>
          <w:color w:val="auto"/>
        </w:rPr>
        <w:t>.</w:t>
      </w:r>
    </w:p>
    <w:p>
      <w:pPr>
        <w:spacing w:after="0" w:line="194" w:lineRule="exact"/>
        <w:rPr>
          <w:sz w:val="20"/>
          <w:szCs w:val="20"/>
          <w:color w:val="auto"/>
        </w:rPr>
      </w:pPr>
    </w:p>
    <w:p>
      <w:pPr>
        <w:jc w:val="both"/>
        <w:ind w:left="5" w:firstLine="567"/>
        <w:spacing w:after="0" w:line="276" w:lineRule="auto"/>
        <w:rPr>
          <w:sz w:val="20"/>
          <w:szCs w:val="20"/>
          <w:color w:val="auto"/>
        </w:rPr>
      </w:pPr>
      <w:r>
        <w:rPr>
          <w:rFonts w:ascii="Arial" w:cs="Arial" w:eastAsia="Arial" w:hAnsi="Arial"/>
          <w:sz w:val="15"/>
          <w:szCs w:val="15"/>
          <w:color w:val="auto"/>
        </w:rPr>
        <w:t xml:space="preserve">27.1. If, with Landlord’s prior written consent, Tenant holds possession of all or any part of the Premises after the Term, Tenant shall become a tenant from month to month after the expiration or earlier termination of the Term, and in such case Tenant shall continue to pay (a) Base Rent in accordance with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and (b) any amounts for which Tenant would otherwise be liable under this Lease if the Lease were still in effect, including payments for Taxes, Insurance Costs and Tenant’s electricity and other utility costs. Any such month-to-month tenancy shall be subject to every other term, covenant and agreement contained herein.</w:t>
      </w:r>
    </w:p>
    <w:p>
      <w:pPr>
        <w:spacing w:after="0" w:line="152" w:lineRule="exact"/>
        <w:rPr>
          <w:sz w:val="20"/>
          <w:szCs w:val="20"/>
          <w:color w:val="auto"/>
        </w:rPr>
      </w:pPr>
    </w:p>
    <w:p>
      <w:pPr>
        <w:jc w:val="both"/>
        <w:ind w:left="5" w:right="20" w:firstLine="567"/>
        <w:spacing w:after="0" w:line="253" w:lineRule="auto"/>
        <w:rPr>
          <w:sz w:val="20"/>
          <w:szCs w:val="20"/>
          <w:color w:val="auto"/>
        </w:rPr>
      </w:pPr>
      <w:r>
        <w:rPr>
          <w:rFonts w:ascii="Arial" w:cs="Arial" w:eastAsia="Arial" w:hAnsi="Arial"/>
          <w:sz w:val="16"/>
          <w:szCs w:val="16"/>
          <w:color w:val="auto"/>
        </w:rPr>
        <w:t>27.2. Notwithstanding the foregoing, if Tenant remains in possession of the Premises after the expiration or earlier termination of the Term without Landlord’s prior written consent, (a) Tenant shall become a tenant at sufferance subject to the terms and conditions of this Lease, except that the monthly rent shall be equal to one hundred fifty percent (150%) of the Rent in effect during the last thirty (30) days of the Term, and (b) Tenant shall be liable to Landlord for any and all damages suffered by Landlord as a result of such holdover, including any lost rent or consequential, special and indirect damages.</w:t>
      </w:r>
    </w:p>
    <w:p>
      <w:pPr>
        <w:spacing w:after="0" w:line="193" w:lineRule="exact"/>
        <w:rPr>
          <w:sz w:val="20"/>
          <w:szCs w:val="20"/>
          <w:color w:val="auto"/>
        </w:rPr>
      </w:pPr>
    </w:p>
    <w:p>
      <w:pPr>
        <w:ind w:left="565"/>
        <w:spacing w:after="0"/>
        <w:tabs>
          <w:tab w:leader="none" w:pos="1105" w:val="left"/>
        </w:tabs>
        <w:rPr>
          <w:sz w:val="20"/>
          <w:szCs w:val="20"/>
          <w:color w:val="auto"/>
        </w:rPr>
      </w:pPr>
      <w:r>
        <w:rPr>
          <w:rFonts w:ascii="Arial" w:cs="Arial" w:eastAsia="Arial" w:hAnsi="Arial"/>
          <w:sz w:val="16"/>
          <w:szCs w:val="16"/>
          <w:color w:val="auto"/>
        </w:rPr>
        <w:t>27.3.</w:t>
      </w:r>
      <w:r>
        <w:rPr>
          <w:sz w:val="20"/>
          <w:szCs w:val="20"/>
          <w:color w:val="auto"/>
        </w:rPr>
        <w:tab/>
      </w:r>
      <w:r>
        <w:rPr>
          <w:rFonts w:ascii="Arial" w:cs="Arial" w:eastAsia="Arial" w:hAnsi="Arial"/>
          <w:sz w:val="14"/>
          <w:szCs w:val="14"/>
          <w:color w:val="auto"/>
        </w:rPr>
        <w:t>Acceptance by Landlord of Rent after the expiration or earlier termination of the Term shall not result in an extension, renewal or reinstatement of this Lease.</w:t>
      </w:r>
    </w:p>
    <w:p>
      <w:pPr>
        <w:spacing w:after="0" w:line="218" w:lineRule="exact"/>
        <w:rPr>
          <w:sz w:val="20"/>
          <w:szCs w:val="20"/>
          <w:color w:val="auto"/>
        </w:rPr>
      </w:pPr>
    </w:p>
    <w:p>
      <w:pPr>
        <w:jc w:val="both"/>
        <w:ind w:left="5" w:right="20" w:firstLine="567"/>
        <w:spacing w:after="0" w:line="267" w:lineRule="auto"/>
        <w:rPr>
          <w:sz w:val="20"/>
          <w:szCs w:val="20"/>
          <w:color w:val="auto"/>
        </w:rPr>
      </w:pPr>
      <w:r>
        <w:rPr>
          <w:rFonts w:ascii="Arial" w:cs="Arial" w:eastAsia="Arial" w:hAnsi="Arial"/>
          <w:sz w:val="16"/>
          <w:szCs w:val="16"/>
          <w:color w:val="auto"/>
        </w:rPr>
        <w:t>27.4. The foregoing provisions of this Article are in addition to and do not affect Landlord’s right of reentry or any other rights of Landlord hereunder or as otherwise provided by Applicable Laws.</w:t>
      </w:r>
    </w:p>
    <w:p>
      <w:pPr>
        <w:spacing w:after="0" w:line="181" w:lineRule="exact"/>
        <w:rPr>
          <w:sz w:val="20"/>
          <w:szCs w:val="20"/>
          <w:color w:val="auto"/>
        </w:rPr>
      </w:pPr>
    </w:p>
    <w:p>
      <w:pPr>
        <w:ind w:left="565"/>
        <w:spacing w:after="0"/>
        <w:tabs>
          <w:tab w:leader="none" w:pos="1105" w:val="left"/>
        </w:tabs>
        <w:rPr>
          <w:sz w:val="20"/>
          <w:szCs w:val="20"/>
          <w:color w:val="auto"/>
        </w:rPr>
      </w:pPr>
      <w:r>
        <w:rPr>
          <w:rFonts w:ascii="Arial" w:cs="Arial" w:eastAsia="Arial" w:hAnsi="Arial"/>
          <w:sz w:val="16"/>
          <w:szCs w:val="16"/>
          <w:color w:val="auto"/>
        </w:rPr>
        <w:t>27.5.</w:t>
      </w:r>
      <w:r>
        <w:rPr>
          <w:sz w:val="20"/>
          <w:szCs w:val="20"/>
          <w:color w:val="auto"/>
        </w:rPr>
        <w:tab/>
      </w:r>
      <w:r>
        <w:rPr>
          <w:rFonts w:ascii="Arial" w:cs="Arial" w:eastAsia="Arial" w:hAnsi="Arial"/>
          <w:sz w:val="14"/>
          <w:szCs w:val="14"/>
          <w:color w:val="auto"/>
        </w:rPr>
        <w:t>The provisions of this Article shall survive the expiration or earlier termination of this Lease.</w:t>
      </w:r>
    </w:p>
    <w:p>
      <w:pPr>
        <w:spacing w:after="0" w:line="218" w:lineRule="exact"/>
        <w:rPr>
          <w:sz w:val="20"/>
          <w:szCs w:val="20"/>
          <w:color w:val="auto"/>
        </w:rPr>
      </w:pPr>
    </w:p>
    <w:p>
      <w:pPr>
        <w:ind w:left="445" w:hanging="445"/>
        <w:spacing w:after="0"/>
        <w:tabs>
          <w:tab w:leader="none" w:pos="445"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Indemnification and Exculpation</w:t>
      </w:r>
      <w:r>
        <w:rPr>
          <w:rFonts w:ascii="Arial" w:cs="Arial" w:eastAsia="Arial" w:hAnsi="Arial"/>
          <w:sz w:val="16"/>
          <w:szCs w:val="16"/>
          <w:color w:val="auto"/>
        </w:rPr>
        <w:t>.</w:t>
      </w:r>
    </w:p>
    <w:p>
      <w:pPr>
        <w:spacing w:after="0" w:line="218" w:lineRule="exact"/>
        <w:rPr>
          <w:sz w:val="20"/>
          <w:szCs w:val="20"/>
          <w:color w:val="auto"/>
        </w:rPr>
      </w:pPr>
    </w:p>
    <w:p>
      <w:pPr>
        <w:jc w:val="both"/>
        <w:ind w:left="5" w:firstLine="567"/>
        <w:spacing w:after="0" w:line="253" w:lineRule="auto"/>
        <w:rPr>
          <w:sz w:val="20"/>
          <w:szCs w:val="20"/>
          <w:color w:val="auto"/>
        </w:rPr>
      </w:pPr>
      <w:r>
        <w:rPr>
          <w:rFonts w:ascii="Arial" w:cs="Arial" w:eastAsia="Arial" w:hAnsi="Arial"/>
          <w:sz w:val="16"/>
          <w:szCs w:val="16"/>
          <w:color w:val="auto"/>
        </w:rPr>
        <w:t>28.1. Tenant agrees to indemnify, save, defend (at Landlord’s option and with counsel reasonably acceptable to Landlord) and hold the Landlord Indemnitees harmless from and against any and all Claims arising from injury or death to any person or damage to any property occurring within or about the Premises arising directly or indirectly out of a Tenant Party’s use or occupancy of the Premises or a breach or default by Tenant in the performance of any of its obligations hereunder, except to the extent caused by Landlord’s negligence or willful misconduct.</w:t>
      </w:r>
    </w:p>
    <w:p>
      <w:pPr>
        <w:spacing w:after="0" w:line="343"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82" w:name="page183"/>
    <w:bookmarkEnd w:id="182"/>
    <w:p>
      <w:pPr>
        <w:jc w:val="both"/>
        <w:ind w:left="5" w:firstLine="567"/>
        <w:spacing w:after="0" w:line="269" w:lineRule="auto"/>
        <w:rPr>
          <w:sz w:val="20"/>
          <w:szCs w:val="20"/>
          <w:color w:val="auto"/>
        </w:rPr>
      </w:pPr>
      <w:r>
        <w:rPr>
          <w:rFonts w:ascii="Arial" w:cs="Arial" w:eastAsia="Arial" w:hAnsi="Arial"/>
          <w:sz w:val="15"/>
          <w:szCs w:val="15"/>
          <w:color w:val="auto"/>
        </w:rPr>
        <w:t xml:space="preserve">28.2. Notwithstanding anything in this Lease to the contrary, Landlord shall not be liable to Tenant for and Tenant assumes all risk of (a) damage or losses caused by fire, electrical malfunction, gas explosion or water damage of any type (including broken water lines, malfunctioning fire sprinkler systems, roof leaks or stoppages of lines), unless any such loss is due to Landlord’s willful disregard of written notice by Tenant of need for a repair that Landlord is responsible to make for an unreasonable period of time, and (b) damage to personal property or scientific research, including loss of records kept by Tenant within the Premises. Tenant further waives any claim for injury to Tenant’s business or loss of income relating to any such damage or destruction of personal property as described in this Section. Notwithstanding anything in the foregoing or this Lease to the contrary, except (x) as otherwise provided herein, (y) as may be provided by Applicable Laws or (z) in the event of Tenant’s breach of </w:t>
      </w:r>
      <w:r>
        <w:rPr>
          <w:rFonts w:ascii="Arial" w:cs="Arial" w:eastAsia="Arial" w:hAnsi="Arial"/>
          <w:sz w:val="15"/>
          <w:szCs w:val="15"/>
          <w:u w:val="single" w:color="auto"/>
          <w:color w:val="auto"/>
        </w:rPr>
        <w:t>Article 21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26.1</w:t>
      </w:r>
      <w:r>
        <w:rPr>
          <w:rFonts w:ascii="Arial" w:cs="Arial" w:eastAsia="Arial" w:hAnsi="Arial"/>
          <w:sz w:val="15"/>
          <w:szCs w:val="15"/>
          <w:color w:val="auto"/>
        </w:rPr>
        <w:t>, in no event shall Landlord or Tenant be liable to the other for any consequential, special or indirect damages arising out of this Lease.</w:t>
      </w:r>
    </w:p>
    <w:p>
      <w:pPr>
        <w:spacing w:after="0" w:line="159" w:lineRule="exact"/>
        <w:rPr>
          <w:sz w:val="20"/>
          <w:szCs w:val="20"/>
          <w:color w:val="auto"/>
        </w:rPr>
      </w:pPr>
    </w:p>
    <w:p>
      <w:pPr>
        <w:ind w:left="565"/>
        <w:spacing w:after="0"/>
        <w:tabs>
          <w:tab w:leader="none" w:pos="1105" w:val="left"/>
        </w:tabs>
        <w:rPr>
          <w:sz w:val="20"/>
          <w:szCs w:val="20"/>
          <w:color w:val="auto"/>
        </w:rPr>
      </w:pPr>
      <w:r>
        <w:rPr>
          <w:rFonts w:ascii="Arial" w:cs="Arial" w:eastAsia="Arial" w:hAnsi="Arial"/>
          <w:sz w:val="16"/>
          <w:szCs w:val="16"/>
          <w:color w:val="auto"/>
        </w:rPr>
        <w:t>28.3.</w:t>
      </w:r>
      <w:r>
        <w:rPr>
          <w:sz w:val="20"/>
          <w:szCs w:val="20"/>
          <w:color w:val="auto"/>
        </w:rPr>
        <w:tab/>
      </w:r>
      <w:r>
        <w:rPr>
          <w:rFonts w:ascii="Arial" w:cs="Arial" w:eastAsia="Arial" w:hAnsi="Arial"/>
          <w:sz w:val="14"/>
          <w:szCs w:val="14"/>
          <w:color w:val="auto"/>
        </w:rPr>
        <w:t>Landlord shall not be liable for any damages arising from any act, omission or neglect of any third party.</w:t>
      </w:r>
    </w:p>
    <w:p>
      <w:pPr>
        <w:spacing w:after="0" w:line="194" w:lineRule="exact"/>
        <w:rPr>
          <w:sz w:val="20"/>
          <w:szCs w:val="20"/>
          <w:color w:val="auto"/>
        </w:rPr>
      </w:pPr>
    </w:p>
    <w:p>
      <w:pPr>
        <w:jc w:val="both"/>
        <w:ind w:left="5" w:firstLine="567"/>
        <w:spacing w:after="0" w:line="253" w:lineRule="auto"/>
        <w:rPr>
          <w:sz w:val="20"/>
          <w:szCs w:val="20"/>
          <w:color w:val="auto"/>
        </w:rPr>
      </w:pPr>
      <w:r>
        <w:rPr>
          <w:rFonts w:ascii="Arial" w:cs="Arial" w:eastAsia="Arial" w:hAnsi="Arial"/>
          <w:sz w:val="16"/>
          <w:szCs w:val="16"/>
          <w:color w:val="auto"/>
        </w:rPr>
        <w:t>28.4. Tenant acknowledges that security devices and services, if any, while intended to deter crime, may not in given instances prevent theft or other criminal acts. Landlord shall not be liable for injuries or losses caused by criminal acts of third parties, and Tenant assumes the risk that any security device or service may malfunction or otherwise be circumvented by a criminal. If Tenant desires protection against such criminal acts, then Tenant shall, at Tenant’s sole cost and expense, obtain appropriate insurance coverage.</w:t>
      </w:r>
    </w:p>
    <w:p>
      <w:pPr>
        <w:spacing w:after="0" w:line="170" w:lineRule="exact"/>
        <w:rPr>
          <w:sz w:val="20"/>
          <w:szCs w:val="20"/>
          <w:color w:val="auto"/>
        </w:rPr>
      </w:pPr>
    </w:p>
    <w:p>
      <w:pPr>
        <w:ind w:left="565"/>
        <w:spacing w:after="0"/>
        <w:tabs>
          <w:tab w:leader="none" w:pos="1105" w:val="left"/>
        </w:tabs>
        <w:rPr>
          <w:sz w:val="20"/>
          <w:szCs w:val="20"/>
          <w:color w:val="auto"/>
        </w:rPr>
      </w:pPr>
      <w:r>
        <w:rPr>
          <w:rFonts w:ascii="Arial" w:cs="Arial" w:eastAsia="Arial" w:hAnsi="Arial"/>
          <w:sz w:val="16"/>
          <w:szCs w:val="16"/>
          <w:color w:val="auto"/>
        </w:rPr>
        <w:t>28.5.</w:t>
      </w:r>
      <w:r>
        <w:rPr>
          <w:sz w:val="20"/>
          <w:szCs w:val="20"/>
          <w:color w:val="auto"/>
        </w:rPr>
        <w:tab/>
      </w:r>
      <w:r>
        <w:rPr>
          <w:rFonts w:ascii="Arial" w:cs="Arial" w:eastAsia="Arial" w:hAnsi="Arial"/>
          <w:sz w:val="14"/>
          <w:szCs w:val="14"/>
          <w:color w:val="auto"/>
        </w:rPr>
        <w:t>The provisions of this Article shall survive the expiration or earlier termination of this Lease.</w:t>
      </w:r>
    </w:p>
    <w:p>
      <w:pPr>
        <w:spacing w:after="0" w:line="218" w:lineRule="exact"/>
        <w:rPr>
          <w:sz w:val="20"/>
          <w:szCs w:val="20"/>
          <w:color w:val="auto"/>
        </w:rPr>
      </w:pPr>
    </w:p>
    <w:p>
      <w:pPr>
        <w:ind w:left="525" w:hanging="525"/>
        <w:spacing w:after="0"/>
        <w:tabs>
          <w:tab w:leader="none" w:pos="52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Assignment or Subletting</w:t>
      </w:r>
      <w:r>
        <w:rPr>
          <w:rFonts w:ascii="Arial" w:cs="Arial" w:eastAsia="Arial" w:hAnsi="Arial"/>
          <w:sz w:val="16"/>
          <w:szCs w:val="16"/>
          <w:color w:val="auto"/>
        </w:rPr>
        <w:t>.</w:t>
      </w:r>
    </w:p>
    <w:p>
      <w:pPr>
        <w:spacing w:after="0" w:line="218" w:lineRule="exact"/>
        <w:rPr>
          <w:sz w:val="20"/>
          <w:szCs w:val="20"/>
          <w:color w:val="auto"/>
        </w:rPr>
      </w:pPr>
    </w:p>
    <w:p>
      <w:pPr>
        <w:jc w:val="both"/>
        <w:ind w:left="5" w:firstLine="567"/>
        <w:spacing w:after="0" w:line="286" w:lineRule="auto"/>
        <w:rPr>
          <w:sz w:val="20"/>
          <w:szCs w:val="20"/>
          <w:color w:val="auto"/>
        </w:rPr>
      </w:pPr>
      <w:r>
        <w:rPr>
          <w:rFonts w:ascii="Arial" w:cs="Arial" w:eastAsia="Arial" w:hAnsi="Arial"/>
          <w:sz w:val="14"/>
          <w:szCs w:val="14"/>
          <w:color w:val="auto"/>
        </w:rPr>
        <w:t>29.1. Except as hereinafter expressly permitted, Tenant shall not, either voluntarily or by operation of Applicable Laws, directly or indirectly sell, hypothecate, assign, pledge, encumber or otherwise transfer this Lease or sublet the Premises (each, a “</w:t>
      </w:r>
      <w:r>
        <w:rPr>
          <w:rFonts w:ascii="Arial" w:cs="Arial" w:eastAsia="Arial" w:hAnsi="Arial"/>
          <w:sz w:val="14"/>
          <w:szCs w:val="14"/>
          <w:u w:val="single" w:color="auto"/>
          <w:color w:val="auto"/>
        </w:rPr>
        <w:t>Transfer</w:t>
      </w:r>
      <w:r>
        <w:rPr>
          <w:rFonts w:ascii="Arial" w:cs="Arial" w:eastAsia="Arial" w:hAnsi="Arial"/>
          <w:sz w:val="14"/>
          <w:szCs w:val="14"/>
          <w:color w:val="auto"/>
        </w:rPr>
        <w:t>”), without Landlord’s prior written consent. Notwithstanding the foregoing, Tenant shall have the right to Transfer without Landlord’s prior written consent the Premises or any part thereof to any person that as of the date of determination and at all times thereafter directly, or indirectly through one or more intermediaries, controls, is controlled by or is under common control with Tenant (“</w:t>
      </w:r>
      <w:r>
        <w:rPr>
          <w:rFonts w:ascii="Arial" w:cs="Arial" w:eastAsia="Arial" w:hAnsi="Arial"/>
          <w:sz w:val="14"/>
          <w:szCs w:val="14"/>
          <w:u w:val="single" w:color="auto"/>
          <w:color w:val="auto"/>
        </w:rPr>
        <w:t>Tenant’s Affiliate</w:t>
      </w:r>
      <w:r>
        <w:rPr>
          <w:rFonts w:ascii="Arial" w:cs="Arial" w:eastAsia="Arial" w:hAnsi="Arial"/>
          <w:sz w:val="14"/>
          <w:szCs w:val="14"/>
          <w:color w:val="auto"/>
        </w:rPr>
        <w:t>”), or in connection with any merger or consolidation of Tenant, or a sale of all or substantially all of Tenant’s assets (a “</w:t>
      </w:r>
      <w:r>
        <w:rPr>
          <w:rFonts w:ascii="Arial" w:cs="Arial" w:eastAsia="Arial" w:hAnsi="Arial"/>
          <w:sz w:val="14"/>
          <w:szCs w:val="14"/>
          <w:u w:val="single" w:color="auto"/>
          <w:color w:val="auto"/>
        </w:rPr>
        <w:t>Tenant Reorganization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Tenant shall notify Landlord in writing at least thirty (30) days prior to the effectiveness of such Transfer (a) to Tenant’s Affiliate or (b) by a Tenant Reorganization (each an “</w:t>
      </w:r>
      <w:r>
        <w:rPr>
          <w:rFonts w:ascii="Arial" w:cs="Arial" w:eastAsia="Arial" w:hAnsi="Arial"/>
          <w:sz w:val="14"/>
          <w:szCs w:val="14"/>
          <w:u w:val="single" w:color="auto"/>
          <w:color w:val="auto"/>
        </w:rPr>
        <w:t>Exempt Transfer</w:t>
      </w:r>
      <w:r>
        <w:rPr>
          <w:rFonts w:ascii="Arial" w:cs="Arial" w:eastAsia="Arial" w:hAnsi="Arial"/>
          <w:sz w:val="14"/>
          <w:szCs w:val="14"/>
          <w:color w:val="auto"/>
        </w:rPr>
        <w:t xml:space="preserve">”) and otherwise comply with the requirements of this Lease regarding such Transfer; and </w:t>
      </w:r>
      <w:r>
        <w:rPr>
          <w:rFonts w:ascii="Arial" w:cs="Arial" w:eastAsia="Arial" w:hAnsi="Arial"/>
          <w:sz w:val="14"/>
          <w:szCs w:val="14"/>
          <w:u w:val="single" w:color="auto"/>
          <w:color w:val="auto"/>
        </w:rPr>
        <w:t>provided</w:t>
      </w:r>
      <w:r>
        <w:rPr>
          <w:rFonts w:ascii="Arial" w:cs="Arial" w:eastAsia="Arial" w:hAnsi="Arial"/>
          <w:sz w:val="14"/>
          <w:szCs w:val="14"/>
          <w:color w:val="auto"/>
        </w:rPr>
        <w:t>, further, that the person that will be the tenant under this Lease after the Exempt Transfer has a net worth (as of both the day immediately prior to and the day immediately after the Exempt Transfer, except that with respect to a Tenant Reorganization such test shall only need to be met as of the day immediately after the Exempt Transfer) that is equal to or greater than the net worth (as of both the Execution Date and the date of the Exempt Transfer) of the transferring Tenant. For purposes of Exempt Transfers, “control” requires both (a) owning (directly or indirectly) more than fifty percent (50%) of the stock or other equity interests of another person and (b) possessing, directly or indirectly, the power to direct or cause the direction of the management and policies of such person. In no event shall Tenant perform a Transfer to or with an entity that is in discussions or negotiations with Landlord or an affiliate of Landlord to lease the Premises (or a portion thereof) or premises at a property owned by Landlord or an affiliate of Landlord and located within five (5) miles of the Premises.</w:t>
      </w:r>
    </w:p>
    <w:p>
      <w:pPr>
        <w:spacing w:after="0" w:line="114"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83" w:name="page184"/>
    <w:bookmarkEnd w:id="183"/>
    <w:p>
      <w:pPr>
        <w:jc w:val="both"/>
        <w:ind w:firstLine="567"/>
        <w:spacing w:after="0" w:line="296" w:lineRule="auto"/>
        <w:rPr>
          <w:sz w:val="20"/>
          <w:szCs w:val="20"/>
          <w:color w:val="auto"/>
        </w:rPr>
      </w:pPr>
      <w:r>
        <w:rPr>
          <w:rFonts w:ascii="Arial" w:cs="Arial" w:eastAsia="Arial" w:hAnsi="Arial"/>
          <w:sz w:val="14"/>
          <w:szCs w:val="14"/>
          <w:color w:val="auto"/>
        </w:rPr>
        <w:t>29.2. In the event Tenant desires to effect a Transfer, then, at least thirty (30) but not more than ninety (90) days prior to the date when Tenant desires the Transfer to be effective (the “</w:t>
      </w:r>
      <w:r>
        <w:rPr>
          <w:rFonts w:ascii="Arial" w:cs="Arial" w:eastAsia="Arial" w:hAnsi="Arial"/>
          <w:sz w:val="14"/>
          <w:szCs w:val="14"/>
          <w:u w:val="single" w:color="auto"/>
          <w:color w:val="auto"/>
        </w:rPr>
        <w:t>Transfer Date</w:t>
      </w:r>
      <w:r>
        <w:rPr>
          <w:rFonts w:ascii="Arial" w:cs="Arial" w:eastAsia="Arial" w:hAnsi="Arial"/>
          <w:sz w:val="14"/>
          <w:szCs w:val="14"/>
          <w:color w:val="auto"/>
        </w:rPr>
        <w:t>”), Tenant shall provide written notice to Landlord (the “</w:t>
      </w:r>
      <w:r>
        <w:rPr>
          <w:rFonts w:ascii="Arial" w:cs="Arial" w:eastAsia="Arial" w:hAnsi="Arial"/>
          <w:sz w:val="14"/>
          <w:szCs w:val="14"/>
          <w:u w:val="single" w:color="auto"/>
          <w:color w:val="auto"/>
        </w:rPr>
        <w:t>Transfer Notice</w:t>
      </w:r>
      <w:r>
        <w:rPr>
          <w:rFonts w:ascii="Arial" w:cs="Arial" w:eastAsia="Arial" w:hAnsi="Arial"/>
          <w:sz w:val="14"/>
          <w:szCs w:val="14"/>
          <w:color w:val="auto"/>
        </w:rPr>
        <w:t xml:space="preserve">”) containing information (including references) concerning the character of the proposed transferee, assignee or sublessee; the Transfer Date; the most recent unconsolidated financial statements of Tenant and of the proposed transferee, assignee or sublessee satisfying the requirements of </w:t>
      </w:r>
      <w:r>
        <w:rPr>
          <w:rFonts w:ascii="Arial" w:cs="Arial" w:eastAsia="Arial" w:hAnsi="Arial"/>
          <w:sz w:val="14"/>
          <w:szCs w:val="14"/>
          <w:u w:val="single" w:color="auto"/>
          <w:color w:val="auto"/>
        </w:rPr>
        <w:t>Section 41.2</w:t>
      </w:r>
      <w:r>
        <w:rPr>
          <w:rFonts w:ascii="Arial" w:cs="Arial" w:eastAsia="Arial" w:hAnsi="Arial"/>
          <w:sz w:val="14"/>
          <w:szCs w:val="14"/>
          <w:color w:val="auto"/>
        </w:rPr>
        <w:t xml:space="preserve"> (“</w:t>
      </w:r>
      <w:r>
        <w:rPr>
          <w:rFonts w:ascii="Arial" w:cs="Arial" w:eastAsia="Arial" w:hAnsi="Arial"/>
          <w:sz w:val="14"/>
          <w:szCs w:val="14"/>
          <w:u w:val="single" w:color="auto"/>
          <w:color w:val="auto"/>
        </w:rPr>
        <w:t>Required Financials</w:t>
      </w:r>
      <w:r>
        <w:rPr>
          <w:rFonts w:ascii="Arial" w:cs="Arial" w:eastAsia="Arial" w:hAnsi="Arial"/>
          <w:sz w:val="14"/>
          <w:szCs w:val="14"/>
          <w:color w:val="auto"/>
        </w:rPr>
        <w:t>”); any ownership or commercial relationship between Tenant and the proposed transferee, assignee or sublessee; and the consideration and all other material terms and conditions of the proposed Transfer, all in such detail as Landlord shall reasonably require.</w:t>
      </w:r>
    </w:p>
    <w:p>
      <w:pPr>
        <w:spacing w:after="0" w:line="165" w:lineRule="exact"/>
        <w:rPr>
          <w:sz w:val="20"/>
          <w:szCs w:val="20"/>
          <w:color w:val="auto"/>
        </w:rPr>
      </w:pPr>
    </w:p>
    <w:p>
      <w:pPr>
        <w:jc w:val="both"/>
        <w:ind w:firstLine="567"/>
        <w:spacing w:after="0" w:line="285" w:lineRule="auto"/>
        <w:rPr>
          <w:sz w:val="20"/>
          <w:szCs w:val="20"/>
          <w:color w:val="auto"/>
        </w:rPr>
      </w:pPr>
      <w:r>
        <w:rPr>
          <w:rFonts w:ascii="Arial" w:cs="Arial" w:eastAsia="Arial" w:hAnsi="Arial"/>
          <w:sz w:val="14"/>
          <w:szCs w:val="14"/>
          <w:color w:val="auto"/>
        </w:rPr>
        <w:t xml:space="preserve">29.3. Landlord, in determining whether consent should be given to a proposed Transfer, may give consideration to (a) the financial strength of Tenant and of such transferee, assignee or sublessee (notwithstanding Tenant remaining liable for Tenant’s performance), (b) any change in use that such transferee, assignee or sublessee proposes to make in the use of the Premises and (c) Landlord’s desire to exercise its rights under </w:t>
      </w:r>
      <w:r>
        <w:rPr>
          <w:rFonts w:ascii="Arial" w:cs="Arial" w:eastAsia="Arial" w:hAnsi="Arial"/>
          <w:sz w:val="14"/>
          <w:szCs w:val="14"/>
          <w:u w:val="single" w:color="auto"/>
          <w:color w:val="auto"/>
        </w:rPr>
        <w:t>Section 29.8</w:t>
      </w:r>
      <w:r>
        <w:rPr>
          <w:rFonts w:ascii="Arial" w:cs="Arial" w:eastAsia="Arial" w:hAnsi="Arial"/>
          <w:sz w:val="14"/>
          <w:szCs w:val="14"/>
          <w:color w:val="auto"/>
        </w:rPr>
        <w:t xml:space="preserve"> to cancel this Lease. In no event shall Landlord be deemed to be unreasonable for declining to consent to a Transfer to a transferee, assignee or sublessee (m) lacking the reputation or financial qualifications that satisfy the criteria Landlord or its affiliates’ use to select tenants having similar leasehold obligations, (n) seeking a change in the Permitted Use (o) or jeopardizing directly or indirectly the status of Landlord or any of Landlord’s affiliates as a Real Estate Investment Trust under the Internal Revenue Code of 1986 (as the same may be amended from time to time, the “</w:t>
      </w:r>
      <w:r>
        <w:rPr>
          <w:rFonts w:ascii="Arial" w:cs="Arial" w:eastAsia="Arial" w:hAnsi="Arial"/>
          <w:sz w:val="14"/>
          <w:szCs w:val="14"/>
          <w:u w:val="single" w:color="auto"/>
          <w:color w:val="auto"/>
        </w:rPr>
        <w:t>Revenue Code</w:t>
      </w:r>
      <w:r>
        <w:rPr>
          <w:rFonts w:ascii="Arial" w:cs="Arial" w:eastAsia="Arial" w:hAnsi="Arial"/>
          <w:sz w:val="14"/>
          <w:szCs w:val="14"/>
          <w:color w:val="auto"/>
        </w:rPr>
        <w:t>”). Notwithstanding anything contained in this Lease to the contrary, (w) no Transfer shall be consummated on any basis such that the rental or other amounts to be paid by the occupant, assignee, manager or other transferee thereunder would be based, in whole or in part, on the income or profits derived by the business activities of such occupant, assignee, manager or other transferee; (x) Tenant shall not furnish or render any services to an occupant, assignee, manager or other transferee with respect to whom transfer consideration is required to be paid, or manage or operate the Premises or any capital additions so transferred, with respect to which transfer consideration is being paid; (y) Tenant shall not consummate a Transfer with any person in which Landlord owns an interest, directly or indirectly (by applying constructive ownership rules set forth in Section 856(d)(5) of the Revenue Code), other than a company in which Landlord owns less than a five percent (5%) interest with a class of equity securities registered under Section 12 of the Securities Exchange Act of 1934, as amended, or traded on any national or foreign securities exchange or over-the-counter market; and (z) Tenant shall not consummate a Transfer with any person or in any manner that could cause any portion of the amounts received by Landlord pursuant to this Lease or any sublease, license or other arrangement for the right to use, occupy or possess any portion of the Premises to fail to qualify as “rents from real property” within the meaning of Section 856(d) of the Revenue Code, or any similar or successor provision thereto or which could cause any other income of Landlord to fail to qualify as income described in Section 856(c)(2) of the Revenue Code.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84" w:name="page185"/>
    <w:bookmarkEnd w:id="184"/>
    <w:p>
      <w:pPr>
        <w:ind w:left="560"/>
        <w:spacing w:after="0"/>
        <w:tabs>
          <w:tab w:leader="none" w:pos="1100" w:val="left"/>
        </w:tabs>
        <w:rPr>
          <w:sz w:val="20"/>
          <w:szCs w:val="20"/>
          <w:color w:val="auto"/>
        </w:rPr>
      </w:pPr>
      <w:r>
        <w:rPr>
          <w:rFonts w:ascii="Arial" w:cs="Arial" w:eastAsia="Arial" w:hAnsi="Arial"/>
          <w:sz w:val="16"/>
          <w:szCs w:val="16"/>
          <w:color w:val="auto"/>
        </w:rPr>
        <w:t>29.4.</w:t>
      </w:r>
      <w:r>
        <w:rPr>
          <w:sz w:val="20"/>
          <w:szCs w:val="20"/>
          <w:color w:val="auto"/>
        </w:rPr>
        <w:tab/>
      </w:r>
      <w:r>
        <w:rPr>
          <w:rFonts w:ascii="Arial" w:cs="Arial" w:eastAsia="Arial" w:hAnsi="Arial"/>
          <w:sz w:val="14"/>
          <w:szCs w:val="14"/>
          <w:color w:val="auto"/>
        </w:rPr>
        <w:t>The following are conditions precedent to a Transfer or to Landlord considering a request by Tenant to a Transfer:</w:t>
      </w:r>
    </w:p>
    <w:p>
      <w:pPr>
        <w:spacing w:after="0" w:line="218" w:lineRule="exact"/>
        <w:rPr>
          <w:sz w:val="20"/>
          <w:szCs w:val="20"/>
          <w:color w:val="auto"/>
        </w:rPr>
      </w:pPr>
    </w:p>
    <w:p>
      <w:pPr>
        <w:jc w:val="both"/>
        <w:ind w:firstLine="1129"/>
        <w:spacing w:after="0" w:line="257" w:lineRule="auto"/>
        <w:tabs>
          <w:tab w:leader="none" w:pos="1552" w:val="left"/>
        </w:tabs>
        <w:numPr>
          <w:ilvl w:val="0"/>
          <w:numId w:val="93"/>
        </w:numPr>
        <w:rPr>
          <w:rFonts w:ascii="Arial" w:cs="Arial" w:eastAsia="Arial" w:hAnsi="Arial"/>
          <w:sz w:val="16"/>
          <w:szCs w:val="16"/>
          <w:color w:val="auto"/>
        </w:rPr>
      </w:pPr>
      <w:r>
        <w:rPr>
          <w:rFonts w:ascii="Arial" w:cs="Arial" w:eastAsia="Arial" w:hAnsi="Arial"/>
          <w:sz w:val="16"/>
          <w:szCs w:val="16"/>
          <w:color w:val="auto"/>
        </w:rPr>
        <w:t>Tenant shall remain fully liable under this Lease during the unexpired Term. Tenant agrees that it shall not be (and shall not be deemed to be) a guarantor or surety of this Lease, however, and waives its right to claim that is it is a guarantor or surety or to raise in any legal proceeding any guarantor or surety defenses permitted by this Lease or by Applicable Laws;</w:t>
      </w:r>
    </w:p>
    <w:p>
      <w:pPr>
        <w:spacing w:after="0" w:line="188" w:lineRule="exact"/>
        <w:rPr>
          <w:rFonts w:ascii="Arial" w:cs="Arial" w:eastAsia="Arial" w:hAnsi="Arial"/>
          <w:sz w:val="16"/>
          <w:szCs w:val="16"/>
          <w:color w:val="auto"/>
        </w:rPr>
      </w:pPr>
    </w:p>
    <w:p>
      <w:pPr>
        <w:jc w:val="both"/>
        <w:ind w:right="20" w:firstLine="1129"/>
        <w:spacing w:after="0" w:line="311" w:lineRule="auto"/>
        <w:tabs>
          <w:tab w:leader="none" w:pos="1726" w:val="left"/>
        </w:tabs>
        <w:numPr>
          <w:ilvl w:val="0"/>
          <w:numId w:val="93"/>
        </w:numPr>
        <w:rPr>
          <w:rFonts w:ascii="Arial" w:cs="Arial" w:eastAsia="Arial" w:hAnsi="Arial"/>
          <w:sz w:val="14"/>
          <w:szCs w:val="14"/>
          <w:color w:val="auto"/>
        </w:rPr>
      </w:pPr>
      <w:r>
        <w:rPr>
          <w:rFonts w:ascii="Arial" w:cs="Arial" w:eastAsia="Arial" w:hAnsi="Arial"/>
          <w:sz w:val="14"/>
          <w:szCs w:val="14"/>
          <w:color w:val="auto"/>
        </w:rPr>
        <w:t>If Tenant or the proposed transferee, assignee or sublessee does not or cannot deliver the Required Financials, then Landlord may elect to have either Tenant’s ultimate parent company or the proposed transferee’s, assignee’s or sublessee’s ultimate parent company provide a guaranty of the applicable entity’s obligations under this Lease, in a form acceptable to Landlord, which guaranty shall be executed and delivered to Landlord by the applicable guarantor prior to the Transfer Date;</w:t>
      </w:r>
    </w:p>
    <w:p>
      <w:pPr>
        <w:spacing w:after="0" w:line="154" w:lineRule="exact"/>
        <w:rPr>
          <w:rFonts w:ascii="Arial" w:cs="Arial" w:eastAsia="Arial" w:hAnsi="Arial"/>
          <w:sz w:val="14"/>
          <w:szCs w:val="14"/>
          <w:color w:val="auto"/>
        </w:rPr>
      </w:pPr>
    </w:p>
    <w:p>
      <w:pPr>
        <w:ind w:left="1560" w:hanging="431"/>
        <w:spacing w:after="0"/>
        <w:tabs>
          <w:tab w:leader="none" w:pos="15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 the case of an Exempt Transfer, Tenant shall provide Landlord with evidence reasonably satisfactory to Landlord that the Transfer qualifies as an Exempt</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Transfer;</w:t>
      </w:r>
    </w:p>
    <w:p>
      <w:pPr>
        <w:spacing w:after="0" w:line="206" w:lineRule="exact"/>
        <w:rPr>
          <w:rFonts w:ascii="Arial" w:cs="Arial" w:eastAsia="Arial" w:hAnsi="Arial"/>
          <w:sz w:val="14"/>
          <w:szCs w:val="14"/>
          <w:color w:val="auto"/>
        </w:rPr>
      </w:pPr>
    </w:p>
    <w:p>
      <w:pPr>
        <w:ind w:firstLine="1129"/>
        <w:spacing w:after="0" w:line="267" w:lineRule="auto"/>
        <w:tabs>
          <w:tab w:leader="none" w:pos="1608" w:val="left"/>
        </w:tabs>
        <w:numPr>
          <w:ilvl w:val="0"/>
          <w:numId w:val="93"/>
        </w:numPr>
        <w:rPr>
          <w:rFonts w:ascii="Arial" w:cs="Arial" w:eastAsia="Arial" w:hAnsi="Arial"/>
          <w:sz w:val="16"/>
          <w:szCs w:val="16"/>
          <w:color w:val="auto"/>
        </w:rPr>
      </w:pPr>
      <w:r>
        <w:rPr>
          <w:rFonts w:ascii="Arial" w:cs="Arial" w:eastAsia="Arial" w:hAnsi="Arial"/>
          <w:sz w:val="16"/>
          <w:szCs w:val="16"/>
          <w:color w:val="auto"/>
        </w:rPr>
        <w:t>Tenant shall provide Landlord with evidence reasonably satisfactory to Landlord of the relevant business experience and financial responsibility and status of the proposed transferee, assignee or sublessee;</w:t>
      </w:r>
    </w:p>
    <w:p>
      <w:pPr>
        <w:spacing w:after="0" w:line="181" w:lineRule="exact"/>
        <w:rPr>
          <w:rFonts w:ascii="Arial" w:cs="Arial" w:eastAsia="Arial" w:hAnsi="Arial"/>
          <w:sz w:val="16"/>
          <w:szCs w:val="16"/>
          <w:color w:val="auto"/>
        </w:rPr>
      </w:pPr>
    </w:p>
    <w:p>
      <w:pPr>
        <w:ind w:right="20" w:firstLine="1129"/>
        <w:spacing w:after="0" w:line="301" w:lineRule="auto"/>
        <w:tabs>
          <w:tab w:leader="none" w:pos="1705" w:val="left"/>
        </w:tabs>
        <w:numPr>
          <w:ilvl w:val="0"/>
          <w:numId w:val="93"/>
        </w:numPr>
        <w:rPr>
          <w:rFonts w:ascii="Arial" w:cs="Arial" w:eastAsia="Arial" w:hAnsi="Arial"/>
          <w:sz w:val="15"/>
          <w:szCs w:val="15"/>
          <w:color w:val="auto"/>
        </w:rPr>
      </w:pPr>
      <w:r>
        <w:rPr>
          <w:rFonts w:ascii="Arial" w:cs="Arial" w:eastAsia="Arial" w:hAnsi="Arial"/>
          <w:sz w:val="15"/>
          <w:szCs w:val="15"/>
          <w:color w:val="auto"/>
        </w:rPr>
        <w:t>Tenant shall reimburse Landlord for Landlord’s actual costs and expenses, including reasonable attorneys’ fees, charges and disbursements incurred in connection with the review, processing and documentation of such request, not to exceed Two Thousand Five Hundred Dollars ($2,500) per proposed Transfer;</w:t>
      </w:r>
    </w:p>
    <w:p>
      <w:pPr>
        <w:spacing w:after="0" w:line="158" w:lineRule="exact"/>
        <w:rPr>
          <w:rFonts w:ascii="Arial" w:cs="Arial" w:eastAsia="Arial" w:hAnsi="Arial"/>
          <w:sz w:val="15"/>
          <w:szCs w:val="15"/>
          <w:color w:val="auto"/>
        </w:rPr>
      </w:pPr>
    </w:p>
    <w:p>
      <w:pPr>
        <w:jc w:val="both"/>
        <w:ind w:firstLine="1129"/>
        <w:spacing w:after="0" w:line="250" w:lineRule="auto"/>
        <w:tabs>
          <w:tab w:leader="none" w:pos="1558"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Except with respect to an Exempt Transfer, if Tenant’s transfer of rights or sharing of the Premises provides for the receipt by, on behalf of or on account of Tenant of any consideration of any kind whatsoever (including a premium rental for a sublease or lump sum payment for an assignment, but excluding Tenant’s reasonable costs in marketing and subleasing the Premises) in excess of the rental and other charges due to Landlord under this Lease, Tenant shall pay fifty percent (50%) of all of such excess to Landlord, after making deductions for any reasonable marketing expenses, tenant improvement funds expended by Tenant, alterations, cash concessions, brokerage commissions, attorneys’ fees and free rent actually paid by Tenant. If such consideration consists of cash paid to Tenant, payment to Landlord shall be made upon receipt by Tenant of such cash payment;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85" w:name="page186"/>
    <w:bookmarkEnd w:id="185"/>
    <w:p>
      <w:pPr>
        <w:jc w:val="both"/>
        <w:ind w:firstLine="1129"/>
        <w:spacing w:after="0" w:line="272" w:lineRule="auto"/>
        <w:tabs>
          <w:tab w:leader="none" w:pos="1714" w:val="left"/>
        </w:tabs>
        <w:numPr>
          <w:ilvl w:val="0"/>
          <w:numId w:val="94"/>
        </w:numPr>
        <w:rPr>
          <w:rFonts w:ascii="Arial" w:cs="Arial" w:eastAsia="Arial" w:hAnsi="Arial"/>
          <w:sz w:val="15"/>
          <w:szCs w:val="15"/>
          <w:color w:val="auto"/>
        </w:rPr>
      </w:pPr>
      <w:r>
        <w:rPr>
          <w:rFonts w:ascii="Arial" w:cs="Arial" w:eastAsia="Arial" w:hAnsi="Arial"/>
          <w:sz w:val="15"/>
          <w:szCs w:val="15"/>
          <w:color w:val="auto"/>
        </w:rPr>
        <w:t xml:space="preserve">The proposed transferee, assignee or sublessee shall agree that, in the event Landlord gives such proposed transferee, assignee or sublessee notice that Tenant is in default under this Lease, such proposed transferee, assignee or sublessee shall thereafter make all payments otherwise due Tenant directly to Landlord, which payments shall be received by Landlord without any liability being incurred by Landlord, except to credit such payment against those due by Tenant under this Lease, and any such proposed transferee, assignee or sublessee shall agree to attorn to Landlord or its successors and assigns should this Lease be terminated for any reason;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in no event shall Landlord or its Lenders, successors or assigns be obligated to accept such attornment;</w:t>
      </w:r>
    </w:p>
    <w:p>
      <w:pPr>
        <w:spacing w:after="0" w:line="180" w:lineRule="exact"/>
        <w:rPr>
          <w:rFonts w:ascii="Arial" w:cs="Arial" w:eastAsia="Arial" w:hAnsi="Arial"/>
          <w:sz w:val="15"/>
          <w:szCs w:val="15"/>
          <w:color w:val="auto"/>
        </w:rPr>
      </w:pPr>
    </w:p>
    <w:p>
      <w:pPr>
        <w:ind w:left="1560" w:hanging="431"/>
        <w:spacing w:after="0"/>
        <w:tabs>
          <w:tab w:leader="none" w:pos="1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Landlord’s consent to any such Transfer shall be effected on Landlord’s forms;</w:t>
      </w:r>
    </w:p>
    <w:p>
      <w:pPr>
        <w:spacing w:after="0" w:line="217" w:lineRule="exact"/>
        <w:rPr>
          <w:rFonts w:ascii="Arial" w:cs="Arial" w:eastAsia="Arial" w:hAnsi="Arial"/>
          <w:sz w:val="16"/>
          <w:szCs w:val="16"/>
          <w:color w:val="auto"/>
        </w:rPr>
      </w:pPr>
    </w:p>
    <w:p>
      <w:pPr>
        <w:ind w:left="1520" w:hanging="391"/>
        <w:spacing w:after="0"/>
        <w:tabs>
          <w:tab w:leader="none" w:pos="15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Tenant shall not then be in default hereunder in any respect;</w:t>
      </w:r>
    </w:p>
    <w:p>
      <w:pPr>
        <w:spacing w:after="0" w:line="217" w:lineRule="exact"/>
        <w:rPr>
          <w:rFonts w:ascii="Arial" w:cs="Arial" w:eastAsia="Arial" w:hAnsi="Arial"/>
          <w:sz w:val="16"/>
          <w:szCs w:val="16"/>
          <w:color w:val="auto"/>
        </w:rPr>
      </w:pPr>
    </w:p>
    <w:p>
      <w:pPr>
        <w:ind w:left="1520" w:hanging="391"/>
        <w:spacing w:after="0"/>
        <w:tabs>
          <w:tab w:leader="none" w:pos="15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Such proposed transferee, assignee or sublessee’s use of the Premises shall be the same as the Permitted Use;</w:t>
      </w:r>
    </w:p>
    <w:p>
      <w:pPr>
        <w:spacing w:after="0" w:line="217" w:lineRule="exact"/>
        <w:rPr>
          <w:rFonts w:ascii="Arial" w:cs="Arial" w:eastAsia="Arial" w:hAnsi="Arial"/>
          <w:sz w:val="16"/>
          <w:szCs w:val="16"/>
          <w:color w:val="auto"/>
        </w:rPr>
      </w:pPr>
    </w:p>
    <w:p>
      <w:pPr>
        <w:ind w:left="1560" w:hanging="431"/>
        <w:spacing w:after="0"/>
        <w:tabs>
          <w:tab w:leader="none" w:pos="15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Landlord shall not be bound by any provision of any agreement pertaining to the Transfer, except for Landlord’s written consent to the same;</w:t>
      </w:r>
    </w:p>
    <w:p>
      <w:pPr>
        <w:spacing w:after="0" w:line="229" w:lineRule="exact"/>
        <w:rPr>
          <w:rFonts w:ascii="Arial" w:cs="Arial" w:eastAsia="Arial" w:hAnsi="Arial"/>
          <w:sz w:val="15"/>
          <w:szCs w:val="15"/>
          <w:color w:val="auto"/>
        </w:rPr>
      </w:pPr>
    </w:p>
    <w:p>
      <w:pPr>
        <w:ind w:left="1520" w:hanging="391"/>
        <w:spacing w:after="0"/>
        <w:tabs>
          <w:tab w:leader="none" w:pos="15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Tenant shall pay all transfer and other taxes (including interest and penalties) assessed or payable for any Transfer;</w:t>
      </w:r>
    </w:p>
    <w:p>
      <w:pPr>
        <w:spacing w:after="0" w:line="217" w:lineRule="exact"/>
        <w:rPr>
          <w:rFonts w:ascii="Arial" w:cs="Arial" w:eastAsia="Arial" w:hAnsi="Arial"/>
          <w:sz w:val="16"/>
          <w:szCs w:val="16"/>
          <w:color w:val="auto"/>
        </w:rPr>
      </w:pPr>
    </w:p>
    <w:p>
      <w:pPr>
        <w:ind w:left="1600" w:hanging="471"/>
        <w:spacing w:after="0"/>
        <w:tabs>
          <w:tab w:leader="none" w:pos="16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Landlord’s consent (or waiver of its rights) for any Transfer shall not waive Landlord’s right to consent or refuse consent to any later Transfer;</w:t>
      </w:r>
    </w:p>
    <w:p>
      <w:pPr>
        <w:spacing w:after="0" w:line="229" w:lineRule="exact"/>
        <w:rPr>
          <w:rFonts w:ascii="Arial" w:cs="Arial" w:eastAsia="Arial" w:hAnsi="Arial"/>
          <w:sz w:val="15"/>
          <w:szCs w:val="15"/>
          <w:color w:val="auto"/>
        </w:rPr>
      </w:pPr>
    </w:p>
    <w:p>
      <w:pPr>
        <w:ind w:left="1560" w:hanging="431"/>
        <w:spacing w:after="0"/>
        <w:tabs>
          <w:tab w:leader="none" w:pos="15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Tenant shall deliver to Landlord one executed copy of any and all written instruments evidencing or relating to the Transfer; and</w:t>
      </w:r>
    </w:p>
    <w:p>
      <w:pPr>
        <w:spacing w:after="0" w:line="217" w:lineRule="exact"/>
        <w:rPr>
          <w:rFonts w:ascii="Arial" w:cs="Arial" w:eastAsia="Arial" w:hAnsi="Arial"/>
          <w:sz w:val="16"/>
          <w:szCs w:val="16"/>
          <w:color w:val="auto"/>
        </w:rPr>
      </w:pPr>
    </w:p>
    <w:p>
      <w:pPr>
        <w:jc w:val="both"/>
        <w:ind w:firstLine="1129"/>
        <w:spacing w:after="0" w:line="253" w:lineRule="auto"/>
        <w:tabs>
          <w:tab w:leader="none" w:pos="1608"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Tenant shall deliver to Landlord a list of Hazardous Materials (as defined below), certified by the proposed transferee, assignee or sublessee to be true and correct, that the proposed transferee, assignee or sublessee intends to use or store in the Premises. Additionally, Tenant shall deliver to Landlord, on or before the date any proposed transferee, assignee or sublessee takes occupancy of the Premises, all of the items relating to Hazardous Materials of such proposed transferee, assignee or sublessee as described in </w:t>
      </w:r>
      <w:r>
        <w:rPr>
          <w:rFonts w:ascii="Arial" w:cs="Arial" w:eastAsia="Arial" w:hAnsi="Arial"/>
          <w:sz w:val="16"/>
          <w:szCs w:val="16"/>
          <w:u w:val="single" w:color="auto"/>
          <w:color w:val="auto"/>
        </w:rPr>
        <w:t>Section 21.2</w:t>
      </w:r>
      <w:r>
        <w:rPr>
          <w:rFonts w:ascii="Arial" w:cs="Arial" w:eastAsia="Arial" w:hAnsi="Arial"/>
          <w:sz w:val="16"/>
          <w:szCs w:val="16"/>
          <w:color w:val="auto"/>
        </w:rPr>
        <w:t>.</w:t>
      </w:r>
    </w:p>
    <w:p>
      <w:pPr>
        <w:spacing w:after="0" w:line="193" w:lineRule="exact"/>
        <w:rPr>
          <w:sz w:val="20"/>
          <w:szCs w:val="20"/>
          <w:color w:val="auto"/>
        </w:rPr>
      </w:pPr>
    </w:p>
    <w:p>
      <w:pPr>
        <w:jc w:val="both"/>
        <w:ind w:right="20" w:firstLine="567"/>
        <w:spacing w:after="0" w:line="267" w:lineRule="auto"/>
        <w:rPr>
          <w:sz w:val="20"/>
          <w:szCs w:val="20"/>
          <w:color w:val="auto"/>
        </w:rPr>
      </w:pPr>
      <w:r>
        <w:rPr>
          <w:rFonts w:ascii="Arial" w:cs="Arial" w:eastAsia="Arial" w:hAnsi="Arial"/>
          <w:sz w:val="16"/>
          <w:szCs w:val="16"/>
          <w:color w:val="auto"/>
        </w:rPr>
        <w:t>29.5. Any Transfer that is not in compliance with the provisions of this Article or with respect to which Tenant does not fulfill its obligations pursuant to this Article shall be void and shall, at the option of Landlord, terminate this Lease.</w:t>
      </w:r>
    </w:p>
    <w:p>
      <w:pPr>
        <w:spacing w:after="0" w:line="181"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16"/>
          <w:szCs w:val="16"/>
          <w:color w:val="auto"/>
        </w:rPr>
        <w:t>29.6. Notwithstanding any Transfer, Tenant shall remain fully and primarily liable for the payment of all Rent and other sums due or to become due hereunder, and for the full performance of all other terms, conditions and covenants to be kept and performed by Tenant. The acceptance of Rent or any other sum due hereunder, or the acceptance of performance of any other term, covenant or condition thereof, from any person or entity other than Tenant shall not be deemed a waiver of any of the provisions of this Lease or a consent to any Transfer.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86" w:name="page187"/>
    <w:bookmarkEnd w:id="186"/>
    <w:p>
      <w:pPr>
        <w:jc w:val="both"/>
        <w:ind w:left="5" w:firstLine="567"/>
        <w:spacing w:after="0" w:line="250" w:lineRule="auto"/>
        <w:rPr>
          <w:sz w:val="20"/>
          <w:szCs w:val="20"/>
          <w:color w:val="auto"/>
        </w:rPr>
      </w:pPr>
      <w:r>
        <w:rPr>
          <w:rFonts w:ascii="Arial" w:cs="Arial" w:eastAsia="Arial" w:hAnsi="Arial"/>
          <w:sz w:val="16"/>
          <w:szCs w:val="16"/>
          <w:color w:val="auto"/>
        </w:rPr>
        <w:t xml:space="preserve">29.7. If Tenant delivers to Landlord a Transfer Notice indicating a desire to transfer this Lease to a proposed transferee, assignee or sublessee other than as provided within </w:t>
      </w:r>
      <w:r>
        <w:rPr>
          <w:rFonts w:ascii="Arial" w:cs="Arial" w:eastAsia="Arial" w:hAnsi="Arial"/>
          <w:sz w:val="16"/>
          <w:szCs w:val="16"/>
          <w:u w:val="single" w:color="auto"/>
          <w:color w:val="auto"/>
        </w:rPr>
        <w:t>Section 29.4</w:t>
      </w:r>
      <w:r>
        <w:rPr>
          <w:rFonts w:ascii="Arial" w:cs="Arial" w:eastAsia="Arial" w:hAnsi="Arial"/>
          <w:sz w:val="16"/>
          <w:szCs w:val="16"/>
          <w:color w:val="auto"/>
        </w:rPr>
        <w:t>, then Landlord shall have the option, exercisable by giving notice to Tenant at any time within ten (10) days after Landlord’s receipt of such Transfer Notice, to terminate this Lease as of the date specified in the Transfer Notice as the Transfer Date, except for those provisions that, by their express terms, survive the expiration or earlier termination hereof. If Landlord exercises such option, then Tenant shall have the right to withdraw such Transfer Notice by delivering to Landlord written notice of such election within five (5) days after Landlord’s delivery of notice electing to exercise Landlord’s option to terminate this Lease. In the event Tenant withdraws the Transfer Notice as provided in this Section, this Lease shall continue in full force and effect. No failure of Landlord to exercise its option to terminate this Lease shall be deemed to be Landlord’s consent to a proposed Transfer.</w:t>
      </w:r>
    </w:p>
    <w:p>
      <w:pPr>
        <w:spacing w:after="0" w:line="195" w:lineRule="exact"/>
        <w:rPr>
          <w:sz w:val="20"/>
          <w:szCs w:val="20"/>
          <w:color w:val="auto"/>
        </w:rPr>
      </w:pPr>
    </w:p>
    <w:p>
      <w:pPr>
        <w:jc w:val="both"/>
        <w:ind w:left="5" w:right="20" w:firstLine="567"/>
        <w:spacing w:after="0" w:line="253" w:lineRule="auto"/>
        <w:rPr>
          <w:sz w:val="20"/>
          <w:szCs w:val="20"/>
          <w:color w:val="auto"/>
        </w:rPr>
      </w:pPr>
      <w:r>
        <w:rPr>
          <w:rFonts w:ascii="Arial" w:cs="Arial" w:eastAsia="Arial" w:hAnsi="Arial"/>
          <w:sz w:val="16"/>
          <w:szCs w:val="16"/>
          <w:color w:val="auto"/>
        </w:rPr>
        <w:t xml:space="preserve">29.8. If Tenant sublets the Premises or any portion thereof, Tenant hereby immediately and irrevocably assigns to Landlord, as security for Tenant’s obligations under this Lease, all rent from any such subletting, and appoints Landlord as assignee and attorney-in-fact for Tenant, and Landlord (or a receiver for Tenant appointed on Landlord’s application) may collect such rent and apply it toward Tenant’s obligations under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the occurrence of a Default (as defined below) by Tenant, Tenant shall have the right to collect such rent.</w:t>
      </w:r>
    </w:p>
    <w:p>
      <w:pPr>
        <w:spacing w:after="0" w:line="193" w:lineRule="exact"/>
        <w:rPr>
          <w:sz w:val="20"/>
          <w:szCs w:val="20"/>
          <w:color w:val="auto"/>
        </w:rPr>
      </w:pPr>
    </w:p>
    <w:p>
      <w:pPr>
        <w:ind w:left="525" w:hanging="525"/>
        <w:spacing w:after="0"/>
        <w:tabs>
          <w:tab w:leader="none" w:pos="525"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Subordination and Attornment</w:t>
      </w:r>
      <w:r>
        <w:rPr>
          <w:rFonts w:ascii="Arial" w:cs="Arial" w:eastAsia="Arial" w:hAnsi="Arial"/>
          <w:sz w:val="16"/>
          <w:szCs w:val="16"/>
          <w:color w:val="auto"/>
        </w:rPr>
        <w:t>.</w:t>
      </w:r>
    </w:p>
    <w:p>
      <w:pPr>
        <w:spacing w:after="0" w:line="218" w:lineRule="exact"/>
        <w:rPr>
          <w:sz w:val="20"/>
          <w:szCs w:val="20"/>
          <w:color w:val="auto"/>
        </w:rPr>
      </w:pPr>
    </w:p>
    <w:p>
      <w:pPr>
        <w:jc w:val="both"/>
        <w:ind w:left="5" w:right="20" w:firstLine="567"/>
        <w:spacing w:after="0" w:line="282" w:lineRule="auto"/>
        <w:rPr>
          <w:sz w:val="20"/>
          <w:szCs w:val="20"/>
          <w:color w:val="auto"/>
        </w:rPr>
      </w:pPr>
      <w:r>
        <w:rPr>
          <w:rFonts w:ascii="Arial" w:cs="Arial" w:eastAsia="Arial" w:hAnsi="Arial"/>
          <w:sz w:val="15"/>
          <w:szCs w:val="15"/>
          <w:color w:val="auto"/>
        </w:rPr>
        <w:t xml:space="preserve">30.1. This Lease shall be subject and subordinate to the lien of any mortgage, deed of trust, or ground lease in which Landlord is tenant now or hereafter in force against the Premises or any portion thereof and to all advances made or hereafter to be made upon the security thereof without the necessity of the execution and delivery of any further instruments on the part of Tenant to effectuate such subordination, but nothing in this Section shall be deemed to limit </w:t>
      </w:r>
      <w:r>
        <w:rPr>
          <w:rFonts w:ascii="Arial" w:cs="Arial" w:eastAsia="Arial" w:hAnsi="Arial"/>
          <w:sz w:val="15"/>
          <w:szCs w:val="15"/>
          <w:u w:val="single" w:color="auto"/>
          <w:color w:val="auto"/>
        </w:rPr>
        <w:t>Article 15</w:t>
      </w:r>
      <w:r>
        <w:rPr>
          <w:rFonts w:ascii="Arial" w:cs="Arial" w:eastAsia="Arial" w:hAnsi="Arial"/>
          <w:sz w:val="15"/>
          <w:szCs w:val="15"/>
          <w:color w:val="auto"/>
        </w:rPr>
        <w:t>.</w:t>
      </w:r>
    </w:p>
    <w:p>
      <w:pPr>
        <w:spacing w:after="0" w:line="172" w:lineRule="exact"/>
        <w:rPr>
          <w:sz w:val="20"/>
          <w:szCs w:val="20"/>
          <w:color w:val="auto"/>
        </w:rPr>
      </w:pPr>
    </w:p>
    <w:p>
      <w:pPr>
        <w:jc w:val="both"/>
        <w:ind w:left="5" w:firstLine="567"/>
        <w:spacing w:after="0" w:line="250" w:lineRule="auto"/>
        <w:rPr>
          <w:sz w:val="20"/>
          <w:szCs w:val="20"/>
          <w:color w:val="auto"/>
        </w:rPr>
      </w:pPr>
      <w:r>
        <w:rPr>
          <w:rFonts w:ascii="Arial" w:cs="Arial" w:eastAsia="Arial" w:hAnsi="Arial"/>
          <w:sz w:val="16"/>
          <w:szCs w:val="16"/>
          <w:color w:val="auto"/>
        </w:rPr>
        <w:t xml:space="preserve">30.2. Notwithstanding the foregoing, Tenant shall execute and deliver upon demand such further instrument or instruments evidencing such subordination of this Lease to the lien of any such mortgage or mortgages or deeds of trust or lease in which Landlord is tenant as may be required by Landlord;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Tenant receives a non-disturbance agreement from such lender or lessor. If any such mortgagee, beneficiary or landlord under a lease wherein Landlord is tenant (each, a “</w:t>
      </w:r>
      <w:r>
        <w:rPr>
          <w:rFonts w:ascii="Arial" w:cs="Arial" w:eastAsia="Arial" w:hAnsi="Arial"/>
          <w:sz w:val="16"/>
          <w:szCs w:val="16"/>
          <w:u w:val="single" w:color="auto"/>
          <w:color w:val="auto"/>
        </w:rPr>
        <w:t>Mortgagee</w:t>
      </w:r>
      <w:r>
        <w:rPr>
          <w:rFonts w:ascii="Arial" w:cs="Arial" w:eastAsia="Arial" w:hAnsi="Arial"/>
          <w:sz w:val="16"/>
          <w:szCs w:val="16"/>
          <w:color w:val="auto"/>
        </w:rPr>
        <w:t>”) so elects, however, this Lease shall be deemed prior in lien to any such lease, mortgage, or deed of trust upon or including the Premises regardless of date and Tenant shall execute a statement in writing to such effect at Landlord’s request. If Tenant fails to execute any document required from Tenant under this Section within ten (10) days after written request therefor, Tenant hereby constitutes and appoints Landlord or its special attorney-in-fact to execute and deliver any such document or documents in the name of Tenant. Such power is coupled with an interest and is irrevocable.</w:t>
      </w:r>
    </w:p>
    <w:p>
      <w:pPr>
        <w:spacing w:after="0" w:line="195" w:lineRule="exact"/>
        <w:rPr>
          <w:sz w:val="20"/>
          <w:szCs w:val="20"/>
          <w:color w:val="auto"/>
        </w:rPr>
      </w:pPr>
    </w:p>
    <w:p>
      <w:pPr>
        <w:jc w:val="both"/>
        <w:ind w:left="5" w:firstLine="567"/>
        <w:spacing w:after="0" w:line="257" w:lineRule="auto"/>
        <w:rPr>
          <w:sz w:val="20"/>
          <w:szCs w:val="20"/>
          <w:color w:val="auto"/>
        </w:rPr>
      </w:pPr>
      <w:r>
        <w:rPr>
          <w:rFonts w:ascii="Arial" w:cs="Arial" w:eastAsia="Arial" w:hAnsi="Arial"/>
          <w:sz w:val="16"/>
          <w:szCs w:val="16"/>
          <w:color w:val="auto"/>
        </w:rPr>
        <w:t>30.3. Upon written request of Landlord and opportunity for Tenant to review, Tenant agrees to execute any Lease amendments not materially (a) altering the terms of, (b) reducing Tenant’s rights under or (c) increasing Tenant’s obligations under this Lease, if required by a mortgagee or beneficiary of a deed of trust encumbering real property of which the Premises constitute a part incident to the financing of the real property of which the Premises constitute a part.</w:t>
      </w:r>
    </w:p>
    <w:p>
      <w:pPr>
        <w:spacing w:after="0" w:line="126"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87" w:name="page188"/>
    <w:bookmarkEnd w:id="187"/>
    <w:p>
      <w:pPr>
        <w:jc w:val="both"/>
        <w:ind w:left="5" w:firstLine="567"/>
        <w:spacing w:after="0" w:line="257" w:lineRule="auto"/>
        <w:rPr>
          <w:sz w:val="20"/>
          <w:szCs w:val="20"/>
          <w:color w:val="auto"/>
        </w:rPr>
      </w:pPr>
      <w:r>
        <w:rPr>
          <w:rFonts w:ascii="Arial" w:cs="Arial" w:eastAsia="Arial" w:hAnsi="Arial"/>
          <w:sz w:val="16"/>
          <w:szCs w:val="16"/>
          <w:color w:val="auto"/>
        </w:rPr>
        <w:t>30.4. In the event any proceedings are brought for foreclosure, or in the event of the exercise of the power of sale under any mortgage or deed of trust made by Landlord covering the Premises, Tenant shall at the election of the purchaser at such foreclosure or sale attorn to the purchaser upon any such foreclosure or sale and recognize such purchaser as Landlord under this Lease.</w:t>
      </w:r>
    </w:p>
    <w:p>
      <w:pPr>
        <w:spacing w:after="0" w:line="189" w:lineRule="exact"/>
        <w:rPr>
          <w:sz w:val="20"/>
          <w:szCs w:val="20"/>
          <w:color w:val="auto"/>
        </w:rPr>
      </w:pPr>
    </w:p>
    <w:p>
      <w:pPr>
        <w:ind w:left="525" w:hanging="525"/>
        <w:spacing w:after="0"/>
        <w:tabs>
          <w:tab w:leader="none" w:pos="52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Defaults and Remedies</w:t>
      </w:r>
      <w:r>
        <w:rPr>
          <w:rFonts w:ascii="Arial" w:cs="Arial" w:eastAsia="Arial" w:hAnsi="Arial"/>
          <w:sz w:val="16"/>
          <w:szCs w:val="16"/>
          <w:color w:val="auto"/>
        </w:rPr>
        <w:t>.</w:t>
      </w:r>
    </w:p>
    <w:p>
      <w:pPr>
        <w:spacing w:after="0" w:line="218" w:lineRule="exact"/>
        <w:rPr>
          <w:sz w:val="20"/>
          <w:szCs w:val="20"/>
          <w:color w:val="auto"/>
        </w:rPr>
      </w:pPr>
    </w:p>
    <w:p>
      <w:pPr>
        <w:jc w:val="both"/>
        <w:ind w:left="5" w:firstLine="567"/>
        <w:spacing w:after="0" w:line="284" w:lineRule="auto"/>
        <w:rPr>
          <w:sz w:val="20"/>
          <w:szCs w:val="20"/>
          <w:color w:val="auto"/>
        </w:rPr>
      </w:pPr>
      <w:r>
        <w:rPr>
          <w:rFonts w:ascii="Arial" w:cs="Arial" w:eastAsia="Arial" w:hAnsi="Arial"/>
          <w:sz w:val="14"/>
          <w:szCs w:val="14"/>
          <w:color w:val="auto"/>
        </w:rPr>
        <w:t>31.1. Late payment by Tenant to Landlord of Rent and other sums due shall cause Landlord to incur costs not contemplated by this Lease, the exact amount of which shall be extremely difficult and impracticable to ascertain. Such costs include processing and accounting charges and late charges that may be imposed on Landlord by the terms of any mortgage or trust deed covering the Premises. Therefore, if any installment of Rent due from Tenant is not received by Landlord within five (5) days after the date such payment is due, Tenant shall pay to Landlord (a) an additional sum of five percent (5%) of the overdue Rent as a late charge plus (b) interest at an annual rate (the “</w:t>
      </w:r>
      <w:r>
        <w:rPr>
          <w:rFonts w:ascii="Arial" w:cs="Arial" w:eastAsia="Arial" w:hAnsi="Arial"/>
          <w:sz w:val="14"/>
          <w:szCs w:val="14"/>
          <w:u w:val="single" w:color="auto"/>
          <w:color w:val="auto"/>
        </w:rPr>
        <w:t>Default Rate</w:t>
      </w:r>
      <w:r>
        <w:rPr>
          <w:rFonts w:ascii="Arial" w:cs="Arial" w:eastAsia="Arial" w:hAnsi="Arial"/>
          <w:sz w:val="14"/>
          <w:szCs w:val="14"/>
          <w:color w:val="auto"/>
        </w:rPr>
        <w:t>”) equal to the lesser of (a) twelve percent (12%) and (b) the highest rate permitted by Applicable Laws. The parties agree that this late charge represents a fair and reasonable estimate of the costs that Landlord shall incur by reason of late payment by Tenant and shall be payable as Additional Rent to Landlord due with the next installment of Rent or within five</w:t>
      </w:r>
    </w:p>
    <w:p>
      <w:pPr>
        <w:spacing w:after="0" w:line="3" w:lineRule="exact"/>
        <w:rPr>
          <w:sz w:val="20"/>
          <w:szCs w:val="20"/>
          <w:color w:val="auto"/>
        </w:rPr>
      </w:pPr>
    </w:p>
    <w:p>
      <w:pPr>
        <w:ind w:left="5" w:hanging="5"/>
        <w:spacing w:after="0" w:line="286" w:lineRule="auto"/>
        <w:tabs>
          <w:tab w:leader="none" w:pos="233" w:val="left"/>
        </w:tabs>
        <w:numPr>
          <w:ilvl w:val="0"/>
          <w:numId w:val="97"/>
        </w:numPr>
        <w:rPr>
          <w:rFonts w:ascii="Arial" w:cs="Arial" w:eastAsia="Arial" w:hAnsi="Arial"/>
          <w:sz w:val="15"/>
          <w:szCs w:val="15"/>
          <w:color w:val="auto"/>
        </w:rPr>
      </w:pPr>
      <w:r>
        <w:rPr>
          <w:rFonts w:ascii="Arial" w:cs="Arial" w:eastAsia="Arial" w:hAnsi="Arial"/>
          <w:sz w:val="15"/>
          <w:szCs w:val="15"/>
          <w:color w:val="auto"/>
        </w:rPr>
        <w:t>business days after Landlord’s demand, whichever is earlier. Landlord’s acceptance of any Additional Rent (including a late charge or any other amount hereunder) shall not be deemed an extension of the date that Rent is due or prevent Landlord from pursuing any other rights or remedies under this Lease, at law or in equity.</w:t>
      </w:r>
    </w:p>
    <w:p>
      <w:pPr>
        <w:spacing w:after="0" w:line="168" w:lineRule="exact"/>
        <w:rPr>
          <w:sz w:val="20"/>
          <w:szCs w:val="20"/>
          <w:color w:val="auto"/>
        </w:rPr>
      </w:pPr>
    </w:p>
    <w:p>
      <w:pPr>
        <w:jc w:val="both"/>
        <w:ind w:left="5" w:firstLine="567"/>
        <w:spacing w:after="0" w:line="296" w:lineRule="auto"/>
        <w:rPr>
          <w:sz w:val="20"/>
          <w:szCs w:val="20"/>
          <w:color w:val="auto"/>
        </w:rPr>
      </w:pPr>
      <w:r>
        <w:rPr>
          <w:rFonts w:ascii="Arial" w:cs="Arial" w:eastAsia="Arial" w:hAnsi="Arial"/>
          <w:sz w:val="14"/>
          <w:szCs w:val="14"/>
          <w:color w:val="auto"/>
        </w:rPr>
        <w:t>31.2. No payment by Tenant or receipt by Landlord of a lesser amount than the Rent payment herein stipulated shall be deemed to be other than on account of the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 or in equity or at law. If a dispute shall arise as to any amount or sum of money to be paid by Tenant to Landlord hereunder, Tenant shall have the right to make payment “under protest,” such payment shall not be regarded as a voluntary payment, and there shall survive the right on the part of Tenant to institute suit for recovery of the payment paid under protest.</w:t>
      </w:r>
    </w:p>
    <w:p>
      <w:pPr>
        <w:spacing w:after="0" w:line="165" w:lineRule="exact"/>
        <w:rPr>
          <w:sz w:val="20"/>
          <w:szCs w:val="20"/>
          <w:color w:val="auto"/>
        </w:rPr>
      </w:pPr>
    </w:p>
    <w:p>
      <w:pPr>
        <w:jc w:val="both"/>
        <w:ind w:left="5" w:firstLine="567"/>
        <w:spacing w:after="0" w:line="293" w:lineRule="auto"/>
        <w:rPr>
          <w:sz w:val="20"/>
          <w:szCs w:val="20"/>
          <w:color w:val="auto"/>
        </w:rPr>
      </w:pPr>
      <w:r>
        <w:rPr>
          <w:rFonts w:ascii="Arial" w:cs="Arial" w:eastAsia="Arial" w:hAnsi="Arial"/>
          <w:sz w:val="14"/>
          <w:szCs w:val="14"/>
          <w:color w:val="auto"/>
        </w:rPr>
        <w:t xml:space="preserve">31.3. If Tenant fails to pay any sum of money required to be paid by it hereunder or perform any other act on its part to be performed hereunder, in each case within the applicable cure period (if any) described in </w:t>
      </w:r>
      <w:r>
        <w:rPr>
          <w:rFonts w:ascii="Arial" w:cs="Arial" w:eastAsia="Arial" w:hAnsi="Arial"/>
          <w:sz w:val="14"/>
          <w:szCs w:val="14"/>
          <w:u w:val="single" w:color="auto"/>
          <w:color w:val="auto"/>
        </w:rPr>
        <w:t>Section 31.4</w:t>
      </w:r>
      <w:r>
        <w:rPr>
          <w:rFonts w:ascii="Arial" w:cs="Arial" w:eastAsia="Arial" w:hAnsi="Arial"/>
          <w:sz w:val="14"/>
          <w:szCs w:val="14"/>
          <w:color w:val="auto"/>
        </w:rPr>
        <w:t xml:space="preserve">, then Landlord may (but shall not be obligated to), without waiving or releasing Tenant from any obligations of Tenant, make such payment or perform such act;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failure by Tenant unreasonably interfered with the efficient operation of the Premises, or resulted or could have resulted in a violation of Applicable Laws or the cancellation of an insurance policy maintained by Landlord. Notwithstanding the foregoing, in the event of an emergency, Landlord shall have the right to enter the Premises and act in accordance with its rights as provided elsewhere in this Lease. In addition to the late charge described in </w:t>
      </w:r>
      <w:r>
        <w:rPr>
          <w:rFonts w:ascii="Arial" w:cs="Arial" w:eastAsia="Arial" w:hAnsi="Arial"/>
          <w:sz w:val="14"/>
          <w:szCs w:val="14"/>
          <w:u w:val="single" w:color="auto"/>
          <w:color w:val="auto"/>
        </w:rPr>
        <w:t>Section 31.1</w:t>
      </w:r>
      <w:r>
        <w:rPr>
          <w:rFonts w:ascii="Arial" w:cs="Arial" w:eastAsia="Arial" w:hAnsi="Arial"/>
          <w:sz w:val="14"/>
          <w:szCs w:val="14"/>
          <w:color w:val="auto"/>
        </w:rPr>
        <w:t>, Tenant shall pay to Landlord as Additional Rent all sums so paid or incurred by Landlord, together with interest at the Default Rate, computed from the date such sums were paid or incurred.</w:t>
      </w:r>
    </w:p>
    <w:p>
      <w:pPr>
        <w:spacing w:after="0" w:line="105"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88" w:name="page189"/>
    <w:bookmarkEnd w:id="188"/>
    <w:p>
      <w:pPr>
        <w:ind w:left="560"/>
        <w:spacing w:after="0"/>
        <w:tabs>
          <w:tab w:leader="none" w:pos="1100" w:val="left"/>
        </w:tabs>
        <w:rPr>
          <w:sz w:val="20"/>
          <w:szCs w:val="20"/>
          <w:color w:val="auto"/>
        </w:rPr>
      </w:pPr>
      <w:r>
        <w:rPr>
          <w:rFonts w:ascii="Arial" w:cs="Arial" w:eastAsia="Arial" w:hAnsi="Arial"/>
          <w:sz w:val="16"/>
          <w:szCs w:val="16"/>
          <w:color w:val="auto"/>
        </w:rPr>
        <w:t>31.4.</w:t>
      </w:r>
      <w:r>
        <w:rPr>
          <w:sz w:val="20"/>
          <w:szCs w:val="20"/>
          <w:color w:val="auto"/>
        </w:rPr>
        <w:tab/>
      </w:r>
      <w:r>
        <w:rPr>
          <w:rFonts w:ascii="Arial" w:cs="Arial" w:eastAsia="Arial" w:hAnsi="Arial"/>
          <w:sz w:val="14"/>
          <w:szCs w:val="14"/>
          <w:color w:val="auto"/>
        </w:rPr>
        <w:t>The occurrence of any one or more of the following events shall constitute a “</w:t>
      </w:r>
      <w:r>
        <w:rPr>
          <w:rFonts w:ascii="Arial" w:cs="Arial" w:eastAsia="Arial" w:hAnsi="Arial"/>
          <w:sz w:val="14"/>
          <w:szCs w:val="14"/>
          <w:u w:val="single" w:color="auto"/>
          <w:color w:val="auto"/>
        </w:rPr>
        <w:t>Default</w:t>
      </w:r>
      <w:r>
        <w:rPr>
          <w:rFonts w:ascii="Arial" w:cs="Arial" w:eastAsia="Arial" w:hAnsi="Arial"/>
          <w:sz w:val="14"/>
          <w:szCs w:val="14"/>
          <w:color w:val="auto"/>
        </w:rPr>
        <w:t>” hereunder by Tenant:</w:t>
      </w:r>
    </w:p>
    <w:p>
      <w:pPr>
        <w:spacing w:after="0" w:line="218" w:lineRule="exact"/>
        <w:rPr>
          <w:sz w:val="20"/>
          <w:szCs w:val="20"/>
          <w:color w:val="auto"/>
        </w:rPr>
      </w:pPr>
    </w:p>
    <w:p>
      <w:pPr>
        <w:ind w:left="1540" w:hanging="411"/>
        <w:spacing w:after="0"/>
        <w:tabs>
          <w:tab w:leader="none" w:pos="1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Tenant abandons or vacates the Premises;</w:t>
      </w:r>
    </w:p>
    <w:p>
      <w:pPr>
        <w:spacing w:after="0" w:line="217" w:lineRule="exact"/>
        <w:rPr>
          <w:rFonts w:ascii="Arial" w:cs="Arial" w:eastAsia="Arial" w:hAnsi="Arial"/>
          <w:sz w:val="16"/>
          <w:szCs w:val="16"/>
          <w:color w:val="auto"/>
        </w:rPr>
      </w:pPr>
    </w:p>
    <w:p>
      <w:pPr>
        <w:ind w:firstLine="1129"/>
        <w:spacing w:after="0" w:line="267" w:lineRule="auto"/>
        <w:tabs>
          <w:tab w:leader="none" w:pos="1608"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Tenant fails to make any payment of Rent, as and when due, or to satisfy its obligations under </w:t>
      </w:r>
      <w:r>
        <w:rPr>
          <w:rFonts w:ascii="Arial" w:cs="Arial" w:eastAsia="Arial" w:hAnsi="Arial"/>
          <w:sz w:val="16"/>
          <w:szCs w:val="16"/>
          <w:u w:val="single" w:color="auto"/>
          <w:color w:val="auto"/>
        </w:rPr>
        <w:t>Article 19</w:t>
      </w:r>
      <w:r>
        <w:rPr>
          <w:rFonts w:ascii="Arial" w:cs="Arial" w:eastAsia="Arial" w:hAnsi="Arial"/>
          <w:sz w:val="16"/>
          <w:szCs w:val="16"/>
          <w:color w:val="auto"/>
        </w:rPr>
        <w:t>, where such failure shall continue for a period of five (5) days after written notice thereof from Landlord to Tenant;</w:t>
      </w:r>
    </w:p>
    <w:p>
      <w:pPr>
        <w:spacing w:after="0" w:line="181" w:lineRule="exact"/>
        <w:rPr>
          <w:rFonts w:ascii="Arial" w:cs="Arial" w:eastAsia="Arial" w:hAnsi="Arial"/>
          <w:sz w:val="16"/>
          <w:szCs w:val="16"/>
          <w:color w:val="auto"/>
        </w:rPr>
      </w:pPr>
    </w:p>
    <w:p>
      <w:pPr>
        <w:jc w:val="both"/>
        <w:ind w:firstLine="1129"/>
        <w:spacing w:after="0" w:line="301" w:lineRule="auto"/>
        <w:tabs>
          <w:tab w:leader="none" w:pos="1646" w:val="left"/>
        </w:tabs>
        <w:numPr>
          <w:ilvl w:val="0"/>
          <w:numId w:val="98"/>
        </w:numPr>
        <w:rPr>
          <w:rFonts w:ascii="Arial" w:cs="Arial" w:eastAsia="Arial" w:hAnsi="Arial"/>
          <w:sz w:val="14"/>
          <w:szCs w:val="14"/>
          <w:color w:val="auto"/>
        </w:rPr>
      </w:pPr>
      <w:r>
        <w:rPr>
          <w:rFonts w:ascii="Arial" w:cs="Arial" w:eastAsia="Arial" w:hAnsi="Arial"/>
          <w:sz w:val="14"/>
          <w:szCs w:val="14"/>
          <w:color w:val="auto"/>
        </w:rPr>
        <w:t xml:space="preserve">Tenant fails to observe or perform any obligation or covenant contained herein (other than described in </w:t>
      </w:r>
      <w:r>
        <w:rPr>
          <w:rFonts w:ascii="Arial" w:cs="Arial" w:eastAsia="Arial" w:hAnsi="Arial"/>
          <w:sz w:val="14"/>
          <w:szCs w:val="14"/>
          <w:u w:val="single" w:color="auto"/>
          <w:color w:val="auto"/>
        </w:rPr>
        <w:t>Sections 31.4(a)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31.4(b)</w:t>
      </w:r>
      <w:r>
        <w:rPr>
          <w:rFonts w:ascii="Arial" w:cs="Arial" w:eastAsia="Arial" w:hAnsi="Arial"/>
          <w:sz w:val="14"/>
          <w:szCs w:val="14"/>
          <w:color w:val="auto"/>
        </w:rPr>
        <w:t xml:space="preserve">) to be performed by Tenant, where such failure continues for a period of thirty (30) days after written notice thereof from Landlord to Tenant;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nature of Tenant’s default is such that it reasonably requires more than thirty (30) days to cure, Tenant shall not be deemed to be in Default if Tenant commences such cure within such thirty (30) day period and thereafter diligently prosecute the same to completion; and </w:t>
      </w:r>
      <w:r>
        <w:rPr>
          <w:rFonts w:ascii="Arial" w:cs="Arial" w:eastAsia="Arial" w:hAnsi="Arial"/>
          <w:sz w:val="14"/>
          <w:szCs w:val="14"/>
          <w:u w:val="single" w:color="auto"/>
          <w:color w:val="auto"/>
        </w:rPr>
        <w:t>provided</w:t>
      </w:r>
      <w:r>
        <w:rPr>
          <w:rFonts w:ascii="Arial" w:cs="Arial" w:eastAsia="Arial" w:hAnsi="Arial"/>
          <w:sz w:val="14"/>
          <w:szCs w:val="14"/>
          <w:color w:val="auto"/>
        </w:rPr>
        <w:t>, further, that such cure is completed no later than ninety (90) days after Tenant’s receipt of written notice from Landlord;</w:t>
      </w:r>
    </w:p>
    <w:p>
      <w:pPr>
        <w:spacing w:after="0" w:line="161" w:lineRule="exact"/>
        <w:rPr>
          <w:rFonts w:ascii="Arial" w:cs="Arial" w:eastAsia="Arial" w:hAnsi="Arial"/>
          <w:sz w:val="14"/>
          <w:szCs w:val="14"/>
          <w:color w:val="auto"/>
        </w:rPr>
      </w:pPr>
    </w:p>
    <w:p>
      <w:pPr>
        <w:ind w:left="1560" w:hanging="431"/>
        <w:spacing w:after="0"/>
        <w:tabs>
          <w:tab w:leader="none" w:pos="1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Tenant makes an assignment for the benefit of creditors;</w:t>
      </w:r>
    </w:p>
    <w:p>
      <w:pPr>
        <w:spacing w:after="0" w:line="217" w:lineRule="exact"/>
        <w:rPr>
          <w:rFonts w:ascii="Arial" w:cs="Arial" w:eastAsia="Arial" w:hAnsi="Arial"/>
          <w:sz w:val="16"/>
          <w:szCs w:val="16"/>
          <w:color w:val="auto"/>
        </w:rPr>
      </w:pPr>
    </w:p>
    <w:p>
      <w:pPr>
        <w:ind w:left="1540" w:hanging="411"/>
        <w:spacing w:after="0"/>
        <w:tabs>
          <w:tab w:leader="none" w:pos="1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receiver, trustee or custodian is appointed to or does take title, possession or control of all or substantially all of Tenant’s assets;</w:t>
      </w:r>
    </w:p>
    <w:p>
      <w:pPr>
        <w:spacing w:after="0" w:line="217" w:lineRule="exact"/>
        <w:rPr>
          <w:rFonts w:ascii="Arial" w:cs="Arial" w:eastAsia="Arial" w:hAnsi="Arial"/>
          <w:sz w:val="16"/>
          <w:szCs w:val="16"/>
          <w:color w:val="auto"/>
        </w:rPr>
      </w:pPr>
    </w:p>
    <w:p>
      <w:pPr>
        <w:ind w:firstLine="1129"/>
        <w:spacing w:after="0" w:line="340" w:lineRule="auto"/>
        <w:tabs>
          <w:tab w:leader="none" w:pos="1641" w:val="left"/>
        </w:tabs>
        <w:numPr>
          <w:ilvl w:val="0"/>
          <w:numId w:val="98"/>
        </w:numPr>
        <w:rPr>
          <w:rFonts w:ascii="Arial" w:cs="Arial" w:eastAsia="Arial" w:hAnsi="Arial"/>
          <w:sz w:val="14"/>
          <w:szCs w:val="14"/>
          <w:color w:val="auto"/>
        </w:rPr>
      </w:pPr>
      <w:r>
        <w:rPr>
          <w:rFonts w:ascii="Arial" w:cs="Arial" w:eastAsia="Arial" w:hAnsi="Arial"/>
          <w:sz w:val="14"/>
          <w:szCs w:val="14"/>
          <w:color w:val="auto"/>
        </w:rPr>
        <w:t>Tenant files a voluntary petition under the United States Bankruptcy Code or any successor statute (as the same may be amended from time to time, the “</w:t>
      </w:r>
      <w:r>
        <w:rPr>
          <w:rFonts w:ascii="Arial" w:cs="Arial" w:eastAsia="Arial" w:hAnsi="Arial"/>
          <w:sz w:val="14"/>
          <w:szCs w:val="14"/>
          <w:u w:val="single" w:color="auto"/>
          <w:color w:val="auto"/>
        </w:rPr>
        <w:t>Bankruptcy Code</w:t>
      </w:r>
      <w:r>
        <w:rPr>
          <w:rFonts w:ascii="Arial" w:cs="Arial" w:eastAsia="Arial" w:hAnsi="Arial"/>
          <w:sz w:val="14"/>
          <w:szCs w:val="14"/>
          <w:color w:val="auto"/>
        </w:rPr>
        <w:t>”) or an order for relief is entered against Tenant pursuant to a voluntary or involuntary proceeding commenced under any chapter of the Bankruptcy Code;</w:t>
      </w:r>
    </w:p>
    <w:p>
      <w:pPr>
        <w:spacing w:after="0" w:line="134" w:lineRule="exact"/>
        <w:rPr>
          <w:rFonts w:ascii="Arial" w:cs="Arial" w:eastAsia="Arial" w:hAnsi="Arial"/>
          <w:sz w:val="14"/>
          <w:szCs w:val="14"/>
          <w:color w:val="auto"/>
        </w:rPr>
      </w:pPr>
    </w:p>
    <w:p>
      <w:pPr>
        <w:ind w:left="1560" w:hanging="431"/>
        <w:spacing w:after="0"/>
        <w:tabs>
          <w:tab w:leader="none" w:pos="15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Any involuntary petition is filed against Tenant under any chapter of the Bankruptcy Code and is not dismissed within one hundred twenty (120) days;</w:t>
      </w:r>
    </w:p>
    <w:p>
      <w:pPr>
        <w:spacing w:after="0" w:line="240" w:lineRule="exact"/>
        <w:rPr>
          <w:rFonts w:ascii="Arial" w:cs="Arial" w:eastAsia="Arial" w:hAnsi="Arial"/>
          <w:sz w:val="14"/>
          <w:szCs w:val="14"/>
          <w:color w:val="auto"/>
        </w:rPr>
      </w:pPr>
    </w:p>
    <w:p>
      <w:pPr>
        <w:ind w:left="1560" w:hanging="431"/>
        <w:spacing w:after="0"/>
        <w:tabs>
          <w:tab w:leader="none" w:pos="1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[Intentionally omitted]</w:t>
      </w:r>
    </w:p>
    <w:p>
      <w:pPr>
        <w:spacing w:after="0" w:line="217" w:lineRule="exact"/>
        <w:rPr>
          <w:rFonts w:ascii="Arial" w:cs="Arial" w:eastAsia="Arial" w:hAnsi="Arial"/>
          <w:sz w:val="16"/>
          <w:szCs w:val="16"/>
          <w:color w:val="auto"/>
        </w:rPr>
      </w:pPr>
    </w:p>
    <w:p>
      <w:pPr>
        <w:ind w:left="1520" w:hanging="391"/>
        <w:spacing w:after="0"/>
        <w:tabs>
          <w:tab w:leader="none" w:pos="15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Tenant fails to deliver an estoppel certificate in accordance with </w:t>
      </w:r>
      <w:r>
        <w:rPr>
          <w:rFonts w:ascii="Arial" w:cs="Arial" w:eastAsia="Arial" w:hAnsi="Arial"/>
          <w:sz w:val="16"/>
          <w:szCs w:val="16"/>
          <w:u w:val="single" w:color="auto"/>
          <w:color w:val="auto"/>
        </w:rPr>
        <w:t>Article 20</w:t>
      </w:r>
      <w:r>
        <w:rPr>
          <w:rFonts w:ascii="Arial" w:cs="Arial" w:eastAsia="Arial" w:hAnsi="Arial"/>
          <w:sz w:val="16"/>
          <w:szCs w:val="16"/>
          <w:color w:val="auto"/>
        </w:rPr>
        <w:t>; or</w:t>
      </w:r>
    </w:p>
    <w:p>
      <w:pPr>
        <w:spacing w:after="0" w:line="217" w:lineRule="exact"/>
        <w:rPr>
          <w:rFonts w:ascii="Arial" w:cs="Arial" w:eastAsia="Arial" w:hAnsi="Arial"/>
          <w:sz w:val="16"/>
          <w:szCs w:val="16"/>
          <w:color w:val="auto"/>
        </w:rPr>
      </w:pPr>
    </w:p>
    <w:p>
      <w:pPr>
        <w:ind w:left="1520" w:hanging="391"/>
        <w:spacing w:after="0"/>
        <w:tabs>
          <w:tab w:leader="none" w:pos="15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Tenant’s interest in this Lease is attached, executed upon or otherwise judicially seized and such action is not released within one hundred twenty (120) days</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of the action.</w:t>
      </w:r>
    </w:p>
    <w:p>
      <w:pPr>
        <w:spacing w:after="0" w:line="207"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16"/>
          <w:szCs w:val="16"/>
          <w:color w:val="auto"/>
        </w:rPr>
        <w:t>Notices given under this Section shall specify the alleged default and shall demand that Tenant perform the provisions of this Lease or pay the Rent that is in arrears, as the case may be, within the applicable period of time, or quit the Premises. No such notice shall be deemed a forfeiture or a termination of this Lease unless Landlord elects otherwise in such notice.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9" w:name="page190"/>
    <w:bookmarkEnd w:id="189"/>
    <w:p>
      <w:pPr>
        <w:ind w:firstLine="567"/>
        <w:spacing w:after="0" w:line="267" w:lineRule="auto"/>
        <w:rPr>
          <w:sz w:val="20"/>
          <w:szCs w:val="20"/>
          <w:color w:val="auto"/>
        </w:rPr>
      </w:pPr>
      <w:r>
        <w:rPr>
          <w:rFonts w:ascii="Arial" w:cs="Arial" w:eastAsia="Arial" w:hAnsi="Arial"/>
          <w:sz w:val="16"/>
          <w:szCs w:val="16"/>
          <w:color w:val="auto"/>
        </w:rPr>
        <w:t>31.5. In the event of a Default by Tenant, and at any time thereafter, with or without notice or demand and without limiting Landlord in the exercise of any right or remedy that Landlord may have, Landlord has the right to do any or all of the following:</w:t>
      </w:r>
    </w:p>
    <w:p>
      <w:pPr>
        <w:spacing w:after="0" w:line="181" w:lineRule="exact"/>
        <w:rPr>
          <w:sz w:val="20"/>
          <w:szCs w:val="20"/>
          <w:color w:val="auto"/>
        </w:rPr>
      </w:pPr>
    </w:p>
    <w:p>
      <w:pPr>
        <w:ind w:left="1540" w:hanging="411"/>
        <w:spacing w:after="0"/>
        <w:tabs>
          <w:tab w:leader="none" w:pos="1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Halt any Tenant Improvements and Alterations and order Tenant’s contractors, subcontractors, consultants, designers and material suppliers to stop work;</w:t>
      </w:r>
    </w:p>
    <w:p>
      <w:pPr>
        <w:spacing w:after="0" w:line="240" w:lineRule="exact"/>
        <w:rPr>
          <w:rFonts w:ascii="Arial" w:cs="Arial" w:eastAsia="Arial" w:hAnsi="Arial"/>
          <w:sz w:val="14"/>
          <w:szCs w:val="14"/>
          <w:color w:val="auto"/>
        </w:rPr>
      </w:pPr>
    </w:p>
    <w:p>
      <w:pPr>
        <w:jc w:val="both"/>
        <w:ind w:firstLine="1129"/>
        <w:spacing w:after="0" w:line="253" w:lineRule="auto"/>
        <w:tabs>
          <w:tab w:leader="none" w:pos="1773" w:val="left"/>
        </w:tabs>
        <w:numPr>
          <w:ilvl w:val="0"/>
          <w:numId w:val="99"/>
        </w:numPr>
        <w:rPr>
          <w:rFonts w:ascii="Arial" w:cs="Arial" w:eastAsia="Arial" w:hAnsi="Arial"/>
          <w:sz w:val="16"/>
          <w:szCs w:val="16"/>
          <w:color w:val="auto"/>
        </w:rPr>
      </w:pPr>
      <w:r>
        <w:rPr>
          <w:rFonts w:ascii="Arial" w:cs="Arial" w:eastAsia="Arial" w:hAnsi="Arial"/>
          <w:sz w:val="16"/>
          <w:szCs w:val="16"/>
          <w:color w:val="auto"/>
        </w:rPr>
        <w:t>Terminate Tenant’s right to possession of the Premises by written notice to Tenant or by any lawful means, in which case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and</w:t>
      </w:r>
    </w:p>
    <w:p>
      <w:pPr>
        <w:spacing w:after="0" w:line="193" w:lineRule="exact"/>
        <w:rPr>
          <w:rFonts w:ascii="Arial" w:cs="Arial" w:eastAsia="Arial" w:hAnsi="Arial"/>
          <w:sz w:val="16"/>
          <w:szCs w:val="16"/>
          <w:color w:val="auto"/>
        </w:rPr>
      </w:pPr>
    </w:p>
    <w:p>
      <w:pPr>
        <w:jc w:val="both"/>
        <w:ind w:firstLine="1129"/>
        <w:spacing w:after="0" w:line="251" w:lineRule="auto"/>
        <w:tabs>
          <w:tab w:leader="none" w:pos="1646" w:val="left"/>
        </w:tabs>
        <w:numPr>
          <w:ilvl w:val="0"/>
          <w:numId w:val="99"/>
        </w:numPr>
        <w:rPr>
          <w:rFonts w:ascii="Arial" w:cs="Arial" w:eastAsia="Arial" w:hAnsi="Arial"/>
          <w:sz w:val="16"/>
          <w:szCs w:val="16"/>
          <w:color w:val="auto"/>
        </w:rPr>
      </w:pPr>
      <w:r>
        <w:rPr>
          <w:rFonts w:ascii="Arial" w:cs="Arial" w:eastAsia="Arial" w:hAnsi="Arial"/>
          <w:sz w:val="16"/>
          <w:szCs w:val="16"/>
          <w:color w:val="auto"/>
        </w:rPr>
        <w:t>Terminate this Lease, in which event Tenant shall immediately surrender possession of the Premises to Landlord. In such event, Landlord shall have the immediate right to re-enter and remove all persons and property, and such property may be removed and stored in a public warehouse or elsewhere at the cost and for the account of Tenant, all without service of notice or resort to legal process and without being deemed guilty of trespass or becoming liable for any loss or damage that may be occasioned thereby. In the event that Landlord shall elect to so terminate this Lease, then Landlord shall be entitled to recover from Tenant all damages incurred by Landlord by reason of Tenant’s default, including:</w:t>
      </w:r>
    </w:p>
    <w:p>
      <w:pPr>
        <w:spacing w:after="0" w:line="195" w:lineRule="exact"/>
        <w:rPr>
          <w:rFonts w:ascii="Arial" w:cs="Arial" w:eastAsia="Arial" w:hAnsi="Arial"/>
          <w:sz w:val="16"/>
          <w:szCs w:val="16"/>
          <w:color w:val="auto"/>
        </w:rPr>
      </w:pPr>
    </w:p>
    <w:p>
      <w:pPr>
        <w:ind w:left="1940" w:hanging="386"/>
        <w:spacing w:after="0"/>
        <w:tabs>
          <w:tab w:leader="none" w:pos="194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sum of:</w:t>
      </w:r>
    </w:p>
    <w:p>
      <w:pPr>
        <w:spacing w:after="0" w:line="217" w:lineRule="exact"/>
        <w:rPr>
          <w:rFonts w:ascii="Arial" w:cs="Arial" w:eastAsia="Arial" w:hAnsi="Arial"/>
          <w:sz w:val="16"/>
          <w:szCs w:val="16"/>
          <w:color w:val="auto"/>
        </w:rPr>
      </w:pPr>
    </w:p>
    <w:p>
      <w:pPr>
        <w:ind w:left="2380" w:hanging="400"/>
        <w:spacing w:after="0"/>
        <w:tabs>
          <w:tab w:leader="none" w:pos="2380" w:val="left"/>
        </w:tabs>
        <w:numPr>
          <w:ilvl w:val="2"/>
          <w:numId w:val="99"/>
        </w:numPr>
        <w:rPr>
          <w:rFonts w:ascii="Arial" w:cs="Arial" w:eastAsia="Arial" w:hAnsi="Arial"/>
          <w:sz w:val="16"/>
          <w:szCs w:val="16"/>
          <w:color w:val="auto"/>
        </w:rPr>
      </w:pPr>
      <w:r>
        <w:rPr>
          <w:rFonts w:ascii="Arial" w:cs="Arial" w:eastAsia="Arial" w:hAnsi="Arial"/>
          <w:sz w:val="16"/>
          <w:szCs w:val="16"/>
          <w:color w:val="auto"/>
        </w:rPr>
        <w:t>The worth at the time of award of any unpaid Rent that had accrued at the time of such termination; plus</w:t>
      </w:r>
    </w:p>
    <w:p>
      <w:pPr>
        <w:spacing w:after="0" w:line="217" w:lineRule="exact"/>
        <w:rPr>
          <w:rFonts w:ascii="Arial" w:cs="Arial" w:eastAsia="Arial" w:hAnsi="Arial"/>
          <w:sz w:val="16"/>
          <w:szCs w:val="16"/>
          <w:color w:val="auto"/>
        </w:rPr>
      </w:pPr>
    </w:p>
    <w:p>
      <w:pPr>
        <w:jc w:val="both"/>
        <w:ind w:firstLine="1980"/>
        <w:spacing w:after="0" w:line="257" w:lineRule="auto"/>
        <w:tabs>
          <w:tab w:leader="none" w:pos="2597" w:val="left"/>
        </w:tabs>
        <w:numPr>
          <w:ilvl w:val="2"/>
          <w:numId w:val="99"/>
        </w:numPr>
        <w:rPr>
          <w:rFonts w:ascii="Arial" w:cs="Arial" w:eastAsia="Arial" w:hAnsi="Arial"/>
          <w:sz w:val="16"/>
          <w:szCs w:val="16"/>
          <w:color w:val="auto"/>
        </w:rPr>
      </w:pPr>
      <w:r>
        <w:rPr>
          <w:rFonts w:ascii="Arial" w:cs="Arial" w:eastAsia="Arial" w:hAnsi="Arial"/>
          <w:sz w:val="16"/>
          <w:szCs w:val="16"/>
          <w:color w:val="auto"/>
        </w:rPr>
        <w:t>The worth at the time of award of the amount by which the unpaid Rent that would have accrued during the period commencing with termination of the Lease and ending at the time of award exceeds that portion of the loss of Landlord’s rental income from the Premises that Tenant proves to Landlord’s reasonable satisfaction could have been reasonably avoided; plus</w:t>
      </w:r>
    </w:p>
    <w:p>
      <w:pPr>
        <w:spacing w:after="0" w:line="188" w:lineRule="exact"/>
        <w:rPr>
          <w:rFonts w:ascii="Arial" w:cs="Arial" w:eastAsia="Arial" w:hAnsi="Arial"/>
          <w:sz w:val="16"/>
          <w:szCs w:val="16"/>
          <w:color w:val="auto"/>
        </w:rPr>
      </w:pPr>
    </w:p>
    <w:p>
      <w:pPr>
        <w:ind w:right="20" w:firstLine="1980"/>
        <w:spacing w:after="0" w:line="301" w:lineRule="auto"/>
        <w:tabs>
          <w:tab w:leader="none" w:pos="2372" w:val="left"/>
        </w:tabs>
        <w:numPr>
          <w:ilvl w:val="2"/>
          <w:numId w:val="99"/>
        </w:numPr>
        <w:rPr>
          <w:rFonts w:ascii="Arial" w:cs="Arial" w:eastAsia="Arial" w:hAnsi="Arial"/>
          <w:sz w:val="15"/>
          <w:szCs w:val="15"/>
          <w:color w:val="auto"/>
        </w:rPr>
      </w:pPr>
      <w:r>
        <w:rPr>
          <w:rFonts w:ascii="Arial" w:cs="Arial" w:eastAsia="Arial" w:hAnsi="Arial"/>
          <w:sz w:val="15"/>
          <w:szCs w:val="15"/>
          <w:color w:val="auto"/>
        </w:rPr>
        <w:t>The worth at the time of award of the amount by which the unpaid Rent for the balance of the Term after the time of award exceeds that portion of the loss of Landlord’s rental income from the Premises that Tenant proves to Landlord’s reasonable satisfaction could have been reasonably avoided; plus</w:t>
      </w:r>
    </w:p>
    <w:p>
      <w:pPr>
        <w:spacing w:after="0" w:line="158" w:lineRule="exact"/>
        <w:rPr>
          <w:rFonts w:ascii="Arial" w:cs="Arial" w:eastAsia="Arial" w:hAnsi="Arial"/>
          <w:sz w:val="15"/>
          <w:szCs w:val="15"/>
          <w:color w:val="auto"/>
        </w:rPr>
      </w:pPr>
    </w:p>
    <w:p>
      <w:pPr>
        <w:jc w:val="both"/>
        <w:ind w:firstLine="1980"/>
        <w:spacing w:after="0" w:line="257" w:lineRule="auto"/>
        <w:tabs>
          <w:tab w:leader="none" w:pos="2381" w:val="left"/>
        </w:tabs>
        <w:numPr>
          <w:ilvl w:val="2"/>
          <w:numId w:val="99"/>
        </w:numPr>
        <w:rPr>
          <w:rFonts w:ascii="Arial" w:cs="Arial" w:eastAsia="Arial" w:hAnsi="Arial"/>
          <w:sz w:val="16"/>
          <w:szCs w:val="16"/>
          <w:color w:val="auto"/>
        </w:rPr>
      </w:pPr>
      <w:r>
        <w:rPr>
          <w:rFonts w:ascii="Arial" w:cs="Arial" w:eastAsia="Arial" w:hAnsi="Arial"/>
          <w:sz w:val="16"/>
          <w:szCs w:val="16"/>
          <w:color w:val="auto"/>
        </w:rPr>
        <w:t>Any other amount necessary to compensate Landlord for all the detriment caused by Tenant’s failure to perform its obligations under this Lease or that in the ordinary course of things would be likely to result therefrom, including the cost of restoring the Premises to the condition required under the terms of this Lease, including any rent payments not otherwise chargeable to Tenant (e.g., during any “free” rent period or rent holiday); plus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90" w:name="page191"/>
    <w:bookmarkEnd w:id="190"/>
    <w:p>
      <w:pPr>
        <w:ind w:left="2360" w:hanging="380"/>
        <w:spacing w:after="0"/>
        <w:tabs>
          <w:tab w:leader="none" w:pos="23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At Landlord’s election, such other amounts in addition to or in lieu of the foregoing as may be permitted from time to time by Applicable Laws.</w:t>
      </w:r>
    </w:p>
    <w:p>
      <w:pPr>
        <w:spacing w:after="0" w:line="241"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 xml:space="preserve">As used in </w:t>
      </w:r>
      <w:r>
        <w:rPr>
          <w:rFonts w:ascii="Arial" w:cs="Arial" w:eastAsia="Arial" w:hAnsi="Arial"/>
          <w:sz w:val="16"/>
          <w:szCs w:val="16"/>
          <w:u w:val="single" w:color="auto"/>
          <w:color w:val="auto"/>
        </w:rPr>
        <w:t>Sections 31.5(c)(i)(A)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“worth at the time of award” shall be computed by allowing interest at the Default Rate. As used in </w:t>
      </w:r>
      <w:r>
        <w:rPr>
          <w:rFonts w:ascii="Arial" w:cs="Arial" w:eastAsia="Arial" w:hAnsi="Arial"/>
          <w:sz w:val="16"/>
          <w:szCs w:val="16"/>
          <w:u w:val="single" w:color="auto"/>
          <w:color w:val="auto"/>
        </w:rPr>
        <w:t>Section 31.5(c)(i)(C)</w:t>
      </w:r>
      <w:r>
        <w:rPr>
          <w:rFonts w:ascii="Arial" w:cs="Arial" w:eastAsia="Arial" w:hAnsi="Arial"/>
          <w:sz w:val="16"/>
          <w:szCs w:val="16"/>
          <w:color w:val="auto"/>
        </w:rPr>
        <w:t>, the “worth at the time of the award” shall be computed by taking the present value of such amount, using the discount rate of the Federal Reserve Bank of San Francisco at the time of the award plus one (1) percentage point (the “</w:t>
      </w:r>
      <w:r>
        <w:rPr>
          <w:rFonts w:ascii="Arial" w:cs="Arial" w:eastAsia="Arial" w:hAnsi="Arial"/>
          <w:sz w:val="16"/>
          <w:szCs w:val="16"/>
          <w:u w:val="single" w:color="auto"/>
          <w:color w:val="auto"/>
        </w:rPr>
        <w:t>Discount Rate</w:t>
      </w:r>
      <w:r>
        <w:rPr>
          <w:rFonts w:ascii="Arial" w:cs="Arial" w:eastAsia="Arial" w:hAnsi="Arial"/>
          <w:sz w:val="16"/>
          <w:szCs w:val="16"/>
          <w:color w:val="auto"/>
        </w:rPr>
        <w:t>”).</w:t>
      </w:r>
    </w:p>
    <w:p>
      <w:pPr>
        <w:spacing w:after="0" w:line="189" w:lineRule="exact"/>
        <w:rPr>
          <w:sz w:val="20"/>
          <w:szCs w:val="20"/>
          <w:color w:val="auto"/>
        </w:rPr>
      </w:pPr>
    </w:p>
    <w:p>
      <w:pPr>
        <w:jc w:val="both"/>
        <w:ind w:firstLine="567"/>
        <w:spacing w:after="0" w:line="276" w:lineRule="auto"/>
        <w:rPr>
          <w:sz w:val="20"/>
          <w:szCs w:val="20"/>
          <w:color w:val="auto"/>
        </w:rPr>
      </w:pPr>
      <w:r>
        <w:rPr>
          <w:rFonts w:ascii="Arial" w:cs="Arial" w:eastAsia="Arial" w:hAnsi="Arial"/>
          <w:sz w:val="15"/>
          <w:szCs w:val="15"/>
          <w:color w:val="auto"/>
        </w:rPr>
        <w:t xml:space="preserve">31.6. In addition to any other remedies available to Landlord at law or in equity and under this Lease, Landlord shall have the remedy described in California Civil Code Section 1951.4 and may continue this Lease in effect after Tenant’s Default and abandonment and recover Rent as it becomes due,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Tenant has the right to sublet or assign, subject only to reasonable limitations. In addition, Landlord shall not be liable in any way whatsoever for its failure or refusal to relet the Premises. For purposes of this Section, the following acts by Landlord will not constitute the termination of Tenant’s right to possession of the Premises:</w:t>
      </w:r>
    </w:p>
    <w:p>
      <w:pPr>
        <w:spacing w:after="0" w:line="176" w:lineRule="exact"/>
        <w:rPr>
          <w:sz w:val="20"/>
          <w:szCs w:val="20"/>
          <w:color w:val="auto"/>
        </w:rPr>
      </w:pPr>
    </w:p>
    <w:p>
      <w:pPr>
        <w:ind w:firstLine="1129"/>
        <w:spacing w:after="0" w:line="267" w:lineRule="auto"/>
        <w:tabs>
          <w:tab w:leader="none" w:pos="167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Acts of maintenance or preservation or efforts to relet the Premises, including alterations, remodeling, redecorating, repairs, replacements or painting as Landlord shall consider advisable for the purpose of reletting the Premises or any part thereof; or</w:t>
      </w:r>
    </w:p>
    <w:p>
      <w:pPr>
        <w:spacing w:after="0" w:line="181" w:lineRule="exact"/>
        <w:rPr>
          <w:rFonts w:ascii="Arial" w:cs="Arial" w:eastAsia="Arial" w:hAnsi="Arial"/>
          <w:sz w:val="16"/>
          <w:szCs w:val="16"/>
          <w:color w:val="auto"/>
        </w:rPr>
      </w:pPr>
    </w:p>
    <w:p>
      <w:pPr>
        <w:ind w:left="1560" w:hanging="431"/>
        <w:spacing w:after="0"/>
        <w:tabs>
          <w:tab w:leader="none" w:pos="15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appointment of a receiver upon the initiative of Landlord to protect Landlord’s interest under this Lease or in the Premises.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Notwithstanding the foregoing, in the event of a Default by Tenant, Landlord may elect at any time to terminate this Lease and to recover damages to which Landlord is entitled.</w:t>
      </w:r>
    </w:p>
    <w:p>
      <w:pPr>
        <w:spacing w:after="0" w:line="241" w:lineRule="exact"/>
        <w:rPr>
          <w:sz w:val="20"/>
          <w:szCs w:val="20"/>
          <w:color w:val="auto"/>
        </w:rPr>
      </w:pPr>
    </w:p>
    <w:p>
      <w:pPr>
        <w:ind w:right="20" w:firstLine="567"/>
        <w:spacing w:after="0" w:line="267" w:lineRule="auto"/>
        <w:rPr>
          <w:sz w:val="20"/>
          <w:szCs w:val="20"/>
          <w:color w:val="auto"/>
        </w:rPr>
      </w:pPr>
      <w:r>
        <w:rPr>
          <w:rFonts w:ascii="Arial" w:cs="Arial" w:eastAsia="Arial" w:hAnsi="Arial"/>
          <w:sz w:val="16"/>
          <w:szCs w:val="16"/>
          <w:color w:val="auto"/>
        </w:rPr>
        <w:t xml:space="preserve">31.7. If Landlord does not elect to terminate this Lease as provided in </w:t>
      </w:r>
      <w:r>
        <w:rPr>
          <w:rFonts w:ascii="Arial" w:cs="Arial" w:eastAsia="Arial" w:hAnsi="Arial"/>
          <w:sz w:val="16"/>
          <w:szCs w:val="16"/>
          <w:u w:val="single" w:color="auto"/>
          <w:color w:val="auto"/>
        </w:rPr>
        <w:t>Section 31.5</w:t>
      </w:r>
      <w:r>
        <w:rPr>
          <w:rFonts w:ascii="Arial" w:cs="Arial" w:eastAsia="Arial" w:hAnsi="Arial"/>
          <w:sz w:val="16"/>
          <w:szCs w:val="16"/>
          <w:color w:val="auto"/>
        </w:rPr>
        <w:t>, then Landlord may, from time to time, recover all Rent as it becomes due under this Lease. At any time thereafter, Landlord may elect to terminate this Lease and to recover damages to which Landlord is entitled.</w:t>
      </w:r>
    </w:p>
    <w:p>
      <w:pPr>
        <w:spacing w:after="0" w:line="181" w:lineRule="exact"/>
        <w:rPr>
          <w:sz w:val="20"/>
          <w:szCs w:val="20"/>
          <w:color w:val="auto"/>
        </w:rPr>
      </w:pPr>
    </w:p>
    <w:p>
      <w:pPr>
        <w:ind w:right="20" w:firstLine="567"/>
        <w:spacing w:after="0" w:line="267" w:lineRule="auto"/>
        <w:rPr>
          <w:sz w:val="20"/>
          <w:szCs w:val="20"/>
          <w:color w:val="auto"/>
        </w:rPr>
      </w:pPr>
      <w:r>
        <w:rPr>
          <w:rFonts w:ascii="Arial" w:cs="Arial" w:eastAsia="Arial" w:hAnsi="Arial"/>
          <w:sz w:val="16"/>
          <w:szCs w:val="16"/>
          <w:color w:val="auto"/>
        </w:rPr>
        <w:t>31.8. In the event Landlord elects to terminate this Lease and relet the Premises, Landlord may execute any new lease in its own name. Tenant hereunder shall have no right or authority whatsoever to collect any Rent from such tenant. The proceeds of any such reletting shall be applied as follows:</w:t>
      </w:r>
    </w:p>
    <w:p>
      <w:pPr>
        <w:spacing w:after="0" w:line="181" w:lineRule="exact"/>
        <w:rPr>
          <w:sz w:val="20"/>
          <w:szCs w:val="20"/>
          <w:color w:val="auto"/>
        </w:rPr>
      </w:pPr>
    </w:p>
    <w:p>
      <w:pPr>
        <w:ind w:right="20" w:firstLine="1129"/>
        <w:spacing w:after="0" w:line="267" w:lineRule="auto"/>
        <w:tabs>
          <w:tab w:leader="none" w:pos="168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First, to the payment of any indebtedness other than Rent due hereunder from Tenant to Landlord, including storage charges or brokerage commissions owing from Tenant to Landlord as the result of such reletting;</w:t>
      </w:r>
    </w:p>
    <w:p>
      <w:pPr>
        <w:spacing w:after="0" w:line="181" w:lineRule="exact"/>
        <w:rPr>
          <w:rFonts w:ascii="Arial" w:cs="Arial" w:eastAsia="Arial" w:hAnsi="Arial"/>
          <w:sz w:val="16"/>
          <w:szCs w:val="16"/>
          <w:color w:val="auto"/>
        </w:rPr>
      </w:pPr>
    </w:p>
    <w:p>
      <w:pPr>
        <w:ind w:right="20" w:firstLine="1129"/>
        <w:spacing w:after="0" w:line="340" w:lineRule="auto"/>
        <w:tabs>
          <w:tab w:leader="none" w:pos="16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Second, to the payment of the costs and expenses of reletting the Premises, including (i) alterations and repairs that Landlord deems reasonably necessary and advisable and (ii) reasonable attorneys’ fees, charges and disbursements incurred by Landlord in connection with the retaking of the Premises and such reletting;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91" w:name="page192"/>
    <w:bookmarkEnd w:id="191"/>
    <w:p>
      <w:pPr>
        <w:ind w:left="1540" w:hanging="411"/>
        <w:spacing w:after="0"/>
        <w:tabs>
          <w:tab w:leader="none" w:pos="15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Third, to the payment of Rent and other charges due and unpaid hereunder; and</w:t>
      </w:r>
    </w:p>
    <w:p>
      <w:pPr>
        <w:spacing w:after="0" w:line="217" w:lineRule="exact"/>
        <w:rPr>
          <w:rFonts w:ascii="Arial" w:cs="Arial" w:eastAsia="Arial" w:hAnsi="Arial"/>
          <w:sz w:val="16"/>
          <w:szCs w:val="16"/>
          <w:color w:val="auto"/>
        </w:rPr>
      </w:pPr>
    </w:p>
    <w:p>
      <w:pPr>
        <w:ind w:left="1560" w:hanging="431"/>
        <w:spacing w:after="0"/>
        <w:tabs>
          <w:tab w:leader="none" w:pos="15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Fourth, to the payment of future Rent and other damages payable by Tenant under this Lease.</w:t>
      </w:r>
    </w:p>
    <w:p>
      <w:pPr>
        <w:spacing w:after="0" w:line="218" w:lineRule="exact"/>
        <w:rPr>
          <w:sz w:val="20"/>
          <w:szCs w:val="20"/>
          <w:color w:val="auto"/>
        </w:rPr>
      </w:pPr>
    </w:p>
    <w:p>
      <w:pPr>
        <w:jc w:val="both"/>
        <w:ind w:firstLine="567"/>
        <w:spacing w:after="0" w:line="267" w:lineRule="auto"/>
        <w:rPr>
          <w:sz w:val="20"/>
          <w:szCs w:val="20"/>
          <w:color w:val="auto"/>
        </w:rPr>
      </w:pPr>
      <w:r>
        <w:rPr>
          <w:rFonts w:ascii="Arial" w:cs="Arial" w:eastAsia="Arial" w:hAnsi="Arial"/>
          <w:sz w:val="15"/>
          <w:szCs w:val="15"/>
          <w:color w:val="auto"/>
        </w:rPr>
        <w:t>31.9. All of Landlord’s rights, options and remedies hereunder shall be construed and held to be nonexclusive and cumulative. Landlord shall have the right to pursue any one or all of such remedies, or any other remedy or relief that may be provided by Applicable Laws, whether or not stated in this Lease. No waiver of any default of Tenant hereunder shall be implied from any acceptance by Landlord of any Rent or other payments due hereunder or any omission by Landlord to take any action on account of such default if such default persists or is repeated, and no express waiver shall affect defaults other than as specified in such waiver. Notwithstanding any provision of this Lease to the contrary, in no event shall Landlord be required to mitigate its damages with respect to any default by Tenant. Any obligation imposed by Applicable Law upon Landlord to relet the Premises after any termination of this Lease shall be subject to the reasonable requirements of Landlord to (a) lease to high quality tenants on such terms as Landlord may from time to time deem appropriate in its discretion and (b) develop the Premises in a harmonious manner with a mix of uses, tenants, floor areas, terms of tenancies, etc., as determined by Landlord. Landlord shall not be obligated to relet the Premises to any party to whom Landlord or an affiliate of Landlord may desire to lease other available space in the Premises or at another property owned by Landlord or an affiliate of Landlord.</w:t>
      </w:r>
    </w:p>
    <w:p>
      <w:pPr>
        <w:spacing w:after="0" w:line="187" w:lineRule="exact"/>
        <w:rPr>
          <w:sz w:val="20"/>
          <w:szCs w:val="20"/>
          <w:color w:val="auto"/>
        </w:rPr>
      </w:pPr>
    </w:p>
    <w:p>
      <w:pPr>
        <w:jc w:val="both"/>
        <w:ind w:right="20" w:firstLine="567"/>
        <w:spacing w:after="0" w:line="257" w:lineRule="auto"/>
        <w:rPr>
          <w:sz w:val="20"/>
          <w:szCs w:val="20"/>
          <w:color w:val="auto"/>
        </w:rPr>
      </w:pPr>
      <w:r>
        <w:rPr>
          <w:rFonts w:ascii="Arial" w:cs="Arial" w:eastAsia="Arial" w:hAnsi="Arial"/>
          <w:sz w:val="16"/>
          <w:szCs w:val="16"/>
          <w:color w:val="auto"/>
        </w:rPr>
        <w:t>31.10. Landlord’s termination of (a) this Lease or (b) Tenant’s right to possession of the Premises shall not relieve Tenant of any liability to Landlord that has previously accrued or that shall arise based upon events that occurred prior to the later to occur of (y) the date of Lease termination and (z) the date Tenant surrenders possession of the Premises.</w:t>
      </w:r>
    </w:p>
    <w:p>
      <w:pPr>
        <w:spacing w:after="0" w:line="189" w:lineRule="exact"/>
        <w:rPr>
          <w:sz w:val="20"/>
          <w:szCs w:val="20"/>
          <w:color w:val="auto"/>
        </w:rPr>
      </w:pPr>
    </w:p>
    <w:p>
      <w:pPr>
        <w:jc w:val="both"/>
        <w:ind w:firstLine="567"/>
        <w:spacing w:after="0" w:line="267" w:lineRule="auto"/>
        <w:rPr>
          <w:sz w:val="20"/>
          <w:szCs w:val="20"/>
          <w:color w:val="auto"/>
        </w:rPr>
      </w:pPr>
      <w:r>
        <w:rPr>
          <w:rFonts w:ascii="Arial" w:cs="Arial" w:eastAsia="Arial" w:hAnsi="Arial"/>
          <w:sz w:val="16"/>
          <w:szCs w:val="16"/>
          <w:color w:val="auto"/>
        </w:rPr>
        <w:t>31.11. To the extent permitted by Applicable Laws, Tenant waives any and all rights of redemption granted by or under any present or future Applicable Laws if Tenant is evicted or dispossessed for any cause, or if Landlord obtains possession of the Premises due to Tenant’s default hereunder or otherwise.</w:t>
      </w:r>
    </w:p>
    <w:p>
      <w:pPr>
        <w:spacing w:after="0" w:line="181" w:lineRule="exact"/>
        <w:rPr>
          <w:sz w:val="20"/>
          <w:szCs w:val="20"/>
          <w:color w:val="auto"/>
        </w:rPr>
      </w:pPr>
    </w:p>
    <w:p>
      <w:pPr>
        <w:jc w:val="both"/>
        <w:ind w:firstLine="567"/>
        <w:spacing w:after="0" w:line="250" w:lineRule="auto"/>
        <w:rPr>
          <w:sz w:val="20"/>
          <w:szCs w:val="20"/>
          <w:color w:val="auto"/>
        </w:rPr>
      </w:pPr>
      <w:r>
        <w:rPr>
          <w:rFonts w:ascii="Arial" w:cs="Arial" w:eastAsia="Arial" w:hAnsi="Arial"/>
          <w:sz w:val="16"/>
          <w:szCs w:val="16"/>
          <w:color w:val="auto"/>
        </w:rPr>
        <w:t xml:space="preserve">31.12. Landlord shall not be in default or liable for damages under this Lease unless Landlord fails to perform obligations required of Landlord within a reasonable time, but in no event shall such failure continue for more than thirty (30) days after written notice from Tenant specifying the nature of Landlord’s failure;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if the nature of Landlord’s obligation is such that more than thirty (30) days are required for its performance, then Landlord shall not be in default if Landlord commences performance within such thirty (30) day period and thereafter diligently prosecutes the same to completion. In no event shall Tenant have the right to terminate or cancel this Lease or to withhold or abate rent or to set off any Claims against Rent as a result of any default or breach by Landlord of any of its covenants, obligations, representations, warranties or promises hereunder, except as may otherwise be expressly set forth in this Lease.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92" w:name="page193"/>
    <w:bookmarkEnd w:id="192"/>
    <w:p>
      <w:pPr>
        <w:jc w:val="both"/>
        <w:ind w:left="5" w:right="20" w:firstLine="567"/>
        <w:spacing w:after="0" w:line="301" w:lineRule="auto"/>
        <w:rPr>
          <w:sz w:val="20"/>
          <w:szCs w:val="20"/>
          <w:color w:val="auto"/>
        </w:rPr>
      </w:pPr>
      <w:r>
        <w:rPr>
          <w:rFonts w:ascii="Arial" w:cs="Arial" w:eastAsia="Arial" w:hAnsi="Arial"/>
          <w:sz w:val="14"/>
          <w:szCs w:val="14"/>
          <w:color w:val="auto"/>
        </w:rPr>
        <w:t xml:space="preserve">31.13. In the event of any default by Landlord, Tenant shall give notice by registered or certified mail to any (a) beneficiary of a deed of trust or (b) mortgagee under a mortgage covering the Premises or any portion thereof and to any landlord of any lease of land upon or within which the Premises are located, and shall offer such beneficiary, mortgagee or landlord a reasonable opportunity to cure the default, including time to obtain possession of the Premises by power of sale or a judicial action if such should prove necessary to effect a cure;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Landlord furnishes to Tenant in writing the names and addresses of all such persons who are to receive such notices.</w:t>
      </w:r>
    </w:p>
    <w:p>
      <w:pPr>
        <w:spacing w:after="0" w:line="161" w:lineRule="exact"/>
        <w:rPr>
          <w:sz w:val="20"/>
          <w:szCs w:val="20"/>
          <w:color w:val="auto"/>
        </w:rPr>
      </w:pPr>
    </w:p>
    <w:p>
      <w:pPr>
        <w:jc w:val="both"/>
        <w:ind w:left="5" w:hanging="5"/>
        <w:spacing w:after="0" w:line="276" w:lineRule="auto"/>
        <w:tabs>
          <w:tab w:leader="none" w:pos="667" w:val="left"/>
        </w:tabs>
        <w:numPr>
          <w:ilvl w:val="0"/>
          <w:numId w:val="104"/>
        </w:numPr>
        <w:rPr>
          <w:rFonts w:ascii="Arial" w:cs="Arial" w:eastAsia="Arial" w:hAnsi="Arial"/>
          <w:sz w:val="15"/>
          <w:szCs w:val="15"/>
          <w:color w:val="auto"/>
        </w:rPr>
      </w:pPr>
      <w:r>
        <w:rPr>
          <w:rFonts w:ascii="Arial" w:cs="Arial" w:eastAsia="Arial" w:hAnsi="Arial"/>
          <w:sz w:val="15"/>
          <w:szCs w:val="15"/>
          <w:u w:val="single" w:color="auto"/>
          <w:color w:val="auto"/>
        </w:rPr>
        <w:t>Bankruptcy</w:t>
      </w:r>
      <w:r>
        <w:rPr>
          <w:rFonts w:ascii="Arial" w:cs="Arial" w:eastAsia="Arial" w:hAnsi="Arial"/>
          <w:sz w:val="15"/>
          <w:szCs w:val="15"/>
          <w:color w:val="auto"/>
        </w:rPr>
        <w:t>. In the event a debtor, trustee or debtor in possession under the Bankruptcy Code, or another person with similar rights, duties and powers under any other Applicable Laws, proposes to cure any default under this Lease or to assume or assign this Lease and is obliged to provide adequate assurance to Landlord that (a) a default shall be cured, (b) Landlord shall be compensated for its damages arising from any breach of this Lease and (c) future performance of Tenant’s obligations under this Lease shall occur, then such adequate assurances shall include any or all of the following, as designated by Landlord in its sole and absolute discretion:</w:t>
      </w:r>
    </w:p>
    <w:p>
      <w:pPr>
        <w:spacing w:after="0" w:line="176" w:lineRule="exact"/>
        <w:rPr>
          <w:sz w:val="20"/>
          <w:szCs w:val="20"/>
          <w:color w:val="auto"/>
        </w:rPr>
      </w:pPr>
    </w:p>
    <w:p>
      <w:pPr>
        <w:ind w:left="5" w:right="20" w:firstLine="567"/>
        <w:spacing w:after="0" w:line="267" w:lineRule="auto"/>
        <w:rPr>
          <w:sz w:val="20"/>
          <w:szCs w:val="20"/>
          <w:color w:val="auto"/>
        </w:rPr>
      </w:pPr>
      <w:r>
        <w:rPr>
          <w:rFonts w:ascii="Arial" w:cs="Arial" w:eastAsia="Arial" w:hAnsi="Arial"/>
          <w:sz w:val="16"/>
          <w:szCs w:val="16"/>
          <w:color w:val="auto"/>
        </w:rPr>
        <w:t>32.1. Those acts specified in the Bankruptcy Code or other Applicable Laws as included within the meaning of “adequate assurance,” even if this Lease does not concern a shopping center or other facility described in such Applicable Laws;</w:t>
      </w:r>
    </w:p>
    <w:p>
      <w:pPr>
        <w:spacing w:after="0" w:line="181" w:lineRule="exact"/>
        <w:rPr>
          <w:sz w:val="20"/>
          <w:szCs w:val="20"/>
          <w:color w:val="auto"/>
        </w:rPr>
      </w:pPr>
    </w:p>
    <w:p>
      <w:pPr>
        <w:ind w:left="565"/>
        <w:spacing w:after="0"/>
        <w:tabs>
          <w:tab w:leader="none" w:pos="1105"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4"/>
          <w:szCs w:val="14"/>
          <w:color w:val="auto"/>
        </w:rPr>
        <w:t>A prompt cash payment to compensate Landlord for any monetary defaults or actual damages arising directly from a breach of this Lease;</w:t>
      </w:r>
    </w:p>
    <w:p>
      <w:pPr>
        <w:spacing w:after="0" w:line="218" w:lineRule="exact"/>
        <w:rPr>
          <w:sz w:val="20"/>
          <w:szCs w:val="20"/>
          <w:color w:val="auto"/>
        </w:rPr>
      </w:pPr>
    </w:p>
    <w:p>
      <w:pPr>
        <w:ind w:left="565"/>
        <w:spacing w:after="0"/>
        <w:tabs>
          <w:tab w:leader="none" w:pos="1105" w:val="left"/>
        </w:tabs>
        <w:rPr>
          <w:sz w:val="20"/>
          <w:szCs w:val="20"/>
          <w:color w:val="auto"/>
        </w:rPr>
      </w:pPr>
      <w:r>
        <w:rPr>
          <w:rFonts w:ascii="Arial" w:cs="Arial" w:eastAsia="Arial" w:hAnsi="Arial"/>
          <w:sz w:val="16"/>
          <w:szCs w:val="16"/>
          <w:color w:val="auto"/>
        </w:rPr>
        <w:t>32.3.</w:t>
      </w:r>
      <w:r>
        <w:rPr>
          <w:sz w:val="20"/>
          <w:szCs w:val="20"/>
          <w:color w:val="auto"/>
        </w:rPr>
        <w:tab/>
      </w:r>
      <w:r>
        <w:rPr>
          <w:rFonts w:ascii="Arial" w:cs="Arial" w:eastAsia="Arial" w:hAnsi="Arial"/>
          <w:sz w:val="14"/>
          <w:szCs w:val="14"/>
          <w:color w:val="auto"/>
        </w:rPr>
        <w:t>A cash deposit in an amount at least equal to the then-current amount of the Security Deposit; or</w:t>
      </w:r>
    </w:p>
    <w:p>
      <w:pPr>
        <w:spacing w:after="0" w:line="218" w:lineRule="exact"/>
        <w:rPr>
          <w:sz w:val="20"/>
          <w:szCs w:val="20"/>
          <w:color w:val="auto"/>
        </w:rPr>
      </w:pPr>
    </w:p>
    <w:p>
      <w:pPr>
        <w:ind w:left="565"/>
        <w:spacing w:after="0"/>
        <w:tabs>
          <w:tab w:leader="none" w:pos="1105" w:val="left"/>
        </w:tabs>
        <w:rPr>
          <w:sz w:val="20"/>
          <w:szCs w:val="20"/>
          <w:color w:val="auto"/>
        </w:rPr>
      </w:pPr>
      <w:r>
        <w:rPr>
          <w:rFonts w:ascii="Arial" w:cs="Arial" w:eastAsia="Arial" w:hAnsi="Arial"/>
          <w:sz w:val="16"/>
          <w:szCs w:val="16"/>
          <w:color w:val="auto"/>
        </w:rPr>
        <w:t>32.4.</w:t>
      </w:r>
      <w:r>
        <w:rPr>
          <w:sz w:val="20"/>
          <w:szCs w:val="20"/>
          <w:color w:val="auto"/>
        </w:rPr>
        <w:tab/>
      </w:r>
      <w:r>
        <w:rPr>
          <w:rFonts w:ascii="Arial" w:cs="Arial" w:eastAsia="Arial" w:hAnsi="Arial"/>
          <w:sz w:val="14"/>
          <w:szCs w:val="14"/>
          <w:color w:val="auto"/>
        </w:rPr>
        <w:t>The assumption or assignment of all of Tenant’s interest and obligations under this Lease.</w:t>
      </w:r>
    </w:p>
    <w:p>
      <w:pPr>
        <w:spacing w:after="0" w:line="218" w:lineRule="exact"/>
        <w:rPr>
          <w:sz w:val="20"/>
          <w:szCs w:val="20"/>
          <w:color w:val="auto"/>
        </w:rPr>
      </w:pPr>
    </w:p>
    <w:p>
      <w:pPr>
        <w:ind w:left="525" w:hanging="525"/>
        <w:spacing w:after="0"/>
        <w:tabs>
          <w:tab w:leader="none" w:pos="525"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w:t>
      </w:r>
    </w:p>
    <w:p>
      <w:pPr>
        <w:spacing w:after="0" w:line="218" w:lineRule="exact"/>
        <w:rPr>
          <w:sz w:val="20"/>
          <w:szCs w:val="20"/>
          <w:color w:val="auto"/>
        </w:rPr>
      </w:pPr>
    </w:p>
    <w:p>
      <w:pPr>
        <w:jc w:val="both"/>
        <w:ind w:left="5" w:right="20" w:firstLine="567"/>
        <w:spacing w:after="0" w:line="257" w:lineRule="auto"/>
        <w:rPr>
          <w:sz w:val="20"/>
          <w:szCs w:val="20"/>
          <w:color w:val="auto"/>
        </w:rPr>
      </w:pPr>
      <w:r>
        <w:rPr>
          <w:rFonts w:ascii="Arial" w:cs="Arial" w:eastAsia="Arial" w:hAnsi="Arial"/>
          <w:sz w:val="16"/>
          <w:szCs w:val="16"/>
          <w:color w:val="auto"/>
        </w:rPr>
        <w:t>33.1. Tenant represents and warrants that it has had no dealings with any real estate broker or agent in connection with the negotiation of this Lease other than CBRE, Inc. (“</w:t>
      </w:r>
      <w:r>
        <w:rPr>
          <w:rFonts w:ascii="Arial" w:cs="Arial" w:eastAsia="Arial" w:hAnsi="Arial"/>
          <w:sz w:val="16"/>
          <w:szCs w:val="16"/>
          <w:u w:val="single" w:color="auto"/>
          <w:color w:val="auto"/>
        </w:rPr>
        <w:t>Broker</w:t>
      </w:r>
      <w:r>
        <w:rPr>
          <w:rFonts w:ascii="Arial" w:cs="Arial" w:eastAsia="Arial" w:hAnsi="Arial"/>
          <w:sz w:val="16"/>
          <w:szCs w:val="16"/>
          <w:color w:val="auto"/>
        </w:rPr>
        <w:t>”), and that it knows of no other real estate broker or agent that is or might be entitled to a commission in connection with this Lease. Landlord shall compensate Broker in relation to this Lease pursuant to a separate agreement between Landlord and Broker.</w:t>
      </w:r>
    </w:p>
    <w:p>
      <w:pPr>
        <w:spacing w:after="0" w:line="189" w:lineRule="exact"/>
        <w:rPr>
          <w:sz w:val="20"/>
          <w:szCs w:val="20"/>
          <w:color w:val="auto"/>
        </w:rPr>
      </w:pPr>
    </w:p>
    <w:p>
      <w:pPr>
        <w:jc w:val="both"/>
        <w:ind w:left="5" w:right="20" w:firstLine="567"/>
        <w:spacing w:after="0" w:line="267" w:lineRule="auto"/>
        <w:rPr>
          <w:sz w:val="20"/>
          <w:szCs w:val="20"/>
          <w:color w:val="auto"/>
        </w:rPr>
      </w:pPr>
      <w:r>
        <w:rPr>
          <w:rFonts w:ascii="Arial" w:cs="Arial" w:eastAsia="Arial" w:hAnsi="Arial"/>
          <w:sz w:val="16"/>
          <w:szCs w:val="16"/>
          <w:color w:val="auto"/>
        </w:rPr>
        <w:t>33.2. Tenant represents and warrants that no broker or agent has made any representation or warranty relied upon by Tenant in Tenant’s decision to enter into this Lease, other than as contained in this Lease.</w:t>
      </w:r>
    </w:p>
    <w:p>
      <w:pPr>
        <w:spacing w:after="0" w:line="181" w:lineRule="exact"/>
        <w:rPr>
          <w:sz w:val="20"/>
          <w:szCs w:val="20"/>
          <w:color w:val="auto"/>
        </w:rPr>
      </w:pPr>
    </w:p>
    <w:p>
      <w:pPr>
        <w:jc w:val="both"/>
        <w:ind w:left="5" w:firstLine="567"/>
        <w:spacing w:after="0" w:line="257" w:lineRule="auto"/>
        <w:rPr>
          <w:sz w:val="20"/>
          <w:szCs w:val="20"/>
          <w:color w:val="auto"/>
        </w:rPr>
      </w:pPr>
      <w:r>
        <w:rPr>
          <w:rFonts w:ascii="Arial" w:cs="Arial" w:eastAsia="Arial" w:hAnsi="Arial"/>
          <w:sz w:val="16"/>
          <w:szCs w:val="16"/>
          <w:color w:val="auto"/>
        </w:rPr>
        <w:t xml:space="preserve">33.3. Tenant acknowledges and agrees that the employment of brokers by Landlord is for the purpose of solicitation of offers of leases from prospective tenants and that no authority is granted to any broker to furnish any representation (written or oral) or warranty from Landlord unless expressly contained within this Lease. Landlord is executing this Lease in reliance upon Tenant’s representations, warranties and agreements contained within </w:t>
      </w:r>
      <w:r>
        <w:rPr>
          <w:rFonts w:ascii="Arial" w:cs="Arial" w:eastAsia="Arial" w:hAnsi="Arial"/>
          <w:sz w:val="16"/>
          <w:szCs w:val="16"/>
          <w:u w:val="single" w:color="auto"/>
          <w:color w:val="auto"/>
        </w:rPr>
        <w:t>Sections 33.1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33.2</w:t>
      </w:r>
      <w:r>
        <w:rPr>
          <w:rFonts w:ascii="Arial" w:cs="Arial" w:eastAsia="Arial" w:hAnsi="Arial"/>
          <w:sz w:val="16"/>
          <w:szCs w:val="16"/>
          <w:color w:val="auto"/>
        </w:rPr>
        <w:t>.</w:t>
      </w:r>
    </w:p>
    <w:p>
      <w:pPr>
        <w:spacing w:after="0" w:line="339"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93" w:name="page194"/>
    <w:bookmarkEnd w:id="193"/>
    <w:p>
      <w:pPr>
        <w:jc w:val="both"/>
        <w:ind w:left="5" w:firstLine="567"/>
        <w:spacing w:after="0" w:line="257" w:lineRule="auto"/>
        <w:rPr>
          <w:sz w:val="20"/>
          <w:szCs w:val="20"/>
          <w:color w:val="auto"/>
        </w:rPr>
      </w:pPr>
      <w:r>
        <w:rPr>
          <w:rFonts w:ascii="Arial" w:cs="Arial" w:eastAsia="Arial" w:hAnsi="Arial"/>
          <w:sz w:val="16"/>
          <w:szCs w:val="16"/>
          <w:color w:val="auto"/>
        </w:rPr>
        <w:t>33.4. Tenant agrees to indemnify, save, defend (at Landlord’s option and with counsel reasonably acceptable to Landlord) and hold the Landlord Indemnitees harmless from any and all cost or liability for compensation claimed by any broker or agent, other than Broker, employed or engaged by Tenant or claiming to have been employed or engaged by Tenant.</w:t>
      </w:r>
    </w:p>
    <w:p>
      <w:pPr>
        <w:spacing w:after="0" w:line="189" w:lineRule="exact"/>
        <w:rPr>
          <w:sz w:val="20"/>
          <w:szCs w:val="20"/>
          <w:color w:val="auto"/>
        </w:rPr>
      </w:pPr>
    </w:p>
    <w:p>
      <w:pPr>
        <w:jc w:val="both"/>
        <w:ind w:left="5" w:hanging="5"/>
        <w:spacing w:after="0" w:line="291" w:lineRule="auto"/>
        <w:tabs>
          <w:tab w:leader="none" w:pos="537"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Definition of Landlord</w:t>
      </w:r>
      <w:r>
        <w:rPr>
          <w:rFonts w:ascii="Arial" w:cs="Arial" w:eastAsia="Arial" w:hAnsi="Arial"/>
          <w:sz w:val="14"/>
          <w:szCs w:val="14"/>
          <w:color w:val="auto"/>
        </w:rPr>
        <w:t>. With regard to obligations imposed upon Landlord pursuant to this Lease, the term “</w:t>
      </w:r>
      <w:r>
        <w:rPr>
          <w:rFonts w:ascii="Arial" w:cs="Arial" w:eastAsia="Arial" w:hAnsi="Arial"/>
          <w:sz w:val="14"/>
          <w:szCs w:val="14"/>
          <w:u w:val="single" w:color="auto"/>
          <w:color w:val="auto"/>
        </w:rPr>
        <w:t>Landlord</w:t>
      </w:r>
      <w:r>
        <w:rPr>
          <w:rFonts w:ascii="Arial" w:cs="Arial" w:eastAsia="Arial" w:hAnsi="Arial"/>
          <w:sz w:val="14"/>
          <w:szCs w:val="14"/>
          <w:color w:val="auto"/>
        </w:rPr>
        <w:t>,” as used in this Lease, shall refer only to Landlord or Landlord’s then-current successor-in-interest. In the event of any transfer, assignment or conveyance of Landlord’s interest in this Lease or in Landlord’s fee title to or leasehold interest in the Property, as applicable, Landlord herein named (and in case of any subsequent transfers or conveyances, the subsequent Landlord) shall be automatically freed and relieved, from and after the date of such transfer, assignment or conveyance, from all liability for the performance of any covenants or obligations contained in this Lease thereafter to be performed by Landlord and, without further agreement, the transferee, assignee or conveyee of Landlord’s in this Lease or in Landlord’s fee title to or leasehold interest in the Property, as applicable, shall be deemed to have assumed and agreed to observe and perform any and all covenants and obligations of Landlord hereunder during the tenure of its interest in the Lease or the Property. Landlord or any subsequent Landlord may transfer its interest in the Premises or this Lease without Tenant’s consent.</w:t>
      </w:r>
    </w:p>
    <w:p>
      <w:pPr>
        <w:spacing w:after="0" w:line="169" w:lineRule="exact"/>
        <w:rPr>
          <w:rFonts w:ascii="Arial" w:cs="Arial" w:eastAsia="Arial" w:hAnsi="Arial"/>
          <w:sz w:val="14"/>
          <w:szCs w:val="14"/>
          <w:color w:val="auto"/>
        </w:rPr>
      </w:pPr>
    </w:p>
    <w:p>
      <w:pPr>
        <w:ind w:left="525" w:hanging="525"/>
        <w:spacing w:after="0"/>
        <w:tabs>
          <w:tab w:leader="none" w:pos="52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Limitation of Landlord’s Liability</w:t>
      </w:r>
      <w:r>
        <w:rPr>
          <w:rFonts w:ascii="Arial" w:cs="Arial" w:eastAsia="Arial" w:hAnsi="Arial"/>
          <w:sz w:val="16"/>
          <w:szCs w:val="16"/>
          <w:color w:val="auto"/>
        </w:rPr>
        <w:t>.</w:t>
      </w:r>
    </w:p>
    <w:p>
      <w:pPr>
        <w:spacing w:after="0" w:line="218" w:lineRule="exact"/>
        <w:rPr>
          <w:sz w:val="20"/>
          <w:szCs w:val="20"/>
          <w:color w:val="auto"/>
        </w:rPr>
      </w:pPr>
    </w:p>
    <w:p>
      <w:pPr>
        <w:ind w:left="565"/>
        <w:spacing w:after="0"/>
        <w:tabs>
          <w:tab w:leader="none" w:pos="1105" w:val="left"/>
        </w:tabs>
        <w:rPr>
          <w:sz w:val="20"/>
          <w:szCs w:val="20"/>
          <w:color w:val="auto"/>
        </w:rPr>
      </w:pPr>
      <w:r>
        <w:rPr>
          <w:rFonts w:ascii="Arial" w:cs="Arial" w:eastAsia="Arial" w:hAnsi="Arial"/>
          <w:sz w:val="16"/>
          <w:szCs w:val="16"/>
          <w:color w:val="auto"/>
        </w:rPr>
        <w:t>35.1.</w:t>
      </w:r>
      <w:r>
        <w:rPr>
          <w:sz w:val="20"/>
          <w:szCs w:val="20"/>
          <w:color w:val="auto"/>
        </w:rPr>
        <w:tab/>
      </w:r>
      <w:r>
        <w:rPr>
          <w:rFonts w:ascii="Arial" w:cs="Arial" w:eastAsia="Arial" w:hAnsi="Arial"/>
          <w:sz w:val="14"/>
          <w:szCs w:val="14"/>
          <w:color w:val="auto"/>
        </w:rPr>
        <w:t>If Landlord is in default under this Lease and, as a consequence, Tenant recovers a monetary judgment against Landlord, the judgment shall be satisfied only out of</w:t>
      </w:r>
    </w:p>
    <w:p>
      <w:pPr>
        <w:spacing w:after="0" w:line="16" w:lineRule="exact"/>
        <w:rPr>
          <w:sz w:val="20"/>
          <w:szCs w:val="20"/>
          <w:color w:val="auto"/>
        </w:rPr>
      </w:pPr>
    </w:p>
    <w:p>
      <w:pPr>
        <w:jc w:val="both"/>
        <w:ind w:left="5" w:hanging="5"/>
        <w:spacing w:after="0" w:line="249" w:lineRule="auto"/>
        <w:tabs>
          <w:tab w:leader="none" w:pos="2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proceeds of sale received on execution of the judgment and levy against the right, title and interest of Landlord in the Premises, (b) rent or other income from such real property receivable by Landlord or (c) the consideration received by Landlord from the sale, financing, refinancing or other disposition of all or any part of Landlord’s right, title or interest in the Premises.</w:t>
      </w:r>
    </w:p>
    <w:p>
      <w:pPr>
        <w:spacing w:after="0" w:line="196" w:lineRule="exact"/>
        <w:rPr>
          <w:sz w:val="20"/>
          <w:szCs w:val="20"/>
          <w:color w:val="auto"/>
        </w:rPr>
      </w:pPr>
    </w:p>
    <w:p>
      <w:pPr>
        <w:jc w:val="both"/>
        <w:ind w:left="5" w:firstLine="567"/>
        <w:spacing w:after="0" w:line="267" w:lineRule="auto"/>
        <w:rPr>
          <w:sz w:val="20"/>
          <w:szCs w:val="20"/>
          <w:color w:val="auto"/>
        </w:rPr>
      </w:pPr>
      <w:r>
        <w:rPr>
          <w:rFonts w:ascii="Arial" w:cs="Arial" w:eastAsia="Arial" w:hAnsi="Arial"/>
          <w:sz w:val="15"/>
          <w:szCs w:val="15"/>
          <w:color w:val="auto"/>
        </w:rPr>
        <w:t>35.2. If Landlord is a partnership or joint venture, then the partners of such partnership shall not be personally liable for Landlord’s obligations under this Lease, and no partner of Landlord shall be sued or named as a party in any suit or action, and service of process shall not be made against any partner of Landlord except as may be necessary to secure jurisdiction of the partnership or joint venture. If Landlord is a corporation, then the shareholders, directors, officers, employees and agents of such corporation shall not be personally liable for Landlord’s obligations under this Lease, and no shareholder, director, officer, employee or agent of Landlord shall be sued or named as a party in any suit or action, and service of process shall not be made against any shareholder, director, officer, employee or agent of Landlord. If Landlord is a limited liability company, then the members of such limited liability company shall not be personally liable for Landlord’s obligations under this Lease, and no member of Landlord shall be sued or named as a party in any suit or action, and service of process shall not be made against any member of Landlord except as may be necessary to secure jurisdiction of the limited liability company. No partner, shareholder, director, employee, member or agent of Landlord shall be required to answer or otherwise plead to any service of process, and no judgment shall be taken or writ of execution levied against any partner, shareholder, director, employee, member or agent of Landlord.</w:t>
      </w:r>
    </w:p>
    <w:p>
      <w:pPr>
        <w:spacing w:after="0" w:line="338"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94" w:name="page195"/>
    <w:bookmarkEnd w:id="194"/>
    <w:p>
      <w:pPr>
        <w:ind w:left="5" w:firstLine="567"/>
        <w:spacing w:after="0" w:line="267" w:lineRule="auto"/>
        <w:rPr>
          <w:sz w:val="20"/>
          <w:szCs w:val="20"/>
          <w:color w:val="auto"/>
        </w:rPr>
      </w:pPr>
      <w:r>
        <w:rPr>
          <w:rFonts w:ascii="Arial" w:cs="Arial" w:eastAsia="Arial" w:hAnsi="Arial"/>
          <w:sz w:val="16"/>
          <w:szCs w:val="16"/>
          <w:color w:val="auto"/>
        </w:rPr>
        <w:t>35.3. Each of the covenants and agreements of this Article shall be applicable to any covenant or agreement either expressly contained in this Lease or imposed by Applicable Laws and shall survive the expiration or earlier termination of this Lease.</w:t>
      </w:r>
    </w:p>
    <w:p>
      <w:pPr>
        <w:spacing w:after="0" w:line="158" w:lineRule="exact"/>
        <w:rPr>
          <w:sz w:val="20"/>
          <w:szCs w:val="20"/>
          <w:color w:val="auto"/>
        </w:rPr>
      </w:pPr>
    </w:p>
    <w:p>
      <w:pPr>
        <w:ind w:left="525" w:hanging="525"/>
        <w:spacing w:after="0"/>
        <w:tabs>
          <w:tab w:leader="none" w:pos="525"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Joint and Several Obligations</w:t>
      </w:r>
      <w:r>
        <w:rPr>
          <w:rFonts w:ascii="Arial" w:cs="Arial" w:eastAsia="Arial" w:hAnsi="Arial"/>
          <w:sz w:val="16"/>
          <w:szCs w:val="16"/>
          <w:color w:val="auto"/>
        </w:rPr>
        <w:t>. If more than one person or entity executes this Lease as Tenant, then:</w:t>
      </w:r>
    </w:p>
    <w:p>
      <w:pPr>
        <w:spacing w:after="0" w:line="218" w:lineRule="exact"/>
        <w:rPr>
          <w:sz w:val="20"/>
          <w:szCs w:val="20"/>
          <w:color w:val="auto"/>
        </w:rPr>
      </w:pPr>
    </w:p>
    <w:p>
      <w:pPr>
        <w:jc w:val="both"/>
        <w:ind w:left="5" w:firstLine="567"/>
        <w:spacing w:after="0" w:line="267" w:lineRule="auto"/>
        <w:rPr>
          <w:sz w:val="20"/>
          <w:szCs w:val="20"/>
          <w:color w:val="auto"/>
        </w:rPr>
      </w:pPr>
      <w:r>
        <w:rPr>
          <w:rFonts w:ascii="Arial" w:cs="Arial" w:eastAsia="Arial" w:hAnsi="Arial"/>
          <w:sz w:val="16"/>
          <w:szCs w:val="16"/>
          <w:color w:val="auto"/>
        </w:rPr>
        <w:t>36.1. Each of them is jointly and severally liable for the keeping, observing and performing of all of the terms, covenants, conditions, provisions and agreements of this Lease to be kept, observed or performed by Tenant; and</w:t>
      </w:r>
    </w:p>
    <w:p>
      <w:pPr>
        <w:spacing w:after="0" w:line="181" w:lineRule="exact"/>
        <w:rPr>
          <w:sz w:val="20"/>
          <w:szCs w:val="20"/>
          <w:color w:val="auto"/>
        </w:rPr>
      </w:pPr>
    </w:p>
    <w:p>
      <w:pPr>
        <w:jc w:val="both"/>
        <w:ind w:left="5" w:firstLine="567"/>
        <w:spacing w:after="0" w:line="253" w:lineRule="auto"/>
        <w:rPr>
          <w:sz w:val="20"/>
          <w:szCs w:val="20"/>
          <w:color w:val="auto"/>
        </w:rPr>
      </w:pPr>
      <w:r>
        <w:rPr>
          <w:rFonts w:ascii="Arial" w:cs="Arial" w:eastAsia="Arial" w:hAnsi="Arial"/>
          <w:sz w:val="16"/>
          <w:szCs w:val="16"/>
          <w:color w:val="auto"/>
        </w:rPr>
        <w:t>36.2. The term “</w:t>
      </w:r>
      <w:r>
        <w:rPr>
          <w:rFonts w:ascii="Arial" w:cs="Arial" w:eastAsia="Arial" w:hAnsi="Arial"/>
          <w:sz w:val="16"/>
          <w:szCs w:val="16"/>
          <w:u w:val="single" w:color="auto"/>
          <w:color w:val="auto"/>
        </w:rPr>
        <w:t>Tenant</w:t>
      </w:r>
      <w:r>
        <w:rPr>
          <w:rFonts w:ascii="Arial" w:cs="Arial" w:eastAsia="Arial" w:hAnsi="Arial"/>
          <w:sz w:val="16"/>
          <w:szCs w:val="16"/>
          <w:color w:val="auto"/>
        </w:rPr>
        <w:t>,” as used in this Lease shall mean and include each of them, jointly and severally. The act of, notice from, notice to, refund to, or signature of any one or more of them with respect to the tenancy under this Lease, including any renewal, extension, expiration, termination or modification of this Lease, shall be binding upon each and all of the persons executing this Lease as Tenant with the same force and effect as if each and all of them had so acted, so given or received such notice or refund, or so signed.</w:t>
      </w:r>
    </w:p>
    <w:p>
      <w:pPr>
        <w:spacing w:after="0" w:line="193" w:lineRule="exact"/>
        <w:rPr>
          <w:sz w:val="20"/>
          <w:szCs w:val="20"/>
          <w:color w:val="auto"/>
        </w:rPr>
      </w:pPr>
    </w:p>
    <w:p>
      <w:pPr>
        <w:jc w:val="both"/>
        <w:ind w:left="5" w:hanging="5"/>
        <w:spacing w:after="0" w:line="267" w:lineRule="auto"/>
        <w:tabs>
          <w:tab w:leader="none" w:pos="617"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Representations</w:t>
      </w:r>
      <w:r>
        <w:rPr>
          <w:rFonts w:ascii="Arial" w:cs="Arial" w:eastAsia="Arial" w:hAnsi="Arial"/>
          <w:sz w:val="15"/>
          <w:szCs w:val="15"/>
          <w:color w:val="auto"/>
        </w:rPr>
        <w:t>. Tenant guarantees, warrants and represents that (a) Tenant is duly incorporated or otherwise established or formed and validly existing under the laws of its state of incorporation, establishment or formation, (b) Tenant has and is duly qualified to do business in the state in which the Property is located, (c) Tenant has full corporate, partnership, trust, association or other appropriate power and authority to enter into this Lease and to perform all Tenant’s obligations hereunder, (d) each person (and all of the persons if more than one signs) signing this Lease on behalf of Tenant is duly and validly authorized to do so and (e) neither (i) the execution, delivery or performance of this Lease nor (ii) the consummation of the transactions contemplated hereby will violate or conflict with any provision of documents or instruments under which Tenant is constituted or to which Tenant is a party. In addition, Tenant guarantees, warrants and represents that none of (x) it, (y) its affiliates or partners nor (z) to the best of its knowledge, its members, shareholders or other equity owners or any of their respective employees, officers, directors, representatives or agents is a person or entity with whom U.S. persons or entities are restricted from doing business under regulations of the Office of Foreign Asset Control (“</w:t>
      </w:r>
      <w:r>
        <w:rPr>
          <w:rFonts w:ascii="Arial" w:cs="Arial" w:eastAsia="Arial" w:hAnsi="Arial"/>
          <w:sz w:val="15"/>
          <w:szCs w:val="15"/>
          <w:u w:val="single" w:color="auto"/>
          <w:color w:val="auto"/>
        </w:rPr>
        <w:t>OFAC</w:t>
      </w:r>
      <w:r>
        <w:rPr>
          <w:rFonts w:ascii="Arial" w:cs="Arial" w:eastAsia="Arial" w:hAnsi="Arial"/>
          <w:sz w:val="15"/>
          <w:szCs w:val="15"/>
          <w:color w:val="auto"/>
        </w:rPr>
        <w:t>”)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similar governmental action.</w:t>
      </w:r>
    </w:p>
    <w:p>
      <w:pPr>
        <w:spacing w:after="0" w:line="335"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95" w:name="page196"/>
    <w:bookmarkEnd w:id="195"/>
    <w:p>
      <w:pPr>
        <w:jc w:val="both"/>
        <w:ind w:left="5" w:right="20" w:hanging="5"/>
        <w:spacing w:after="0" w:line="290" w:lineRule="auto"/>
        <w:tabs>
          <w:tab w:leader="none" w:pos="608" w:val="left"/>
        </w:tabs>
        <w:numPr>
          <w:ilvl w:val="0"/>
          <w:numId w:val="110"/>
        </w:numPr>
        <w:rPr>
          <w:rFonts w:ascii="Arial" w:cs="Arial" w:eastAsia="Arial" w:hAnsi="Arial"/>
          <w:sz w:val="14"/>
          <w:szCs w:val="14"/>
          <w:color w:val="auto"/>
        </w:rPr>
      </w:pPr>
      <w:r>
        <w:rPr>
          <w:rFonts w:ascii="Arial" w:cs="Arial" w:eastAsia="Arial" w:hAnsi="Arial"/>
          <w:sz w:val="14"/>
          <w:szCs w:val="14"/>
          <w:u w:val="single" w:color="auto"/>
          <w:color w:val="auto"/>
        </w:rPr>
        <w:t>Confidentiality</w:t>
      </w:r>
      <w:r>
        <w:rPr>
          <w:rFonts w:ascii="Arial" w:cs="Arial" w:eastAsia="Arial" w:hAnsi="Arial"/>
          <w:sz w:val="14"/>
          <w:szCs w:val="14"/>
          <w:color w:val="auto"/>
        </w:rPr>
        <w:t xml:space="preserve">. Tenant shall keep the terms and conditions of this Lease confidential and shall not (a) disclose to any third party any terms or conditions of this Lease or any other Lease-related document (including subleases, assignments, work letters, construction contracts, letters of credit, subordination agreements, non-disturbance agreements, brokerage agreements or estoppels) or (b) provide to any third party an original or copy of this Lease (or any Lease-related document). Landlord shall not release to any third party any non-public financial information or non-public information about Tenant’s ownership structure that Tenant gives Landlord. Notwithstanding the foregoing, confidential information under this Section may be released by Landlord or Tenant under the following circumstances: (x) if required by Applicable Laws (including any federal or state securities laws, rules, or regulations) or in any judicial proceeding;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releasing party has given the other party reasonable notice of such requirement, if feasible, (y) to a party’s attorneys, accountants, brokers and other bona fide consultants or advisers (with respect to this Lease only);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such third parties agree to be bound by this Section or (z) to bona fide prospective assignees or subtenants of this Lease;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they agree in writing to be bound by this Section.</w:t>
      </w:r>
    </w:p>
    <w:p>
      <w:pPr>
        <w:spacing w:after="0" w:line="169" w:lineRule="exact"/>
        <w:rPr>
          <w:rFonts w:ascii="Arial" w:cs="Arial" w:eastAsia="Arial" w:hAnsi="Arial"/>
          <w:sz w:val="14"/>
          <w:szCs w:val="14"/>
          <w:color w:val="auto"/>
        </w:rPr>
      </w:pPr>
    </w:p>
    <w:p>
      <w:pPr>
        <w:jc w:val="both"/>
        <w:ind w:left="5" w:hanging="5"/>
        <w:spacing w:after="0" w:line="296" w:lineRule="auto"/>
        <w:tabs>
          <w:tab w:leader="none" w:pos="656" w:val="left"/>
        </w:tabs>
        <w:numPr>
          <w:ilvl w:val="0"/>
          <w:numId w:val="110"/>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xml:space="preserve">. Any notice, consent, demand, invoice, statement or other communication required or permitted to be given hereunder shall be in writing and shall be given by personal delivery or by next business day delivery with a reputable nationwide next business day delivery service. If given by personal delivery, any such notice, consent, demand, invoice, statement or other communication shall be deemed delivered upon receipt; if given by next business day delivery, shall be deemed delivered one business (1) day after deposit with a reputable nationwide overnight delivery service. Any notices given pursuant to this Lease shall be addressed to Landlord or Tenant at the addresses shown in </w:t>
      </w:r>
      <w:r>
        <w:rPr>
          <w:rFonts w:ascii="Arial" w:cs="Arial" w:eastAsia="Arial" w:hAnsi="Arial"/>
          <w:sz w:val="14"/>
          <w:szCs w:val="14"/>
          <w:u w:val="single" w:color="auto"/>
          <w:color w:val="auto"/>
        </w:rPr>
        <w:t>Sections</w:t>
      </w:r>
      <w:r>
        <w:rPr>
          <w:rFonts w:ascii="Arial" w:cs="Arial" w:eastAsia="Arial" w:hAnsi="Arial"/>
          <w:sz w:val="14"/>
          <w:szCs w:val="14"/>
          <w:color w:val="auto"/>
        </w:rPr>
        <w:t xml:space="preserve"> </w:t>
      </w:r>
      <w:r>
        <w:rPr>
          <w:rFonts w:ascii="Arial" w:cs="Arial" w:eastAsia="Arial" w:hAnsi="Arial"/>
          <w:sz w:val="14"/>
          <w:szCs w:val="14"/>
          <w:u w:val="single" w:color="auto"/>
          <w:color w:val="auto"/>
        </w:rPr>
        <w:t>2.9</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2.10</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2.11</w:t>
      </w:r>
      <w:r>
        <w:rPr>
          <w:rFonts w:ascii="Arial" w:cs="Arial" w:eastAsia="Arial" w:hAnsi="Arial"/>
          <w:sz w:val="14"/>
          <w:szCs w:val="14"/>
          <w:color w:val="auto"/>
        </w:rPr>
        <w:t>, respectively. Either party may, by notice to the other given pursuant to this Section, specify additional or different addresses for notice purposes.</w:t>
      </w:r>
    </w:p>
    <w:p>
      <w:pPr>
        <w:spacing w:after="0" w:line="165" w:lineRule="exact"/>
        <w:rPr>
          <w:rFonts w:ascii="Arial" w:cs="Arial" w:eastAsia="Arial" w:hAnsi="Arial"/>
          <w:sz w:val="14"/>
          <w:szCs w:val="14"/>
          <w:color w:val="auto"/>
        </w:rPr>
      </w:pPr>
    </w:p>
    <w:p>
      <w:pPr>
        <w:ind w:left="525" w:hanging="525"/>
        <w:spacing w:after="0"/>
        <w:tabs>
          <w:tab w:leader="none" w:pos="525"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Rooftop Installation Area</w:t>
      </w:r>
      <w:r>
        <w:rPr>
          <w:rFonts w:ascii="Arial" w:cs="Arial" w:eastAsia="Arial" w:hAnsi="Arial"/>
          <w:sz w:val="16"/>
          <w:szCs w:val="16"/>
          <w:color w:val="auto"/>
        </w:rPr>
        <w:t>.</w:t>
      </w:r>
    </w:p>
    <w:p>
      <w:pPr>
        <w:spacing w:after="0" w:line="218" w:lineRule="exact"/>
        <w:rPr>
          <w:sz w:val="20"/>
          <w:szCs w:val="20"/>
          <w:color w:val="auto"/>
        </w:rPr>
      </w:pPr>
    </w:p>
    <w:p>
      <w:pPr>
        <w:jc w:val="both"/>
        <w:ind w:left="5" w:right="20" w:firstLine="567"/>
        <w:spacing w:after="0" w:line="276" w:lineRule="auto"/>
        <w:rPr>
          <w:sz w:val="20"/>
          <w:szCs w:val="20"/>
          <w:color w:val="auto"/>
        </w:rPr>
      </w:pPr>
      <w:r>
        <w:rPr>
          <w:rFonts w:ascii="Arial" w:cs="Arial" w:eastAsia="Arial" w:hAnsi="Arial"/>
          <w:sz w:val="15"/>
          <w:szCs w:val="15"/>
          <w:color w:val="auto"/>
        </w:rPr>
        <w:t>40.1. Tenant may use those portions of the Building identified by Landlord as a “Rooftop Installation Area” (the “</w:t>
      </w:r>
      <w:r>
        <w:rPr>
          <w:rFonts w:ascii="Arial" w:cs="Arial" w:eastAsia="Arial" w:hAnsi="Arial"/>
          <w:sz w:val="15"/>
          <w:szCs w:val="15"/>
          <w:u w:val="single" w:color="auto"/>
          <w:color w:val="auto"/>
        </w:rPr>
        <w:t>Rooftop Installation Area</w:t>
      </w:r>
      <w:r>
        <w:rPr>
          <w:rFonts w:ascii="Arial" w:cs="Arial" w:eastAsia="Arial" w:hAnsi="Arial"/>
          <w:sz w:val="15"/>
          <w:szCs w:val="15"/>
          <w:color w:val="auto"/>
        </w:rPr>
        <w:t>”) solely to operate, maintain, repair and replace rooftop antennae, mechanical equipment, communications antennas and other equipment installed by Tenant in the Rooftop Installation Area in accordance with this Article (“</w:t>
      </w:r>
      <w:r>
        <w:rPr>
          <w:rFonts w:ascii="Arial" w:cs="Arial" w:eastAsia="Arial" w:hAnsi="Arial"/>
          <w:sz w:val="15"/>
          <w:szCs w:val="15"/>
          <w:u w:val="single" w:color="auto"/>
          <w:color w:val="auto"/>
        </w:rPr>
        <w:t>Tenant’s Rooftop Equipment</w:t>
      </w:r>
      <w:r>
        <w:rPr>
          <w:rFonts w:ascii="Arial" w:cs="Arial" w:eastAsia="Arial" w:hAnsi="Arial"/>
          <w:sz w:val="15"/>
          <w:szCs w:val="15"/>
          <w:color w:val="auto"/>
        </w:rPr>
        <w:t>”). Tenant’s Rooftop Equipment shall be only for Tenant’s use of the Premises for the Permitted Use. Any designation of a Rooftop Installation Area shall be subject to Landlord’s prior written consent in its sole and absolute discretion.</w:t>
      </w:r>
    </w:p>
    <w:p>
      <w:pPr>
        <w:spacing w:after="0" w:line="176" w:lineRule="exact"/>
        <w:rPr>
          <w:sz w:val="20"/>
          <w:szCs w:val="20"/>
          <w:color w:val="auto"/>
        </w:rPr>
      </w:pPr>
    </w:p>
    <w:p>
      <w:pPr>
        <w:jc w:val="both"/>
        <w:ind w:left="5" w:firstLine="567"/>
        <w:spacing w:after="0" w:line="250" w:lineRule="auto"/>
        <w:rPr>
          <w:sz w:val="20"/>
          <w:szCs w:val="20"/>
          <w:color w:val="auto"/>
        </w:rPr>
      </w:pPr>
      <w:r>
        <w:rPr>
          <w:rFonts w:ascii="Arial" w:cs="Arial" w:eastAsia="Arial" w:hAnsi="Arial"/>
          <w:sz w:val="16"/>
          <w:szCs w:val="16"/>
          <w:color w:val="auto"/>
        </w:rPr>
        <w:t>40.2. Tenant shall install Tenant’s Rooftop Equipment at its sole cost and expense, at such times and in such manner as Landlord may reasonably designate, and in accordance with this Article and the applicable provisions of this Lease regarding Alterations. Tenant’s Rooftop Equipment and the installation thereof shall be subject to Landlord’s prior written approval, which approval shall not be unreasonably withheld. Among other reasons, Landlord may withhold approval if the installation or operation of Tenant’s Rooftop Equipment could reasonably be expected to damage the structural integrity of the Building or to transmit vibrations or noise or cause other adverse effects beyond the Premises to an extent not customary in first class laboratory buildings, unless Tenant implements measures that are acceptable to Landlord in its reasonable discretion to avoid any such damage or transmission.</w:t>
      </w:r>
    </w:p>
    <w:p>
      <w:pPr>
        <w:spacing w:after="0" w:line="348"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96" w:name="page197"/>
    <w:bookmarkEnd w:id="196"/>
    <w:p>
      <w:pPr>
        <w:jc w:val="both"/>
        <w:ind w:left="5" w:firstLine="567"/>
        <w:spacing w:after="0" w:line="269" w:lineRule="auto"/>
        <w:rPr>
          <w:sz w:val="20"/>
          <w:szCs w:val="20"/>
          <w:color w:val="auto"/>
        </w:rPr>
      </w:pPr>
      <w:r>
        <w:rPr>
          <w:rFonts w:ascii="Arial" w:cs="Arial" w:eastAsia="Arial" w:hAnsi="Arial"/>
          <w:sz w:val="15"/>
          <w:szCs w:val="15"/>
          <w:color w:val="auto"/>
        </w:rPr>
        <w:t>40.3. Tenant shall comply with any roof or roof-related warranties. Tenant shall obtain a letter from Landlord’s roofing contractor within thirty (30) days after completion of any Tenant work on the rooftop stating that such work did not affect any such warranties. Tenant, at its sole cost and expense, shall inspect the Rooftop Installation Area at least annually, and correct any loose bolts, fittings or other appurtenances and repair any damage to the roof caused by the installation or operation of Tenant’s Rooftop Equipment. Tenant shall not permit the installation, maintenance or operation of Tenant’s Rooftop Equipment to violate any Applicable Laws or constitute a nuisance. Tenant shall pay Landlord within thirty (30) days after demand (a) all applicable taxes, charges, fees or impositions imposed on Landlord by Governmental Authorities as the result of Tenant’s use of the Rooftop Installation Areas in excess of those for which Landlord would otherwise be responsible for the use or installation of Tenant’s Rooftop Equipment and (b) the amount of any increase in Landlord’s insurance premiums as a result of the installation of Tenant’s Rooftop Equipment.</w:t>
      </w:r>
    </w:p>
    <w:p>
      <w:pPr>
        <w:spacing w:after="0" w:line="159" w:lineRule="exact"/>
        <w:rPr>
          <w:sz w:val="20"/>
          <w:szCs w:val="20"/>
          <w:color w:val="auto"/>
        </w:rPr>
      </w:pPr>
    </w:p>
    <w:p>
      <w:pPr>
        <w:jc w:val="both"/>
        <w:ind w:left="5" w:firstLine="567"/>
        <w:spacing w:after="0" w:line="250" w:lineRule="auto"/>
        <w:rPr>
          <w:sz w:val="20"/>
          <w:szCs w:val="20"/>
          <w:color w:val="auto"/>
        </w:rPr>
      </w:pPr>
      <w:r>
        <w:rPr>
          <w:rFonts w:ascii="Arial" w:cs="Arial" w:eastAsia="Arial" w:hAnsi="Arial"/>
          <w:sz w:val="16"/>
          <w:szCs w:val="16"/>
          <w:color w:val="auto"/>
        </w:rPr>
        <w:t xml:space="preserve">40.4. If Tenant’s Equipment (a) causes physical damage to the structural integrity of the Building or (b) interferes with any telecommunications, mechanical or other systems located at or near or servicing the Premises that were installed prior to the installation of Tenant’s Rooftop Equipment, in each case in excess of that permissible under Federal Communications Commission regulations, then Tenant shall cooperate with Landlord to determine the source of the damage or interference and promptly repair such damage and eliminate such interference, in each case at Tenant’s sole cost and expense, within a reasonable time (but in no event in excess of twenty (20) days) after receipt of notice of such damage or interference (which notice may be oral;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 also delivers to Tenant written notice of such damage or interference within twenty-four (24) hours after providing oral notice).</w:t>
      </w:r>
    </w:p>
    <w:p>
      <w:pPr>
        <w:spacing w:after="0" w:line="197" w:lineRule="exact"/>
        <w:rPr>
          <w:sz w:val="20"/>
          <w:szCs w:val="20"/>
          <w:color w:val="auto"/>
        </w:rPr>
      </w:pPr>
    </w:p>
    <w:p>
      <w:pPr>
        <w:jc w:val="both"/>
        <w:ind w:left="5" w:firstLine="567"/>
        <w:spacing w:after="0" w:line="251" w:lineRule="auto"/>
        <w:rPr>
          <w:sz w:val="20"/>
          <w:szCs w:val="20"/>
          <w:color w:val="auto"/>
        </w:rPr>
      </w:pPr>
      <w:r>
        <w:rPr>
          <w:rFonts w:ascii="Arial" w:cs="Arial" w:eastAsia="Arial" w:hAnsi="Arial"/>
          <w:sz w:val="16"/>
          <w:szCs w:val="16"/>
          <w:color w:val="auto"/>
        </w:rPr>
        <w:t>40.5. Landlord reserves the right to cause Tenant to relocate Tenant’s Rooftop Equipment to comparably functional space on the roof or in the penthouse of the Building by giving Tenant prior written notice thereof. Landlord agrees to pay the reasonable costs thereof. Tenant shall arrange for the relocation of Tenant’s Rooftop Equipment within sixty (60) days after receipt of Landlord’s notification of such relocation. In the event Tenant fails to arrange for relocation within such sixty (60)-day period, Landlord shall have the right to arrange for the relocation of Tenant’s Rooftop Equipment in a manner that does not unnecessarily interrupt or interfere with Tenant’s use of the Premises for the Permitted Use.</w:t>
      </w:r>
    </w:p>
    <w:p>
      <w:pPr>
        <w:spacing w:after="0" w:line="196" w:lineRule="exact"/>
        <w:rPr>
          <w:sz w:val="20"/>
          <w:szCs w:val="20"/>
          <w:color w:val="auto"/>
        </w:rPr>
      </w:pPr>
    </w:p>
    <w:p>
      <w:pPr>
        <w:ind w:left="525" w:hanging="525"/>
        <w:spacing w:after="0"/>
        <w:tabs>
          <w:tab w:leader="none" w:pos="525"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18" w:lineRule="exact"/>
        <w:rPr>
          <w:sz w:val="20"/>
          <w:szCs w:val="20"/>
          <w:color w:val="auto"/>
        </w:rPr>
      </w:pPr>
    </w:p>
    <w:p>
      <w:pPr>
        <w:ind w:left="565"/>
        <w:spacing w:after="0"/>
        <w:tabs>
          <w:tab w:leader="none" w:pos="1105" w:val="left"/>
        </w:tabs>
        <w:rPr>
          <w:sz w:val="20"/>
          <w:szCs w:val="20"/>
          <w:color w:val="auto"/>
        </w:rPr>
      </w:pPr>
      <w:r>
        <w:rPr>
          <w:rFonts w:ascii="Arial" w:cs="Arial" w:eastAsia="Arial" w:hAnsi="Arial"/>
          <w:sz w:val="16"/>
          <w:szCs w:val="16"/>
          <w:color w:val="auto"/>
        </w:rPr>
        <w:t>41.1.</w:t>
      </w:r>
      <w:r>
        <w:rPr>
          <w:sz w:val="20"/>
          <w:szCs w:val="20"/>
          <w:color w:val="auto"/>
        </w:rPr>
        <w:tab/>
      </w:r>
      <w:r>
        <w:rPr>
          <w:rFonts w:ascii="Arial" w:cs="Arial" w:eastAsia="Arial" w:hAnsi="Arial"/>
          <w:sz w:val="14"/>
          <w:szCs w:val="14"/>
          <w:color w:val="auto"/>
        </w:rPr>
        <w:t>Landlord reserves the right to change the name of the Premises in its sole discretion.</w:t>
      </w:r>
    </w:p>
    <w:p>
      <w:pPr>
        <w:spacing w:after="0" w:line="218" w:lineRule="exact"/>
        <w:rPr>
          <w:sz w:val="20"/>
          <w:szCs w:val="20"/>
          <w:color w:val="auto"/>
        </w:rPr>
      </w:pPr>
    </w:p>
    <w:p>
      <w:pPr>
        <w:jc w:val="both"/>
        <w:ind w:left="5" w:right="20" w:firstLine="567"/>
        <w:spacing w:after="0" w:line="272" w:lineRule="auto"/>
        <w:rPr>
          <w:sz w:val="20"/>
          <w:szCs w:val="20"/>
          <w:color w:val="auto"/>
        </w:rPr>
      </w:pPr>
      <w:r>
        <w:rPr>
          <w:rFonts w:ascii="Arial" w:cs="Arial" w:eastAsia="Arial" w:hAnsi="Arial"/>
          <w:sz w:val="15"/>
          <w:szCs w:val="15"/>
          <w:color w:val="auto"/>
        </w:rPr>
        <w:t>41.2. To induce Landlord to enter into this Lease, Tenant agrees that it shall promptly furnish to Landlord, from time to time (but not more than annually), upon Landlord’s written request, a certified copy of the most recent year-end unconsolidated financial statements reflecting Tenant’s current financial condition audited by an independent registered public accounting firm. Tenant represents and warrants that all financial statements, records and information furnished by Tenant to Landlord in connection with this Lease are true, correct and complete in all respects. If audited financials are not otherwise prepared, unaudited financials complying with generally accepted accounting principles and certified by the chief financial officer of Tenant as true, correct and complete in all respects shall suffice for purposes of this Section.</w:t>
      </w:r>
    </w:p>
    <w:p>
      <w:pPr>
        <w:spacing w:after="0" w:line="331"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197" w:name="page198"/>
    <w:bookmarkEnd w:id="197"/>
    <w:p>
      <w:pPr>
        <w:jc w:val="both"/>
        <w:ind w:firstLine="567"/>
        <w:spacing w:after="0" w:line="293" w:lineRule="auto"/>
        <w:rPr>
          <w:sz w:val="20"/>
          <w:szCs w:val="20"/>
          <w:color w:val="auto"/>
        </w:rPr>
      </w:pPr>
      <w:r>
        <w:rPr>
          <w:rFonts w:ascii="Arial" w:cs="Arial" w:eastAsia="Arial" w:hAnsi="Arial"/>
          <w:sz w:val="14"/>
          <w:szCs w:val="14"/>
          <w:color w:val="auto"/>
        </w:rPr>
        <w:t>41.3. This Lease shall be deemed and construed to be an “absolute net lease” and, except as herein expressly provided, Landlord shall receive all payments required to be made by Tenant free from all charges, assessments, impositions, expenses and deductions of any and every kind or nature whatsoever. Landlord shall not be required to furnish any services or facilities or to make any repairs, replacements or alterations of any kind in or on the Premises except as specifically provided herein. Tenant shall receive all invoices and bills relative to the Premises and, except as otherwise provided herein, shall pay for all expenses directly to the person or company submitting a bill without first having to forward payment for the expenses to Landlord. Tenant shall at Tenant’s sole cost and expense be responsible for the management of the Premises, shall maintain the landscaping and parking lot, and shall make those additional repairs and alterations required of Tenant hereunder to maintain the Premises in first class condition.</w:t>
      </w:r>
    </w:p>
    <w:p>
      <w:pPr>
        <w:spacing w:after="0" w:line="144"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6"/>
          <w:szCs w:val="16"/>
          <w:color w:val="auto"/>
        </w:rPr>
        <w:t>41.4. Where applicable in this Lease, the singular includes the plural and the masculine or neuter includes the masculine, feminine and neuter. The words “include,” “includes,” “included” and “including” shall mean “‘include,’ etc., without limitation.” The section headings of this Lease are not a part of this Lease and shall have no effect upon the construction or interpretation of any part hereof.</w:t>
      </w:r>
    </w:p>
    <w:p>
      <w:pPr>
        <w:spacing w:after="0" w:line="165"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16"/>
          <w:szCs w:val="16"/>
          <w:color w:val="auto"/>
        </w:rPr>
        <w:t>41.5. If either party commences a demand, claim, action, cause of action or suit against the other party arising out of or in connection with this Lease, then the substantially prevailing party shall be reimbursed by the other party for all reasonable costs and expenses, including reasonable attorneys’ fees and expenses, incurred by the substantially prevailing party in such action or proceeding and in any appeal in connection therewith (regardless of whether the applicable demand, claim, action, cause of action or suit is voluntarily withdrawn or dismissed).</w:t>
      </w:r>
    </w:p>
    <w:p>
      <w:pPr>
        <w:spacing w:after="0" w:line="193" w:lineRule="exact"/>
        <w:rPr>
          <w:sz w:val="20"/>
          <w:szCs w:val="20"/>
          <w:color w:val="auto"/>
        </w:rPr>
      </w:pPr>
    </w:p>
    <w:p>
      <w:pPr>
        <w:jc w:val="both"/>
        <w:ind w:firstLine="567"/>
        <w:spacing w:after="0" w:line="267" w:lineRule="auto"/>
        <w:rPr>
          <w:sz w:val="20"/>
          <w:szCs w:val="20"/>
          <w:color w:val="auto"/>
        </w:rPr>
      </w:pPr>
      <w:r>
        <w:rPr>
          <w:rFonts w:ascii="Arial" w:cs="Arial" w:eastAsia="Arial" w:hAnsi="Arial"/>
          <w:sz w:val="16"/>
          <w:szCs w:val="16"/>
          <w:color w:val="auto"/>
        </w:rPr>
        <w:t>41.6. Submission of this instrument for examination or signature by Tenant does not constitute a reservation of or option for a lease, and shall not be effective as a lease or otherwise until execution by and delivery to both Landlord and Tenant.</w:t>
      </w:r>
    </w:p>
    <w:p>
      <w:pPr>
        <w:spacing w:after="0" w:line="181"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6"/>
          <w:szCs w:val="16"/>
          <w:color w:val="auto"/>
        </w:rPr>
        <w:t>41.7.</w:t>
      </w:r>
      <w:r>
        <w:rPr>
          <w:sz w:val="20"/>
          <w:szCs w:val="20"/>
          <w:color w:val="auto"/>
        </w:rPr>
        <w:tab/>
      </w:r>
      <w:r>
        <w:rPr>
          <w:rFonts w:ascii="Arial" w:cs="Arial" w:eastAsia="Arial" w:hAnsi="Arial"/>
          <w:sz w:val="14"/>
          <w:szCs w:val="14"/>
          <w:color w:val="auto"/>
        </w:rPr>
        <w:t>Time is of the essence with respect to the performance of every provision of this Lease in which time of performance is a factor.</w:t>
      </w:r>
    </w:p>
    <w:p>
      <w:pPr>
        <w:spacing w:after="0" w:line="218" w:lineRule="exact"/>
        <w:rPr>
          <w:sz w:val="20"/>
          <w:szCs w:val="20"/>
          <w:color w:val="auto"/>
        </w:rPr>
      </w:pPr>
    </w:p>
    <w:p>
      <w:pPr>
        <w:jc w:val="both"/>
        <w:ind w:right="20" w:firstLine="567"/>
        <w:spacing w:after="0" w:line="267" w:lineRule="auto"/>
        <w:rPr>
          <w:sz w:val="20"/>
          <w:szCs w:val="20"/>
          <w:color w:val="auto"/>
        </w:rPr>
      </w:pPr>
      <w:r>
        <w:rPr>
          <w:rFonts w:ascii="Arial" w:cs="Arial" w:eastAsia="Arial" w:hAnsi="Arial"/>
          <w:sz w:val="16"/>
          <w:szCs w:val="16"/>
          <w:color w:val="auto"/>
        </w:rPr>
        <w:t>41.8. Notwithstanding anything to the contrary contained in this Lease, Tenant’s obligations under this Lease are independent and shall not be conditioned upon performance by Landlord.</w:t>
      </w:r>
    </w:p>
    <w:p>
      <w:pPr>
        <w:spacing w:after="0" w:line="181" w:lineRule="exact"/>
        <w:rPr>
          <w:sz w:val="20"/>
          <w:szCs w:val="20"/>
          <w:color w:val="auto"/>
        </w:rPr>
      </w:pPr>
    </w:p>
    <w:p>
      <w:pPr>
        <w:jc w:val="both"/>
        <w:ind w:firstLine="567"/>
        <w:spacing w:after="0" w:line="267" w:lineRule="auto"/>
        <w:rPr>
          <w:sz w:val="20"/>
          <w:szCs w:val="20"/>
          <w:color w:val="auto"/>
        </w:rPr>
      </w:pPr>
      <w:r>
        <w:rPr>
          <w:rFonts w:ascii="Arial" w:cs="Arial" w:eastAsia="Arial" w:hAnsi="Arial"/>
          <w:sz w:val="16"/>
          <w:szCs w:val="16"/>
          <w:color w:val="auto"/>
        </w:rPr>
        <w:t>41.9. Whenever consent or approval of either party is required, that party shall not unreasonably withhold such consent or approval, except as may be expressly set forth to the contrary.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98" w:name="page199"/>
    <w:bookmarkEnd w:id="198"/>
    <w:p>
      <w:pPr>
        <w:jc w:val="both"/>
        <w:ind w:right="20" w:firstLine="567"/>
        <w:spacing w:after="0" w:line="267" w:lineRule="auto"/>
        <w:rPr>
          <w:sz w:val="20"/>
          <w:szCs w:val="20"/>
          <w:color w:val="auto"/>
        </w:rPr>
      </w:pPr>
      <w:r>
        <w:rPr>
          <w:rFonts w:ascii="Arial" w:cs="Arial" w:eastAsia="Arial" w:hAnsi="Arial"/>
          <w:sz w:val="16"/>
          <w:szCs w:val="16"/>
          <w:color w:val="auto"/>
        </w:rPr>
        <w:t>41.10. The terms of this Lease are intended by the parties as a final expression of their agreement with respect to the terms as are included herein, and may not be contradicted by evidence of any prior or contemporaneous agreement.</w:t>
      </w:r>
    </w:p>
    <w:p>
      <w:pPr>
        <w:spacing w:after="0" w:line="158" w:lineRule="exact"/>
        <w:rPr>
          <w:sz w:val="20"/>
          <w:szCs w:val="20"/>
          <w:color w:val="auto"/>
        </w:rPr>
      </w:pPr>
    </w:p>
    <w:p>
      <w:pPr>
        <w:jc w:val="both"/>
        <w:ind w:right="20" w:firstLine="567"/>
        <w:spacing w:after="0" w:line="267" w:lineRule="auto"/>
        <w:rPr>
          <w:sz w:val="20"/>
          <w:szCs w:val="20"/>
          <w:color w:val="auto"/>
        </w:rPr>
      </w:pPr>
      <w:r>
        <w:rPr>
          <w:rFonts w:ascii="Arial" w:cs="Arial" w:eastAsia="Arial" w:hAnsi="Arial"/>
          <w:sz w:val="16"/>
          <w:szCs w:val="16"/>
          <w:color w:val="auto"/>
        </w:rPr>
        <w:t>41.11. Any provision of this Lease that shall prove to be invalid, void or illegal shall in no way affect, impair or invalidate any other provision hereof, and all other provisions of this Lease shall remain in full force and effect and shall be interpreted as if the invalid, void or illegal provision did not exist.</w:t>
      </w:r>
    </w:p>
    <w:p>
      <w:pPr>
        <w:spacing w:after="0" w:line="158" w:lineRule="exact"/>
        <w:rPr>
          <w:sz w:val="20"/>
          <w:szCs w:val="20"/>
          <w:color w:val="auto"/>
        </w:rPr>
      </w:pPr>
    </w:p>
    <w:p>
      <w:pPr>
        <w:jc w:val="both"/>
        <w:ind w:firstLine="567"/>
        <w:spacing w:after="0" w:line="250" w:lineRule="auto"/>
        <w:rPr>
          <w:sz w:val="20"/>
          <w:szCs w:val="20"/>
          <w:color w:val="auto"/>
        </w:rPr>
      </w:pPr>
      <w:r>
        <w:rPr>
          <w:rFonts w:ascii="Arial" w:cs="Arial" w:eastAsia="Arial" w:hAnsi="Arial"/>
          <w:sz w:val="16"/>
          <w:szCs w:val="16"/>
          <w:color w:val="auto"/>
        </w:rPr>
        <w:t xml:space="preserve">41.12. Landlord may, but shall not be obligated to, record a short form or memorandum hereof without Tenant’s consent. Tenant may record a short form or memorandum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short form or memorandum has been approved in writing by Landlord (which approval will not be unreasonably withheld, conditioned or delayed). Within ten (10) days after receipt of written request from Landlord, Tenant shall execute a termination of any short form or memorandum of lease recorded with respect hereto. Landlord shall hold such executed termination in escrow until the expiration or earlier termination of this Lease, after which, Landlord may record such termination without Tenant’s consent. Tenant shall be responsible for the cost of recording any short form or memorandum of this Lease, including any transfer or other taxes incurred in connection with such recordation. Neither party shall record this Lease.</w:t>
      </w:r>
    </w:p>
    <w:p>
      <w:pPr>
        <w:spacing w:after="0" w:line="174"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6"/>
          <w:szCs w:val="16"/>
          <w:color w:val="auto"/>
        </w:rPr>
        <w:t>41.13.</w:t>
      </w:r>
      <w:r>
        <w:rPr>
          <w:sz w:val="20"/>
          <w:szCs w:val="20"/>
          <w:color w:val="auto"/>
        </w:rPr>
        <w:tab/>
      </w:r>
      <w:r>
        <w:rPr>
          <w:rFonts w:ascii="Arial" w:cs="Arial" w:eastAsia="Arial" w:hAnsi="Arial"/>
          <w:sz w:val="14"/>
          <w:szCs w:val="14"/>
          <w:color w:val="auto"/>
        </w:rPr>
        <w:t>The language in all parts of this Lease shall be in all cases construed as a whole according to its fair meaning and not strictly for or against either Landlord or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Tenant.</w:t>
      </w:r>
    </w:p>
    <w:p>
      <w:pPr>
        <w:spacing w:after="0" w:line="183" w:lineRule="exact"/>
        <w:rPr>
          <w:sz w:val="20"/>
          <w:szCs w:val="20"/>
          <w:color w:val="auto"/>
        </w:rPr>
      </w:pPr>
    </w:p>
    <w:p>
      <w:pPr>
        <w:jc w:val="both"/>
        <w:ind w:right="20" w:firstLine="567"/>
        <w:spacing w:after="0" w:line="257" w:lineRule="auto"/>
        <w:rPr>
          <w:sz w:val="20"/>
          <w:szCs w:val="20"/>
          <w:color w:val="auto"/>
        </w:rPr>
      </w:pPr>
      <w:r>
        <w:rPr>
          <w:rFonts w:ascii="Arial" w:cs="Arial" w:eastAsia="Arial" w:hAnsi="Arial"/>
          <w:sz w:val="16"/>
          <w:szCs w:val="16"/>
          <w:color w:val="auto"/>
        </w:rPr>
        <w:t>41.14. Each of the covenants, conditions and agreements herein contained shall inure to the benefit of and shall apply to and be binding upon the parties hereto and their respective heirs; legatees; devisees; executors; administrators; and permitted successors, assigns, sublessees. Nothing in this Section shall in any way alter the provisions of this Lease restricting assignment or subletting.</w:t>
      </w:r>
    </w:p>
    <w:p>
      <w:pPr>
        <w:spacing w:after="0" w:line="189" w:lineRule="exact"/>
        <w:rPr>
          <w:sz w:val="20"/>
          <w:szCs w:val="20"/>
          <w:color w:val="auto"/>
        </w:rPr>
      </w:pPr>
    </w:p>
    <w:p>
      <w:pPr>
        <w:jc w:val="both"/>
        <w:ind w:right="20" w:firstLine="567"/>
        <w:spacing w:after="0" w:line="267" w:lineRule="auto"/>
        <w:rPr>
          <w:sz w:val="20"/>
          <w:szCs w:val="20"/>
          <w:color w:val="auto"/>
        </w:rPr>
      </w:pPr>
      <w:r>
        <w:rPr>
          <w:rFonts w:ascii="Arial" w:cs="Arial" w:eastAsia="Arial" w:hAnsi="Arial"/>
          <w:sz w:val="16"/>
          <w:szCs w:val="16"/>
          <w:color w:val="auto"/>
        </w:rPr>
        <w:t>41.15. This Lease shall be governed by, construed and enforced in accordance with the laws of the state in which the Premises are located, without regard to such state’s conflict of law principles.</w:t>
      </w:r>
    </w:p>
    <w:p>
      <w:pPr>
        <w:spacing w:after="0" w:line="181"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6"/>
          <w:szCs w:val="16"/>
          <w:color w:val="auto"/>
        </w:rPr>
        <w:t>41.16. Tenant guarantees, warrants and represents that the individual or individuals signing this Lease have the power, authority and legal capacity to sign this Lease on behalf of and to bind all entities, corporations, partnerships, limited liability companies, joint venturers or other organizations and entities on whose behalf such individual or individuals have signed.</w:t>
      </w:r>
    </w:p>
    <w:p>
      <w:pPr>
        <w:spacing w:after="0" w:line="189"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6"/>
          <w:szCs w:val="16"/>
          <w:color w:val="auto"/>
        </w:rPr>
        <w:t>41.17.</w:t>
      </w:r>
      <w:r>
        <w:rPr>
          <w:sz w:val="20"/>
          <w:szCs w:val="20"/>
          <w:color w:val="auto"/>
        </w:rPr>
        <w:tab/>
      </w:r>
      <w:r>
        <w:rPr>
          <w:rFonts w:ascii="Arial" w:cs="Arial" w:eastAsia="Arial" w:hAnsi="Arial"/>
          <w:sz w:val="14"/>
          <w:szCs w:val="14"/>
          <w:color w:val="auto"/>
        </w:rPr>
        <w:t>This Lease may be executed in one or more counterparts, each of which, when taken together, shall constitute one and the same document.</w:t>
      </w:r>
    </w:p>
    <w:p>
      <w:pPr>
        <w:spacing w:after="0" w:line="218" w:lineRule="exact"/>
        <w:rPr>
          <w:sz w:val="20"/>
          <w:szCs w:val="20"/>
          <w:color w:val="auto"/>
        </w:rPr>
      </w:pPr>
    </w:p>
    <w:p>
      <w:pPr>
        <w:jc w:val="both"/>
        <w:ind w:right="20" w:firstLine="567"/>
        <w:spacing w:after="0" w:line="257" w:lineRule="auto"/>
        <w:rPr>
          <w:sz w:val="20"/>
          <w:szCs w:val="20"/>
          <w:color w:val="auto"/>
        </w:rPr>
      </w:pPr>
      <w:r>
        <w:rPr>
          <w:rFonts w:ascii="Arial" w:cs="Arial" w:eastAsia="Arial" w:hAnsi="Arial"/>
          <w:sz w:val="16"/>
          <w:szCs w:val="16"/>
          <w:color w:val="auto"/>
        </w:rPr>
        <w:t>41.18. No provision of this Lease may be modified, amended or supplemented except by an agreement in writing signed by Landlord and Tenant. The waiver by Landlord of any breach by Tenant of any term, covenant or condition herein contained shall not be deemed to be a waiver of any subsequent breach of the same or any other term, covenant or condition herein contained.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99" w:name="page200"/>
    <w:bookmarkEnd w:id="199"/>
    <w:p>
      <w:pPr>
        <w:jc w:val="both"/>
        <w:ind w:left="5" w:firstLine="567"/>
        <w:spacing w:after="0" w:line="257" w:lineRule="auto"/>
        <w:rPr>
          <w:sz w:val="20"/>
          <w:szCs w:val="20"/>
          <w:color w:val="auto"/>
        </w:rPr>
      </w:pPr>
      <w:r>
        <w:rPr>
          <w:rFonts w:ascii="Arial" w:cs="Arial" w:eastAsia="Arial" w:hAnsi="Arial"/>
          <w:sz w:val="16"/>
          <w:szCs w:val="16"/>
          <w:color w:val="auto"/>
        </w:rPr>
        <w:t>41.19. To the extent permitted by Applicable Laws, the parties waive trial by jury in any action, proceeding or counterclaim brought by the other party hereto related to matters arising out of or in any way connected with this Lease; the relationship between Landlord and Tenant; Tenant’s use or occupancy of the Premises; or any claim of injury or damage related to this Lease or the Premises.</w:t>
      </w:r>
    </w:p>
    <w:p>
      <w:pPr>
        <w:spacing w:after="0" w:line="165" w:lineRule="exact"/>
        <w:rPr>
          <w:sz w:val="20"/>
          <w:szCs w:val="20"/>
          <w:color w:val="auto"/>
        </w:rPr>
      </w:pPr>
    </w:p>
    <w:p>
      <w:pPr>
        <w:jc w:val="both"/>
        <w:ind w:left="5" w:hanging="5"/>
        <w:spacing w:after="0" w:line="257" w:lineRule="auto"/>
        <w:tabs>
          <w:tab w:leader="none" w:pos="644"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Options to Extend Term</w:t>
      </w:r>
      <w:r>
        <w:rPr>
          <w:rFonts w:ascii="Arial" w:cs="Arial" w:eastAsia="Arial" w:hAnsi="Arial"/>
          <w:sz w:val="16"/>
          <w:szCs w:val="16"/>
          <w:color w:val="auto"/>
        </w:rPr>
        <w:t>. Tenant shall have two (2) options (each, an “</w:t>
      </w:r>
      <w:r>
        <w:rPr>
          <w:rFonts w:ascii="Arial" w:cs="Arial" w:eastAsia="Arial" w:hAnsi="Arial"/>
          <w:sz w:val="16"/>
          <w:szCs w:val="16"/>
          <w:u w:val="single" w:color="auto"/>
          <w:color w:val="auto"/>
        </w:rPr>
        <w:t>Option</w:t>
      </w:r>
      <w:r>
        <w:rPr>
          <w:rFonts w:ascii="Arial" w:cs="Arial" w:eastAsia="Arial" w:hAnsi="Arial"/>
          <w:sz w:val="16"/>
          <w:szCs w:val="16"/>
          <w:color w:val="auto"/>
        </w:rPr>
        <w:t>”) to extend the Term by five (5) years each as to the entire Premises (and no less than the entire Premises) upon the following terms and conditions. Any extension of the Term pursuant to an Option shall be on all the same terms and conditions as this Lease, except as follows:</w:t>
      </w:r>
    </w:p>
    <w:p>
      <w:pPr>
        <w:spacing w:after="0" w:line="189" w:lineRule="exact"/>
        <w:rPr>
          <w:sz w:val="20"/>
          <w:szCs w:val="20"/>
          <w:color w:val="auto"/>
        </w:rPr>
      </w:pPr>
    </w:p>
    <w:p>
      <w:pPr>
        <w:jc w:val="both"/>
        <w:ind w:left="5" w:firstLine="567"/>
        <w:spacing w:after="0" w:line="284" w:lineRule="auto"/>
        <w:rPr>
          <w:sz w:val="20"/>
          <w:szCs w:val="20"/>
          <w:color w:val="auto"/>
        </w:rPr>
      </w:pPr>
      <w:r>
        <w:rPr>
          <w:rFonts w:ascii="Arial" w:cs="Arial" w:eastAsia="Arial" w:hAnsi="Arial"/>
          <w:sz w:val="14"/>
          <w:szCs w:val="14"/>
          <w:color w:val="auto"/>
        </w:rPr>
        <w:t>42.1. Base Rent at the commencement of each Option term shall equal the then-current fair market value (which fair-market value shall include annual fair market increases (to be determined at the same time as determination of the Base Rent for each Option term) on each annual anniversary of the Option term commencement date) for comparable office and laboratory space in the Fremont/Newark market of comparable age, quality, level of finish and proximity to amenities and public transit (“</w:t>
      </w:r>
      <w:r>
        <w:rPr>
          <w:rFonts w:ascii="Arial" w:cs="Arial" w:eastAsia="Arial" w:hAnsi="Arial"/>
          <w:sz w:val="14"/>
          <w:szCs w:val="14"/>
          <w:u w:val="single" w:color="auto"/>
          <w:color w:val="auto"/>
        </w:rPr>
        <w:t>FMV</w:t>
      </w:r>
      <w:r>
        <w:rPr>
          <w:rFonts w:ascii="Arial" w:cs="Arial" w:eastAsia="Arial" w:hAnsi="Arial"/>
          <w:sz w:val="14"/>
          <w:szCs w:val="14"/>
          <w:color w:val="auto"/>
        </w:rPr>
        <w:t>”). Tenant may, no more than twelve (12) months prior to the date the Term is then scheduled to expire, request Landlord’s estimate of the FMV for the next Option term. Landlord shall, within fifteen (15) days after receipt of such request, give Tenant a written proposal of such FMV. If Tenant gives written notice to exercise an Option, such notice shall specify whether Tenant accepts Landlord’s proposed estimate of FMV. If Tenant does not accept the FMV, then the parties shall endeavor to agree upon the FMV, taking into account all relevant factors, including (a) the size of the Premises, (b) the length of the Option term, (c) rent in comparable buildings in the relevant market, including concessions offered to new tenants, such as free rent, tenant improvement allowances and moving allowances, (d) Tenant’s creditworthiness and (e) the quality and location of the Premises. In the event that the parties are unable to agree upon the FMV within thirty (30) days after Tenant notifies Landlord that Tenant is exercising an Option, then either party may request that the same be determined as follows: a senior officer of a nationally recognized leasing brokerage firm with local knowledge of the Alameda County and San Mateo County laboratory/research and development leasing market (the “</w:t>
      </w:r>
      <w:r>
        <w:rPr>
          <w:rFonts w:ascii="Arial" w:cs="Arial" w:eastAsia="Arial" w:hAnsi="Arial"/>
          <w:sz w:val="14"/>
          <w:szCs w:val="14"/>
          <w:u w:val="single" w:color="auto"/>
          <w:color w:val="auto"/>
        </w:rPr>
        <w:t>Baseball Arbitrator</w:t>
      </w:r>
      <w:r>
        <w:rPr>
          <w:rFonts w:ascii="Arial" w:cs="Arial" w:eastAsia="Arial" w:hAnsi="Arial"/>
          <w:sz w:val="14"/>
          <w:szCs w:val="14"/>
          <w:color w:val="auto"/>
        </w:rPr>
        <w:t>”) shall be selected and paid for jointly by Landlord and Tenant. If Landlord and Tenant are unable to agree upon the Baseball Arbitrator, then the same shall be designated by the local chapter of the American Arbitration Association or any successor organization thereto (the “</w:t>
      </w:r>
      <w:r>
        <w:rPr>
          <w:rFonts w:ascii="Arial" w:cs="Arial" w:eastAsia="Arial" w:hAnsi="Arial"/>
          <w:sz w:val="14"/>
          <w:szCs w:val="14"/>
          <w:u w:val="single" w:color="auto"/>
          <w:color w:val="auto"/>
        </w:rPr>
        <w:t>AAA</w:t>
      </w:r>
      <w:r>
        <w:rPr>
          <w:rFonts w:ascii="Arial" w:cs="Arial" w:eastAsia="Arial" w:hAnsi="Arial"/>
          <w:sz w:val="14"/>
          <w:szCs w:val="14"/>
          <w:color w:val="auto"/>
        </w:rPr>
        <w:t>”). The Baseball Arbitrator selected by the parties or designated by the AAA shall (y) have at least ten (10) years’ experience in the leasing of laboratory/research and development space in the Alameda County and San Mateo County market and (z) not have been employed or retained by either Landlord or Tenant or any affiliate of either for a period of at least ten (10) years prior to appointment pursuant hereto. Each of Landlord and Tenant shall submit to the Baseball Arbitrator and to the other party its determination of the FMV. The Baseball Arbitrator shall grant to Landlord and Tenant a hearing and the right to submit evidence. The Baseball Arbitrator shall determine which of the two (2) FMV determinations more closely represents the actual FMV. The arbitrator may not select any other FMV for the Premises other than one submitted by Landlord or Tenant. The FMV selected by the Baseball Arbitrator shall be binding upon Landlord and Tenant and shall serve as the basis for determination of Base Rent payable for the applicable Option term. If, as of the commencement date of an Option term, the amount of Base Rent payable during the Option term shall not have been determined, then, pending such determination, Tenant shall pay Base Rent equal to the Base Rent payable with respect to the last year of the then-current Term. After the final determination of Base Rent payable for the Option term, the parties shall promptly execute a written amendment to this Lease specifying the amount of Base Rent to be paid during the applicable Option term. Any failure of the parties to execute such amendment shall not affect the validity of the FMV determined pursuant to this Section.</w:t>
      </w:r>
    </w:p>
    <w:p>
      <w:pPr>
        <w:spacing w:after="0" w:line="200" w:lineRule="exact"/>
        <w:rPr>
          <w:sz w:val="20"/>
          <w:szCs w:val="20"/>
          <w:color w:val="auto"/>
        </w:rPr>
      </w:pPr>
    </w:p>
    <w:p>
      <w:pPr>
        <w:spacing w:after="0" w:line="322"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316" w:right="219" w:bottom="1440" w:gutter="0" w:footer="0" w:header="0"/>
        </w:sectPr>
      </w:pPr>
    </w:p>
    <w:bookmarkStart w:id="200" w:name="page201"/>
    <w:bookmarkEnd w:id="200"/>
    <w:p>
      <w:pPr>
        <w:ind w:left="560"/>
        <w:spacing w:after="0"/>
        <w:tabs>
          <w:tab w:leader="none" w:pos="1100" w:val="left"/>
        </w:tabs>
        <w:rPr>
          <w:sz w:val="20"/>
          <w:szCs w:val="20"/>
          <w:color w:val="auto"/>
        </w:rPr>
      </w:pPr>
      <w:r>
        <w:rPr>
          <w:rFonts w:ascii="Arial" w:cs="Arial" w:eastAsia="Arial" w:hAnsi="Arial"/>
          <w:sz w:val="16"/>
          <w:szCs w:val="16"/>
          <w:color w:val="auto"/>
        </w:rPr>
        <w:t>42.2.</w:t>
      </w:r>
      <w:r>
        <w:rPr>
          <w:sz w:val="20"/>
          <w:szCs w:val="20"/>
          <w:color w:val="auto"/>
        </w:rPr>
        <w:tab/>
      </w:r>
      <w:r>
        <w:rPr>
          <w:rFonts w:ascii="Arial" w:cs="Arial" w:eastAsia="Arial" w:hAnsi="Arial"/>
          <w:sz w:val="14"/>
          <w:szCs w:val="14"/>
          <w:color w:val="auto"/>
        </w:rPr>
        <w:t>No Option is assignable separate and apart from this Lease.</w:t>
      </w:r>
    </w:p>
    <w:p>
      <w:pPr>
        <w:spacing w:after="0" w:line="194"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4"/>
          <w:szCs w:val="14"/>
          <w:color w:val="auto"/>
        </w:rPr>
        <w:t>42.3. An Option is conditional upon Tenant giving Landlord written notice of its election to exercise such Option at least twelve (12) months prior to the end of the expiration of the then-current Term. Time shall be of the essence as to Tenant’s exercise of an Option. Tenant assumes full responsibility for maintaining a record of the deadlines to exercise an Option. Tenant acknowledges that it would be inequitable to require Landlord to accept any exercise of an Option after the date provided for in this Section.</w:t>
      </w:r>
    </w:p>
    <w:p>
      <w:pPr>
        <w:spacing w:after="0" w:line="130"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6"/>
          <w:szCs w:val="16"/>
          <w:color w:val="auto"/>
        </w:rPr>
        <w:t>42.4.</w:t>
      </w:r>
      <w:r>
        <w:rPr>
          <w:sz w:val="20"/>
          <w:szCs w:val="20"/>
          <w:color w:val="auto"/>
        </w:rPr>
        <w:tab/>
      </w:r>
      <w:r>
        <w:rPr>
          <w:rFonts w:ascii="Arial" w:cs="Arial" w:eastAsia="Arial" w:hAnsi="Arial"/>
          <w:sz w:val="14"/>
          <w:szCs w:val="14"/>
          <w:color w:val="auto"/>
        </w:rPr>
        <w:t>Notwithstanding anything contained in this Article to the contrary, Tenant shall not have the right to exercise an Option:</w:t>
      </w:r>
    </w:p>
    <w:p>
      <w:pPr>
        <w:spacing w:after="0" w:line="194" w:lineRule="exact"/>
        <w:rPr>
          <w:sz w:val="20"/>
          <w:szCs w:val="20"/>
          <w:color w:val="auto"/>
        </w:rPr>
      </w:pPr>
    </w:p>
    <w:p>
      <w:pPr>
        <w:ind w:right="20" w:firstLine="1129"/>
        <w:spacing w:after="0" w:line="267" w:lineRule="auto"/>
        <w:tabs>
          <w:tab w:leader="none" w:pos="165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During the time commencing from the date Landlord delivers to Tenant a written notice that Tenant is in default under any provisions of this Lease and continuing until Tenant has cured the specified default to Landlord’s reasonable satisfaction; or</w:t>
      </w:r>
    </w:p>
    <w:p>
      <w:pPr>
        <w:spacing w:after="0" w:line="157" w:lineRule="exact"/>
        <w:rPr>
          <w:rFonts w:ascii="Arial" w:cs="Arial" w:eastAsia="Arial" w:hAnsi="Arial"/>
          <w:sz w:val="16"/>
          <w:szCs w:val="16"/>
          <w:color w:val="auto"/>
        </w:rPr>
      </w:pPr>
    </w:p>
    <w:p>
      <w:pPr>
        <w:jc w:val="both"/>
        <w:ind w:firstLine="1129"/>
        <w:spacing w:after="0" w:line="257" w:lineRule="auto"/>
        <w:tabs>
          <w:tab w:leader="none" w:pos="163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At any time after any Default as described in </w:t>
      </w:r>
      <w:r>
        <w:rPr>
          <w:rFonts w:ascii="Arial" w:cs="Arial" w:eastAsia="Arial" w:hAnsi="Arial"/>
          <w:sz w:val="16"/>
          <w:szCs w:val="16"/>
          <w:u w:val="single" w:color="auto"/>
          <w:color w:val="auto"/>
        </w:rPr>
        <w:t>Article 31</w:t>
      </w:r>
      <w:r>
        <w:rPr>
          <w:rFonts w:ascii="Arial" w:cs="Arial" w:eastAsia="Arial" w:hAnsi="Arial"/>
          <w:sz w:val="16"/>
          <w:szCs w:val="16"/>
          <w:color w:val="auto"/>
        </w:rPr>
        <w:t xml:space="preserve"> of the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for purposes of this </w:t>
      </w:r>
      <w:r>
        <w:rPr>
          <w:rFonts w:ascii="Arial" w:cs="Arial" w:eastAsia="Arial" w:hAnsi="Arial"/>
          <w:sz w:val="16"/>
          <w:szCs w:val="16"/>
          <w:u w:val="single" w:color="auto"/>
          <w:color w:val="auto"/>
        </w:rPr>
        <w:t>Section 42.4(b)</w:t>
      </w:r>
      <w:r>
        <w:rPr>
          <w:rFonts w:ascii="Arial" w:cs="Arial" w:eastAsia="Arial" w:hAnsi="Arial"/>
          <w:sz w:val="16"/>
          <w:szCs w:val="16"/>
          <w:color w:val="auto"/>
        </w:rPr>
        <w:t xml:space="preserve">, Landlord shall not be required to provide Tenant with notice of such Default other than as required in </w:t>
      </w:r>
      <w:r>
        <w:rPr>
          <w:rFonts w:ascii="Arial" w:cs="Arial" w:eastAsia="Arial" w:hAnsi="Arial"/>
          <w:sz w:val="16"/>
          <w:szCs w:val="16"/>
          <w:u w:val="single" w:color="auto"/>
          <w:color w:val="auto"/>
        </w:rPr>
        <w:t>Section 31.4</w:t>
      </w:r>
      <w:r>
        <w:rPr>
          <w:rFonts w:ascii="Arial" w:cs="Arial" w:eastAsia="Arial" w:hAnsi="Arial"/>
          <w:sz w:val="16"/>
          <w:szCs w:val="16"/>
          <w:color w:val="auto"/>
        </w:rPr>
        <w:t>) and continuing until Tenant cures any such Default, if such Default is susceptible to being cured; or</w:t>
      </w:r>
    </w:p>
    <w:p>
      <w:pPr>
        <w:spacing w:after="0" w:line="165" w:lineRule="exact"/>
        <w:rPr>
          <w:rFonts w:ascii="Arial" w:cs="Arial" w:eastAsia="Arial" w:hAnsi="Arial"/>
          <w:sz w:val="16"/>
          <w:szCs w:val="16"/>
          <w:color w:val="auto"/>
        </w:rPr>
      </w:pPr>
    </w:p>
    <w:p>
      <w:pPr>
        <w:jc w:val="both"/>
        <w:ind w:right="20" w:firstLine="1129"/>
        <w:spacing w:after="0" w:line="257" w:lineRule="auto"/>
        <w:tabs>
          <w:tab w:leader="none" w:pos="159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In the event that Tenant has defaulted in the performance of its obligations under this Lease two (2) or more times and a service or late charge has become payable under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for each of such defaults during the twelve (12)-month period immediately prior to the date that Tenant intends to exercise an Option, whether or not Tenant has cured such defaults.</w:t>
      </w:r>
    </w:p>
    <w:p>
      <w:pPr>
        <w:spacing w:after="0" w:line="189" w:lineRule="exact"/>
        <w:rPr>
          <w:sz w:val="20"/>
          <w:szCs w:val="20"/>
          <w:color w:val="auto"/>
        </w:rPr>
      </w:pPr>
    </w:p>
    <w:p>
      <w:pPr>
        <w:jc w:val="both"/>
        <w:ind w:right="20" w:firstLine="567"/>
        <w:spacing w:after="0" w:line="267" w:lineRule="auto"/>
        <w:rPr>
          <w:sz w:val="20"/>
          <w:szCs w:val="20"/>
          <w:color w:val="auto"/>
        </w:rPr>
      </w:pPr>
      <w:r>
        <w:rPr>
          <w:rFonts w:ascii="Arial" w:cs="Arial" w:eastAsia="Arial" w:hAnsi="Arial"/>
          <w:sz w:val="16"/>
          <w:szCs w:val="16"/>
          <w:color w:val="auto"/>
        </w:rPr>
        <w:t xml:space="preserve">42.5. The period of time within which Tenant may exercise an Option shall not be extended or enlarged by reason of Tenant’s inability to exercise such Option because of the provisions of </w:t>
      </w:r>
      <w:r>
        <w:rPr>
          <w:rFonts w:ascii="Arial" w:cs="Arial" w:eastAsia="Arial" w:hAnsi="Arial"/>
          <w:sz w:val="16"/>
          <w:szCs w:val="16"/>
          <w:u w:val="single" w:color="auto"/>
          <w:color w:val="auto"/>
        </w:rPr>
        <w:t>Section 42.4</w:t>
      </w:r>
      <w:r>
        <w:rPr>
          <w:rFonts w:ascii="Arial" w:cs="Arial" w:eastAsia="Arial" w:hAnsi="Arial"/>
          <w:sz w:val="16"/>
          <w:szCs w:val="16"/>
          <w:color w:val="auto"/>
        </w:rPr>
        <w:t>.</w:t>
      </w:r>
    </w:p>
    <w:p>
      <w:pPr>
        <w:spacing w:after="0" w:line="181" w:lineRule="exact"/>
        <w:rPr>
          <w:sz w:val="20"/>
          <w:szCs w:val="20"/>
          <w:color w:val="auto"/>
        </w:rPr>
      </w:pPr>
    </w:p>
    <w:p>
      <w:pPr>
        <w:jc w:val="both"/>
        <w:ind w:right="20" w:firstLine="567"/>
        <w:spacing w:after="0" w:line="276" w:lineRule="auto"/>
        <w:rPr>
          <w:sz w:val="20"/>
          <w:szCs w:val="20"/>
          <w:color w:val="auto"/>
        </w:rPr>
      </w:pPr>
      <w:r>
        <w:rPr>
          <w:rFonts w:ascii="Arial" w:cs="Arial" w:eastAsia="Arial" w:hAnsi="Arial"/>
          <w:sz w:val="15"/>
          <w:szCs w:val="15"/>
          <w:color w:val="auto"/>
        </w:rPr>
        <w:t>42.6. All of Tenant’s rights under the provisions of an Option shall terminate and be of no further force or effect even after Tenant’s due and timely exercise of such Option if, after such exercise, but prior to the commencement date of the new term, (a) Tenant fails to pay to Landlord a monetary obligation of Tenant for a period of twenty (20) days after written notice from Landlord to Tenant, (b) Tenant fails to commence to cure a default (other than a monetary default) within thirty (30) days after the date Landlord gives notice to Tenant of such default or (c) Tenant has Defaulted under this Lease two (2) or more times, whether or not Tenant has cured such defaults.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THIS PAGE INTENTIONALLY LEFT BLANK]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01" w:name="page202"/>
    <w:bookmarkEnd w:id="201"/>
    <w:p>
      <w:pPr>
        <w:ind w:left="560"/>
        <w:spacing w:after="0"/>
        <w:rPr>
          <w:sz w:val="20"/>
          <w:szCs w:val="20"/>
          <w:color w:val="auto"/>
        </w:rPr>
      </w:pPr>
      <w:r>
        <w:rPr>
          <w:rFonts w:ascii="Arial" w:cs="Arial" w:eastAsia="Arial" w:hAnsi="Arial"/>
          <w:sz w:val="16"/>
          <w:szCs w:val="16"/>
          <w:color w:val="auto"/>
        </w:rPr>
        <w:t>IN WITNESS WHEREOF, the parties hereto have executed this Lease as of the date first above written.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LANDLORD</w:t>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BMR-6300 DUMBARTON CIRCLE LP,</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 Delaware limited partnership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 w:type="dxa"/>
            <w:vAlign w:val="bottom"/>
          </w:tcPr>
          <w:p>
            <w:pPr>
              <w:spacing w:after="0"/>
              <w:rPr>
                <w:sz w:val="20"/>
                <w:szCs w:val="20"/>
                <w:color w:val="auto"/>
              </w:rPr>
            </w:pPr>
            <w:r>
              <w:rPr>
                <w:rFonts w:ascii="Arial" w:cs="Arial" w:eastAsia="Arial" w:hAnsi="Arial"/>
                <w:sz w:val="16"/>
                <w:szCs w:val="16"/>
                <w:color w:val="auto"/>
              </w:rPr>
              <w:t>By:</w:t>
            </w:r>
          </w:p>
        </w:tc>
        <w:tc>
          <w:tcPr>
            <w:tcW w:w="47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s/Kent Griffin</w:t>
            </w:r>
          </w:p>
        </w:tc>
      </w:tr>
      <w:tr>
        <w:trPr>
          <w:trHeight w:val="200"/>
        </w:trPr>
        <w:tc>
          <w:tcPr>
            <w:tcW w:w="420" w:type="dxa"/>
            <w:vAlign w:val="bottom"/>
          </w:tcPr>
          <w:p>
            <w:pPr>
              <w:spacing w:after="0"/>
              <w:rPr>
                <w:sz w:val="20"/>
                <w:szCs w:val="20"/>
                <w:color w:val="auto"/>
              </w:rPr>
            </w:pPr>
            <w:r>
              <w:rPr>
                <w:rFonts w:ascii="Arial" w:cs="Arial" w:eastAsia="Arial" w:hAnsi="Arial"/>
                <w:sz w:val="16"/>
                <w:szCs w:val="16"/>
                <w:color w:val="auto"/>
                <w:w w:val="84"/>
              </w:rPr>
              <w:t>Name:</w:t>
            </w:r>
          </w:p>
        </w:tc>
        <w:tc>
          <w:tcPr>
            <w:tcW w:w="4760" w:type="dxa"/>
            <w:vAlign w:val="bottom"/>
          </w:tcPr>
          <w:p>
            <w:pPr>
              <w:ind w:left="780"/>
              <w:spacing w:after="0"/>
              <w:rPr>
                <w:sz w:val="20"/>
                <w:szCs w:val="20"/>
                <w:color w:val="auto"/>
              </w:rPr>
            </w:pPr>
            <w:r>
              <w:rPr>
                <w:rFonts w:ascii="Arial" w:cs="Arial" w:eastAsia="Arial" w:hAnsi="Arial"/>
                <w:sz w:val="16"/>
                <w:szCs w:val="16"/>
                <w:color w:val="auto"/>
              </w:rPr>
              <w:t>Kent Griffin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-6350</wp:posOffset>
            </wp:positionV>
            <wp:extent cx="3016250"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016250" cy="15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Title: President,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10795</wp:posOffset>
            </wp:positionV>
            <wp:extent cx="3016250"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016250" cy="1524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TENANT</w:t>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ASTERIAS BIOTHERAPEUTICS,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 w:type="dxa"/>
            <w:vAlign w:val="bottom"/>
          </w:tcPr>
          <w:p>
            <w:pPr>
              <w:spacing w:after="0"/>
              <w:rPr>
                <w:sz w:val="20"/>
                <w:szCs w:val="20"/>
                <w:color w:val="auto"/>
              </w:rPr>
            </w:pPr>
            <w:r>
              <w:rPr>
                <w:rFonts w:ascii="Arial" w:cs="Arial" w:eastAsia="Arial" w:hAnsi="Arial"/>
                <w:sz w:val="16"/>
                <w:szCs w:val="16"/>
                <w:color w:val="auto"/>
              </w:rPr>
              <w:t>By:</w:t>
            </w:r>
          </w:p>
        </w:tc>
        <w:tc>
          <w:tcPr>
            <w:tcW w:w="47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s/Thomas Okarma</w:t>
            </w:r>
          </w:p>
        </w:tc>
        <w:tc>
          <w:tcPr>
            <w:tcW w:w="6260" w:type="dxa"/>
            <w:vAlign w:val="bottom"/>
          </w:tcPr>
          <w:p>
            <w:pPr>
              <w:spacing w:after="0"/>
              <w:rPr>
                <w:sz w:val="17"/>
                <w:szCs w:val="17"/>
                <w:color w:val="auto"/>
              </w:rPr>
            </w:pPr>
          </w:p>
        </w:tc>
      </w:tr>
      <w:tr>
        <w:trPr>
          <w:trHeight w:val="193"/>
        </w:trPr>
        <w:tc>
          <w:tcPr>
            <w:tcW w:w="420" w:type="dxa"/>
            <w:vAlign w:val="bottom"/>
          </w:tcPr>
          <w:p>
            <w:pPr>
              <w:spacing w:after="0"/>
              <w:rPr>
                <w:sz w:val="20"/>
                <w:szCs w:val="20"/>
                <w:color w:val="auto"/>
              </w:rPr>
            </w:pPr>
            <w:r>
              <w:rPr>
                <w:rFonts w:ascii="Arial" w:cs="Arial" w:eastAsia="Arial" w:hAnsi="Arial"/>
                <w:sz w:val="16"/>
                <w:szCs w:val="16"/>
                <w:color w:val="auto"/>
                <w:w w:val="84"/>
              </w:rPr>
              <w:t>Name:</w:t>
            </w:r>
          </w:p>
        </w:tc>
        <w:tc>
          <w:tcPr>
            <w:tcW w:w="47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Thomas Okarma</w:t>
            </w:r>
          </w:p>
        </w:tc>
        <w:tc>
          <w:tcPr>
            <w:tcW w:w="6260" w:type="dxa"/>
            <w:vAlign w:val="bottom"/>
          </w:tcPr>
          <w:p>
            <w:pPr>
              <w:spacing w:after="0"/>
              <w:rPr>
                <w:sz w:val="16"/>
                <w:szCs w:val="16"/>
                <w:color w:val="auto"/>
              </w:rPr>
            </w:pPr>
          </w:p>
        </w:tc>
      </w:tr>
      <w:tr>
        <w:trPr>
          <w:trHeight w:val="193"/>
        </w:trPr>
        <w:tc>
          <w:tcPr>
            <w:tcW w:w="420" w:type="dxa"/>
            <w:vAlign w:val="bottom"/>
          </w:tcPr>
          <w:p>
            <w:pPr>
              <w:spacing w:after="0"/>
              <w:rPr>
                <w:sz w:val="20"/>
                <w:szCs w:val="20"/>
                <w:color w:val="auto"/>
              </w:rPr>
            </w:pPr>
            <w:r>
              <w:rPr>
                <w:rFonts w:ascii="Arial" w:cs="Arial" w:eastAsia="Arial" w:hAnsi="Arial"/>
                <w:sz w:val="16"/>
                <w:szCs w:val="16"/>
                <w:color w:val="auto"/>
              </w:rPr>
              <w:t>Title:</w:t>
            </w:r>
          </w:p>
        </w:tc>
        <w:tc>
          <w:tcPr>
            <w:tcW w:w="47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President and CEO</w:t>
            </w:r>
          </w:p>
        </w:tc>
        <w:tc>
          <w:tcPr>
            <w:tcW w:w="6260" w:type="dxa"/>
            <w:vAlign w:val="bottom"/>
          </w:tcPr>
          <w:p>
            <w:pPr>
              <w:spacing w:after="0"/>
              <w:rPr>
                <w:sz w:val="16"/>
                <w:szCs w:val="16"/>
                <w:color w:val="auto"/>
              </w:rPr>
            </w:pPr>
          </w:p>
        </w:tc>
      </w:tr>
      <w:tr>
        <w:trPr>
          <w:trHeight w:val="370"/>
        </w:trPr>
        <w:tc>
          <w:tcPr>
            <w:tcW w:w="4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127" w:right="21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6"/>
          <w:szCs w:val="16"/>
          <w:b w:val="1"/>
          <w:bCs w:val="1"/>
          <w:color w:val="auto"/>
        </w:rPr>
        <w:t>EXHIBIT A</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140970</wp:posOffset>
            </wp:positionV>
            <wp:extent cx="4539615" cy="5868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539615" cy="586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27940</wp:posOffset>
            </wp:positionV>
            <wp:extent cx="726376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03" w:name="page204"/>
    <w:bookmarkEnd w:id="203"/>
    <w:p>
      <w:pPr>
        <w:jc w:val="center"/>
        <w:ind w:right="-4"/>
        <w:spacing w:after="0"/>
        <w:rPr>
          <w:sz w:val="20"/>
          <w:szCs w:val="20"/>
          <w:color w:val="auto"/>
        </w:rPr>
      </w:pPr>
      <w:r>
        <w:rPr>
          <w:rFonts w:ascii="Arial" w:cs="Arial" w:eastAsia="Arial" w:hAnsi="Arial"/>
          <w:sz w:val="16"/>
          <w:szCs w:val="16"/>
          <w:b w:val="1"/>
          <w:bCs w:val="1"/>
          <w:color w:val="auto"/>
        </w:rPr>
        <w:t>EXHIBIT B</w:t>
      </w:r>
    </w:p>
    <w:p>
      <w:pPr>
        <w:spacing w:after="0" w:line="21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u w:val="single" w:color="auto"/>
          <w:color w:val="auto"/>
        </w:rPr>
        <w:t>WORK LETTER</w:t>
      </w:r>
    </w:p>
    <w:p>
      <w:pPr>
        <w:spacing w:after="0" w:line="222" w:lineRule="exact"/>
        <w:rPr>
          <w:sz w:val="20"/>
          <w:szCs w:val="20"/>
          <w:color w:val="auto"/>
        </w:rPr>
      </w:pPr>
    </w:p>
    <w:p>
      <w:pPr>
        <w:jc w:val="both"/>
        <w:ind w:left="5" w:right="20" w:firstLine="567"/>
        <w:spacing w:after="0" w:line="251" w:lineRule="auto"/>
        <w:rPr>
          <w:sz w:val="20"/>
          <w:szCs w:val="20"/>
          <w:color w:val="auto"/>
        </w:rPr>
      </w:pPr>
      <w:r>
        <w:rPr>
          <w:rFonts w:ascii="Arial" w:cs="Arial" w:eastAsia="Arial" w:hAnsi="Arial"/>
          <w:sz w:val="16"/>
          <w:szCs w:val="16"/>
          <w:color w:val="auto"/>
        </w:rPr>
        <w:t>This Work Letter (this “</w:t>
      </w:r>
      <w:r>
        <w:rPr>
          <w:rFonts w:ascii="Arial" w:cs="Arial" w:eastAsia="Arial" w:hAnsi="Arial"/>
          <w:sz w:val="16"/>
          <w:szCs w:val="16"/>
          <w:u w:val="single" w:color="auto"/>
          <w:color w:val="auto"/>
        </w:rPr>
        <w:t>Work Letter</w:t>
      </w:r>
      <w:r>
        <w:rPr>
          <w:rFonts w:ascii="Arial" w:cs="Arial" w:eastAsia="Arial" w:hAnsi="Arial"/>
          <w:sz w:val="16"/>
          <w:szCs w:val="16"/>
          <w:color w:val="auto"/>
        </w:rPr>
        <w:t>”) is made and entered into as of the 30th day of December, 2013, by and between BMR-6300 DUMBARTON CIRCLE LP, a Delaware limited partnership (“</w:t>
      </w:r>
      <w:r>
        <w:rPr>
          <w:rFonts w:ascii="Arial" w:cs="Arial" w:eastAsia="Arial" w:hAnsi="Arial"/>
          <w:sz w:val="16"/>
          <w:szCs w:val="16"/>
          <w:u w:val="single" w:color="auto"/>
          <w:color w:val="auto"/>
        </w:rPr>
        <w:t>Landlord</w:t>
      </w:r>
      <w:r>
        <w:rPr>
          <w:rFonts w:ascii="Arial" w:cs="Arial" w:eastAsia="Arial" w:hAnsi="Arial"/>
          <w:sz w:val="16"/>
          <w:szCs w:val="16"/>
          <w:color w:val="auto"/>
        </w:rPr>
        <w:t>”), and ASTERIAS BIOTHERAPEUTICS, INC., a Delaware corporation (“</w:t>
      </w:r>
      <w:r>
        <w:rPr>
          <w:rFonts w:ascii="Arial" w:cs="Arial" w:eastAsia="Arial" w:hAnsi="Arial"/>
          <w:sz w:val="16"/>
          <w:szCs w:val="16"/>
          <w:u w:val="single" w:color="auto"/>
          <w:color w:val="auto"/>
        </w:rPr>
        <w:t>Tenant</w:t>
      </w:r>
      <w:r>
        <w:rPr>
          <w:rFonts w:ascii="Arial" w:cs="Arial" w:eastAsia="Arial" w:hAnsi="Arial"/>
          <w:sz w:val="16"/>
          <w:szCs w:val="16"/>
          <w:color w:val="auto"/>
        </w:rPr>
        <w:t>”), and is attached to and made a part of that certain Lease dated as of December 30, 2013 (as the same may be amended, amended and restated, supplemented or otherwise modified from time to time, the “</w:t>
      </w:r>
      <w:r>
        <w:rPr>
          <w:rFonts w:ascii="Arial" w:cs="Arial" w:eastAsia="Arial" w:hAnsi="Arial"/>
          <w:sz w:val="16"/>
          <w:szCs w:val="16"/>
          <w:u w:val="single" w:color="auto"/>
          <w:color w:val="auto"/>
        </w:rPr>
        <w:t>Lease</w:t>
      </w:r>
      <w:r>
        <w:rPr>
          <w:rFonts w:ascii="Arial" w:cs="Arial" w:eastAsia="Arial" w:hAnsi="Arial"/>
          <w:sz w:val="16"/>
          <w:szCs w:val="16"/>
          <w:color w:val="auto"/>
        </w:rPr>
        <w:t>”), by and between Landlord and Tenant for the Premises located at 6300 Dumbarton Circle, Fremont, California. All capitalized terms used but not otherwise defined herein shall have the meanings given them in the Lease.</w:t>
      </w:r>
    </w:p>
    <w:p>
      <w:pPr>
        <w:spacing w:after="0" w:line="196" w:lineRule="exact"/>
        <w:rPr>
          <w:sz w:val="20"/>
          <w:szCs w:val="20"/>
          <w:color w:val="auto"/>
        </w:rPr>
      </w:pPr>
    </w:p>
    <w:p>
      <w:pPr>
        <w:ind w:left="505" w:hanging="505"/>
        <w:spacing w:after="0"/>
        <w:tabs>
          <w:tab w:leader="none" w:pos="505"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General Requirements</w:t>
      </w:r>
      <w:r>
        <w:rPr>
          <w:rFonts w:ascii="Arial" w:cs="Arial" w:eastAsia="Arial" w:hAnsi="Arial"/>
          <w:sz w:val="16"/>
          <w:szCs w:val="16"/>
          <w:color w:val="auto"/>
        </w:rPr>
        <w:t>.</w:t>
      </w:r>
    </w:p>
    <w:p>
      <w:pPr>
        <w:spacing w:after="0" w:line="218" w:lineRule="exact"/>
        <w:rPr>
          <w:sz w:val="20"/>
          <w:szCs w:val="20"/>
          <w:color w:val="auto"/>
        </w:rPr>
      </w:pPr>
    </w:p>
    <w:p>
      <w:pPr>
        <w:ind w:left="565"/>
        <w:spacing w:after="0"/>
        <w:tabs>
          <w:tab w:leader="none" w:pos="1085"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u w:val="single" w:color="auto"/>
          <w:color w:val="auto"/>
        </w:rPr>
        <w:t>Authorized Representatives</w:t>
      </w:r>
      <w:r>
        <w:rPr>
          <w:rFonts w:ascii="Arial" w:cs="Arial" w:eastAsia="Arial" w:hAnsi="Arial"/>
          <w:sz w:val="14"/>
          <w:szCs w:val="14"/>
          <w:color w:val="auto"/>
        </w:rPr>
        <w:t>.</w:t>
      </w:r>
    </w:p>
    <w:p>
      <w:pPr>
        <w:spacing w:after="0" w:line="218" w:lineRule="exact"/>
        <w:rPr>
          <w:sz w:val="20"/>
          <w:szCs w:val="20"/>
          <w:color w:val="auto"/>
        </w:rPr>
      </w:pPr>
    </w:p>
    <w:p>
      <w:pPr>
        <w:jc w:val="both"/>
        <w:ind w:left="5" w:right="20" w:firstLine="1129"/>
        <w:spacing w:after="0" w:line="301" w:lineRule="auto"/>
        <w:tabs>
          <w:tab w:leader="none" w:pos="1687" w:val="left"/>
        </w:tabs>
        <w:numPr>
          <w:ilvl w:val="0"/>
          <w:numId w:val="115"/>
        </w:numPr>
        <w:rPr>
          <w:rFonts w:ascii="Arial" w:cs="Arial" w:eastAsia="Arial" w:hAnsi="Arial"/>
          <w:sz w:val="14"/>
          <w:szCs w:val="14"/>
          <w:color w:val="auto"/>
        </w:rPr>
      </w:pPr>
      <w:r>
        <w:rPr>
          <w:rFonts w:ascii="Arial" w:cs="Arial" w:eastAsia="Arial" w:hAnsi="Arial"/>
          <w:sz w:val="14"/>
          <w:szCs w:val="14"/>
          <w:color w:val="auto"/>
        </w:rPr>
        <w:t>Landlord designates, as Landlord’s authorized representative (“</w:t>
      </w:r>
      <w:r>
        <w:rPr>
          <w:rFonts w:ascii="Arial" w:cs="Arial" w:eastAsia="Arial" w:hAnsi="Arial"/>
          <w:sz w:val="14"/>
          <w:szCs w:val="14"/>
          <w:u w:val="single" w:color="auto"/>
          <w:color w:val="auto"/>
        </w:rPr>
        <w:t>Landlord’s Authorized Representative</w:t>
      </w:r>
      <w:r>
        <w:rPr>
          <w:rFonts w:ascii="Arial" w:cs="Arial" w:eastAsia="Arial" w:hAnsi="Arial"/>
          <w:sz w:val="14"/>
          <w:szCs w:val="14"/>
          <w:color w:val="auto"/>
        </w:rPr>
        <w:t>”), (i) Andrew Richard as the person authorized to initial plans, drawings and approvals and to sign change orders pursuant to this Work Letter and (ii) an officer of Landlord as the person authorized to sign any amendments to this Work Letter or the Lease. Tenant shall not be obligated to respond to or act upon any such item until such item has been initialed or signed (as applicable) by the appropriate Landlord’s Authorized Representative. Landlord may change either Landlord’s Authorized Representative upon one (1) business day’s prior written notice to Tenant.</w:t>
      </w:r>
    </w:p>
    <w:p>
      <w:pPr>
        <w:spacing w:after="0" w:line="161" w:lineRule="exact"/>
        <w:rPr>
          <w:rFonts w:ascii="Arial" w:cs="Arial" w:eastAsia="Arial" w:hAnsi="Arial"/>
          <w:sz w:val="14"/>
          <w:szCs w:val="14"/>
          <w:color w:val="auto"/>
        </w:rPr>
      </w:pPr>
    </w:p>
    <w:p>
      <w:pPr>
        <w:jc w:val="both"/>
        <w:ind w:left="5" w:firstLine="1129"/>
        <w:spacing w:after="0" w:line="282" w:lineRule="auto"/>
        <w:tabs>
          <w:tab w:leader="none" w:pos="1649"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Tenant designates Thomas Okarma (“</w:t>
      </w:r>
      <w:r>
        <w:rPr>
          <w:rFonts w:ascii="Arial" w:cs="Arial" w:eastAsia="Arial" w:hAnsi="Arial"/>
          <w:sz w:val="15"/>
          <w:szCs w:val="15"/>
          <w:u w:val="single" w:color="auto"/>
          <w:color w:val="auto"/>
        </w:rPr>
        <w:t>Tenant’s Authorized Representative</w:t>
      </w:r>
      <w:r>
        <w:rPr>
          <w:rFonts w:ascii="Arial" w:cs="Arial" w:eastAsia="Arial" w:hAnsi="Arial"/>
          <w:sz w:val="15"/>
          <w:szCs w:val="15"/>
          <w:color w:val="auto"/>
        </w:rPr>
        <w:t>”) as the person authorized to initial and sign all plans, drawings, change orders and approvals pursuant to this Work Letter. Landlord shall not be obligated to respond to or act upon any such item until such item has been initialed or signed (as applicable) by Tenant’s Authorized Representative. Tenant may change Tenant’s Authorized Representative upon one (1) business day’s prior written notice to Landlord.</w:t>
      </w:r>
    </w:p>
    <w:p>
      <w:pPr>
        <w:spacing w:after="0" w:line="172" w:lineRule="exact"/>
        <w:rPr>
          <w:sz w:val="20"/>
          <w:szCs w:val="20"/>
          <w:color w:val="auto"/>
        </w:rPr>
      </w:pPr>
    </w:p>
    <w:p>
      <w:pPr>
        <w:jc w:val="both"/>
        <w:ind w:left="5" w:firstLine="567"/>
        <w:spacing w:after="0" w:line="269"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Schedule</w:t>
      </w:r>
      <w:r>
        <w:rPr>
          <w:rFonts w:ascii="Arial" w:cs="Arial" w:eastAsia="Arial" w:hAnsi="Arial"/>
          <w:sz w:val="15"/>
          <w:szCs w:val="15"/>
          <w:color w:val="auto"/>
        </w:rPr>
        <w:t>. The schedule for design and development of the Tenant Improvements, including the time periods for preparation and review of construction documents, approvals and performance, shall be in accordance with a schedule to be prepared by Tenant (the “</w:t>
      </w:r>
      <w:r>
        <w:rPr>
          <w:rFonts w:ascii="Arial" w:cs="Arial" w:eastAsia="Arial" w:hAnsi="Arial"/>
          <w:sz w:val="15"/>
          <w:szCs w:val="15"/>
          <w:u w:val="single" w:color="auto"/>
          <w:color w:val="auto"/>
        </w:rPr>
        <w:t>Schedule</w:t>
      </w:r>
      <w:r>
        <w:rPr>
          <w:rFonts w:ascii="Arial" w:cs="Arial" w:eastAsia="Arial" w:hAnsi="Arial"/>
          <w:sz w:val="15"/>
          <w:szCs w:val="15"/>
          <w:color w:val="auto"/>
        </w:rPr>
        <w:t>”). Tenant shall prepare the Schedule so that it is a reasonable schedule for the completion of the Tenant Improvements. As soon as the Schedule is completed, Tenant shall deliver the same to Landlord for Landlord’s approval, which approval shall not be unreasonably withheld, conditioned or delayed. Such Schedule shall be approved or disapproved by Landlord within seven (7) business days after delivery to Landlord. Landlord’s failure to respond within such seven (7) business day period shall be deemed approval by Landlord. If Landlord disapproves the Schedule, then Landlord shall notify Tenant in writing of its objections to such Schedule, and the parties shall confer and negotiate in good faith to reach agreement on the Schedule. The Schedule shall be subject to adjustment as mutually agreed upon in writing by the parties, or as provided in this Work Letter.</w:t>
      </w:r>
    </w:p>
    <w:p>
      <w:pPr>
        <w:spacing w:after="0" w:line="121"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3" w:right="219" w:bottom="1440" w:gutter="0" w:footer="0" w:header="0"/>
        </w:sectPr>
      </w:pPr>
    </w:p>
    <w:bookmarkStart w:id="204" w:name="page205"/>
    <w:bookmarkEnd w:id="204"/>
    <w:p>
      <w:pPr>
        <w:jc w:val="both"/>
        <w:ind w:left="5" w:right="20" w:firstLine="567"/>
        <w:spacing w:after="0" w:line="251"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Tenant’s Architects, Contractors and Consultants</w:t>
      </w:r>
      <w:r>
        <w:rPr>
          <w:rFonts w:ascii="Arial" w:cs="Arial" w:eastAsia="Arial" w:hAnsi="Arial"/>
          <w:sz w:val="16"/>
          <w:szCs w:val="16"/>
          <w:color w:val="auto"/>
        </w:rPr>
        <w:t>. The architect, engineering consultants, design team, general contractor and subcontractors responsible for the construction of the Tenant Improvements shall be selected by Tenant and approved by Landlord, which approval Landlord shall not unreasonably withhold, condition or delay. Landlord may refuse to use any architects, consultants, contractors, subcontractors or material suppliers that Landlord reasonably believes could cause labor disharmony. All Tenant contracts related to the Tenant Improvements shall provide that Tenant may assign such contracts and any warranties with respect to the Tenant Improvements to Landlord at any time.</w:t>
      </w:r>
    </w:p>
    <w:p>
      <w:pPr>
        <w:spacing w:after="0" w:line="196" w:lineRule="exact"/>
        <w:rPr>
          <w:sz w:val="20"/>
          <w:szCs w:val="20"/>
          <w:color w:val="auto"/>
        </w:rPr>
      </w:pPr>
    </w:p>
    <w:p>
      <w:pPr>
        <w:jc w:val="both"/>
        <w:ind w:left="5" w:hanging="5"/>
        <w:spacing w:after="0" w:line="266" w:lineRule="auto"/>
        <w:tabs>
          <w:tab w:leader="none" w:pos="519" w:val="left"/>
        </w:tabs>
        <w:numPr>
          <w:ilvl w:val="0"/>
          <w:numId w:val="116"/>
        </w:numPr>
        <w:rPr>
          <w:rFonts w:ascii="Arial" w:cs="Arial" w:eastAsia="Arial" w:hAnsi="Arial"/>
          <w:sz w:val="15"/>
          <w:szCs w:val="15"/>
          <w:color w:val="auto"/>
        </w:rPr>
      </w:pPr>
      <w:r>
        <w:rPr>
          <w:rFonts w:ascii="Arial" w:cs="Arial" w:eastAsia="Arial" w:hAnsi="Arial"/>
          <w:sz w:val="15"/>
          <w:szCs w:val="15"/>
          <w:u w:val="single" w:color="auto"/>
          <w:color w:val="auto"/>
        </w:rPr>
        <w:t>Tenant Improvements</w:t>
      </w:r>
      <w:r>
        <w:rPr>
          <w:rFonts w:ascii="Arial" w:cs="Arial" w:eastAsia="Arial" w:hAnsi="Arial"/>
          <w:sz w:val="15"/>
          <w:szCs w:val="15"/>
          <w:color w:val="auto"/>
        </w:rPr>
        <w:t>. All Tenant Improvements shall be performed by Tenant’s contractor, at Tenant’s sole cost and expense (subject to Landlord’s obligations with respect to any portion of the TI Allowance and in accordance with the Approved Plans (as defined below), the Lease and this Work Letter. To the extent that the total projected cost of the Tenant Improvements (as projected by Landlord) exceeds the TI Allowance (such excess, the “</w:t>
      </w:r>
      <w:r>
        <w:rPr>
          <w:rFonts w:ascii="Arial" w:cs="Arial" w:eastAsia="Arial" w:hAnsi="Arial"/>
          <w:sz w:val="15"/>
          <w:szCs w:val="15"/>
          <w:u w:val="single" w:color="auto"/>
          <w:color w:val="auto"/>
        </w:rPr>
        <w:t>Excess TI Costs</w:t>
      </w:r>
      <w:r>
        <w:rPr>
          <w:rFonts w:ascii="Arial" w:cs="Arial" w:eastAsia="Arial" w:hAnsi="Arial"/>
          <w:sz w:val="15"/>
          <w:szCs w:val="15"/>
          <w:color w:val="auto"/>
        </w:rPr>
        <w:t xml:space="preserve">”), Tenant shall advance to Landlord any Excess TI Costs within ten (10) days after receipt of an invoice therefor, but in any case before Tenant commences the Tenant Improvements. If the actual Excess TI Costs are less than the Excess TI Costs paid by Tenant to Landlord, the provisions of Section 6.1 shall apply to the overage paid by Tenant. If the cost of the Tenant Improvements (as projected by Landlord) increases over Landlord’s initial projection, then Landlord may notify Tenant and Tenant shall deposit any additional Excess TI Costs with Landlord in the same way that Tenant deposited the initial Excess TI Costs. If Tenant fails to pay, or is late in paying, any sum due to Landlord under this Work Letter, then Landlord shall have all of the rights and remedies set forth in the Lease for nonpayment of Rent (including the right to interest and the right to assess a late charge), and for purposes of any litigation instituted with regard to such amounts the same shall be considered Rent. All material and equipment furnished by Tenant or its contractors as the Tenant Improvements shall be new or “like new;” the Tenant Improvements shall be performed in a first-class, workmanlike manner; and the quality of the Tenant Improvements shall be of a nature and character not less than the Building Standard. Tenant shall take, and shall require its contractors to take, commercially reasonable steps to protect the Premises during the performance of any Tenant Improvements, including covering or temporarily removing any window coverings so as to guard against dust, debris or damage. All Tenant Improvements shall be performed in accordance with </w:t>
      </w:r>
      <w:r>
        <w:rPr>
          <w:rFonts w:ascii="Arial" w:cs="Arial" w:eastAsia="Arial" w:hAnsi="Arial"/>
          <w:sz w:val="15"/>
          <w:szCs w:val="15"/>
          <w:u w:val="single" w:color="auto"/>
          <w:color w:val="auto"/>
        </w:rPr>
        <w:t>Article 17</w:t>
      </w:r>
      <w:r>
        <w:rPr>
          <w:rFonts w:ascii="Arial" w:cs="Arial" w:eastAsia="Arial" w:hAnsi="Arial"/>
          <w:sz w:val="15"/>
          <w:szCs w:val="15"/>
          <w:color w:val="auto"/>
        </w:rPr>
        <w:t xml:space="preserve"> of the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notwithstanding anything in the Lease or this Work Letter to the contrary, in the event of a conflict between this Work Letter and </w:t>
      </w:r>
      <w:r>
        <w:rPr>
          <w:rFonts w:ascii="Arial" w:cs="Arial" w:eastAsia="Arial" w:hAnsi="Arial"/>
          <w:sz w:val="15"/>
          <w:szCs w:val="15"/>
          <w:u w:val="single" w:color="auto"/>
          <w:color w:val="auto"/>
        </w:rPr>
        <w:t>Article 17</w:t>
      </w:r>
      <w:r>
        <w:rPr>
          <w:rFonts w:ascii="Arial" w:cs="Arial" w:eastAsia="Arial" w:hAnsi="Arial"/>
          <w:sz w:val="15"/>
          <w:szCs w:val="15"/>
          <w:color w:val="auto"/>
        </w:rPr>
        <w:t xml:space="preserve"> of the Lease, the terms of this Work Letter shall govern.</w:t>
      </w:r>
    </w:p>
    <w:p>
      <w:pPr>
        <w:spacing w:after="0" w:line="183" w:lineRule="exact"/>
        <w:rPr>
          <w:sz w:val="20"/>
          <w:szCs w:val="20"/>
          <w:color w:val="auto"/>
        </w:rPr>
      </w:pPr>
    </w:p>
    <w:p>
      <w:pPr>
        <w:jc w:val="both"/>
        <w:ind w:left="5" w:firstLine="567"/>
        <w:spacing w:after="0" w:line="289"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Work Plans</w:t>
      </w:r>
      <w:r>
        <w:rPr>
          <w:rFonts w:ascii="Arial" w:cs="Arial" w:eastAsia="Arial" w:hAnsi="Arial"/>
          <w:sz w:val="14"/>
          <w:szCs w:val="14"/>
          <w:color w:val="auto"/>
        </w:rPr>
        <w:t>. Tenant shall prepare and submit to Landlord for approval schematics covering the Tenant Improvements prepared in conformity with the applicable provisions of this Work Letter (the “</w:t>
      </w:r>
      <w:r>
        <w:rPr>
          <w:rFonts w:ascii="Arial" w:cs="Arial" w:eastAsia="Arial" w:hAnsi="Arial"/>
          <w:sz w:val="14"/>
          <w:szCs w:val="14"/>
          <w:u w:val="single" w:color="auto"/>
          <w:color w:val="auto"/>
        </w:rPr>
        <w:t>Draft Schematic Plans</w:t>
      </w:r>
      <w:r>
        <w:rPr>
          <w:rFonts w:ascii="Arial" w:cs="Arial" w:eastAsia="Arial" w:hAnsi="Arial"/>
          <w:sz w:val="14"/>
          <w:szCs w:val="14"/>
          <w:color w:val="auto"/>
        </w:rPr>
        <w:t>”). The Draft Schematic Plans shall contain sufficient information and detail to accurately describe the proposed design to Landlord and such other information as Landlord may reasonably request. Landlord shall notify Tenant in writing within ten (10) business days after receipt of the Draft Schematic Plans whether Landlord approves or objects to the Draft Schematic Plans and of the manner, if any, in which the Draft Schematic Plans are unacceptable. Landlord’s failure to respond within such ten (10) business day period shall be deemed approval by Landlord. If Landlord reasonably objects to the Draft Schematic Plans, then Tenant shall revise the Draft Schematic Plans and cause Landlord’s objections to be remedied in the revised Draft Schematic Plans. Tenant shall then resubmit the revised Draft Schematic Plans to Landlord for approval, such approval not to be unreasonably withheld, conditioned or delayed. Landlord’s approval of or objection to revised Draft Schematic Plans and Tenant’s correction of the same shall be in accordance with this Section until Landlord has approved the Draft Schematic Plans in writing or been deemed to have approved them. The iteration of the Draft Schematic Plans that is approved or deemed approved by Landlord without objection shall be referred to herein as the “</w:t>
      </w:r>
      <w:r>
        <w:rPr>
          <w:rFonts w:ascii="Arial" w:cs="Arial" w:eastAsia="Arial" w:hAnsi="Arial"/>
          <w:sz w:val="14"/>
          <w:szCs w:val="14"/>
          <w:u w:val="single" w:color="auto"/>
          <w:color w:val="auto"/>
        </w:rPr>
        <w:t>Approved Schematic Plans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05" w:name="page206"/>
    <w:bookmarkEnd w:id="205"/>
    <w:p>
      <w:pPr>
        <w:jc w:val="both"/>
        <w:ind w:firstLine="567"/>
        <w:spacing w:after="0" w:line="267"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Construction Plans</w:t>
      </w:r>
      <w:r>
        <w:rPr>
          <w:rFonts w:ascii="Arial" w:cs="Arial" w:eastAsia="Arial" w:hAnsi="Arial"/>
          <w:sz w:val="15"/>
          <w:szCs w:val="15"/>
          <w:color w:val="auto"/>
        </w:rPr>
        <w:t>. Tenant shall prepare final plans and specifications for the Tenant Improvements that (a) are consistent with and are logical evolutions of the Approved Schematic Plans and (b) incorporate any other Tenant-requested (and Landlord-approved) Changes (as defined below). As soon as such final plans and specifications (“</w:t>
      </w:r>
      <w:r>
        <w:rPr>
          <w:rFonts w:ascii="Arial" w:cs="Arial" w:eastAsia="Arial" w:hAnsi="Arial"/>
          <w:sz w:val="15"/>
          <w:szCs w:val="15"/>
          <w:u w:val="single" w:color="auto"/>
          <w:color w:val="auto"/>
        </w:rPr>
        <w:t>Construction Plans</w:t>
      </w:r>
      <w:r>
        <w:rPr>
          <w:rFonts w:ascii="Arial" w:cs="Arial" w:eastAsia="Arial" w:hAnsi="Arial"/>
          <w:sz w:val="15"/>
          <w:szCs w:val="15"/>
          <w:color w:val="auto"/>
        </w:rPr>
        <w:t>”) are completed, Tenant shall deliver the same to Landlord for Landlord’s approval, which approval shall not be unreasonably withheld, conditioned or delayed. Such Construction Plans shall be approved or disapproved by Landlord within ten (10) business days after delivery to Landlord. Landlord’s failure to respond within such ten (10) business day period shall be deemed approval by Landlord. If the Construction Plans are disapproved by Landlord, then Landlord shall notify Tenant in writing of its objections to such Construction Plans, and the parties shall confer and negotiate in good faith to reach agreement on the Construction Plans. Promptly after the Construction Plans are approved by Landlord and Tenant, two (2) copies of such Construction Plans shall be initialed and dated by Landlord and Tenant, and Tenant shall promptly submit such Construction Plans to all appropriate Governmental Authorities for approval. The Construction Plans so approved, and all change orders specifically permitted by this Work Letter, are referred to herein as the “</w:t>
      </w:r>
      <w:r>
        <w:rPr>
          <w:rFonts w:ascii="Arial" w:cs="Arial" w:eastAsia="Arial" w:hAnsi="Arial"/>
          <w:sz w:val="15"/>
          <w:szCs w:val="15"/>
          <w:u w:val="single" w:color="auto"/>
          <w:color w:val="auto"/>
        </w:rPr>
        <w:t>Approved Plans</w:t>
      </w:r>
      <w:r>
        <w:rPr>
          <w:rFonts w:ascii="Arial" w:cs="Arial" w:eastAsia="Arial" w:hAnsi="Arial"/>
          <w:sz w:val="15"/>
          <w:szCs w:val="15"/>
          <w:color w:val="auto"/>
        </w:rPr>
        <w:t>.”</w:t>
      </w:r>
    </w:p>
    <w:p>
      <w:pPr>
        <w:spacing w:after="0" w:line="187" w:lineRule="exact"/>
        <w:rPr>
          <w:sz w:val="20"/>
          <w:szCs w:val="20"/>
          <w:color w:val="auto"/>
        </w:rPr>
      </w:pPr>
    </w:p>
    <w:p>
      <w:pPr>
        <w:jc w:val="both"/>
        <w:ind w:firstLine="567"/>
        <w:spacing w:after="0" w:line="26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Changes to the Tenant Improvements</w:t>
      </w:r>
      <w:r>
        <w:rPr>
          <w:rFonts w:ascii="Arial" w:cs="Arial" w:eastAsia="Arial" w:hAnsi="Arial"/>
          <w:sz w:val="16"/>
          <w:szCs w:val="16"/>
          <w:color w:val="auto"/>
        </w:rPr>
        <w:t>. Any changes to the Approved Plans (each, a “</w:t>
      </w:r>
      <w:r>
        <w:rPr>
          <w:rFonts w:ascii="Arial" w:cs="Arial" w:eastAsia="Arial" w:hAnsi="Arial"/>
          <w:sz w:val="16"/>
          <w:szCs w:val="16"/>
          <w:u w:val="single" w:color="auto"/>
          <w:color w:val="auto"/>
        </w:rPr>
        <w:t>Change</w:t>
      </w:r>
      <w:r>
        <w:rPr>
          <w:rFonts w:ascii="Arial" w:cs="Arial" w:eastAsia="Arial" w:hAnsi="Arial"/>
          <w:sz w:val="16"/>
          <w:szCs w:val="16"/>
          <w:color w:val="auto"/>
        </w:rPr>
        <w:t xml:space="preserve">”) shall be requested and instituted in accordance with the provisions of this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and shall be subject to the written approval of the non-requesting party in accordance with this Work Letter.</w:t>
      </w:r>
    </w:p>
    <w:p>
      <w:pPr>
        <w:spacing w:after="0" w:line="181" w:lineRule="exact"/>
        <w:rPr>
          <w:sz w:val="20"/>
          <w:szCs w:val="20"/>
          <w:color w:val="auto"/>
        </w:rPr>
      </w:pPr>
    </w:p>
    <w:p>
      <w:pPr>
        <w:jc w:val="both"/>
        <w:ind w:firstLine="1129"/>
        <w:spacing w:after="0" w:line="296" w:lineRule="auto"/>
        <w:tabs>
          <w:tab w:leader="none" w:pos="1705" w:val="left"/>
        </w:tabs>
        <w:numPr>
          <w:ilvl w:val="0"/>
          <w:numId w:val="117"/>
        </w:numPr>
        <w:rPr>
          <w:rFonts w:ascii="Arial" w:cs="Arial" w:eastAsia="Arial" w:hAnsi="Arial"/>
          <w:sz w:val="14"/>
          <w:szCs w:val="14"/>
          <w:color w:val="auto"/>
        </w:rPr>
      </w:pPr>
      <w:r>
        <w:rPr>
          <w:rFonts w:ascii="Arial" w:cs="Arial" w:eastAsia="Arial" w:hAnsi="Arial"/>
          <w:sz w:val="14"/>
          <w:szCs w:val="14"/>
          <w:u w:val="single" w:color="auto"/>
          <w:color w:val="auto"/>
        </w:rPr>
        <w:t>Change Request</w:t>
      </w:r>
      <w:r>
        <w:rPr>
          <w:rFonts w:ascii="Arial" w:cs="Arial" w:eastAsia="Arial" w:hAnsi="Arial"/>
          <w:sz w:val="14"/>
          <w:szCs w:val="14"/>
          <w:color w:val="auto"/>
        </w:rPr>
        <w:t>. Either Landlord or Tenant may request Changes after Landlord approves the Approved Plans by notifying the other party thereof in writing in substantially the same form as the AIA standard change order form (a “</w:t>
      </w:r>
      <w:r>
        <w:rPr>
          <w:rFonts w:ascii="Arial" w:cs="Arial" w:eastAsia="Arial" w:hAnsi="Arial"/>
          <w:sz w:val="14"/>
          <w:szCs w:val="14"/>
          <w:u w:val="single" w:color="auto"/>
          <w:color w:val="auto"/>
        </w:rPr>
        <w:t>Change Request</w:t>
      </w:r>
      <w:r>
        <w:rPr>
          <w:rFonts w:ascii="Arial" w:cs="Arial" w:eastAsia="Arial" w:hAnsi="Arial"/>
          <w:sz w:val="14"/>
          <w:szCs w:val="14"/>
          <w:color w:val="auto"/>
        </w:rPr>
        <w:t>”), which Change Request shall detail the nature and extent of any requested Changes, including (a) the Change, (b) the party required to perform the Change and (c) any modification of the Approved Plans and the Schedule, as applicable, necessitated by the Change. If the nature of a Change requires revisions to the Approved Plans, then the requesting party shall be solely responsible for the cost and expense of such revisions and any increases in the cost of the Tenant Improvements as a result of such Change. Change Requests shall be signed by the requesting party’s Authorized Representative.</w:t>
      </w:r>
    </w:p>
    <w:p>
      <w:pPr>
        <w:spacing w:after="0" w:line="165" w:lineRule="exact"/>
        <w:rPr>
          <w:rFonts w:ascii="Arial" w:cs="Arial" w:eastAsia="Arial" w:hAnsi="Arial"/>
          <w:sz w:val="14"/>
          <w:szCs w:val="14"/>
          <w:color w:val="auto"/>
        </w:rPr>
      </w:pPr>
    </w:p>
    <w:p>
      <w:pPr>
        <w:jc w:val="both"/>
        <w:ind w:right="20" w:firstLine="1129"/>
        <w:spacing w:after="0" w:line="253" w:lineRule="auto"/>
        <w:tabs>
          <w:tab w:leader="none" w:pos="1584"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Approval of Changes</w:t>
      </w:r>
      <w:r>
        <w:rPr>
          <w:rFonts w:ascii="Arial" w:cs="Arial" w:eastAsia="Arial" w:hAnsi="Arial"/>
          <w:sz w:val="16"/>
          <w:szCs w:val="16"/>
          <w:color w:val="auto"/>
        </w:rPr>
        <w:t>. All Change Requests shall be subject to the other party’s prior written approval, which approval shall not be unreasonably withheld, conditioned or delayed. The non-requesting party shall have five (5) business days after receipt of a Change Request to notify the requesting party in writing of the non-requesting party’s decision either to approve or object to the Change Request. The non-requesting party’s failure to respond within such five (5) business day period shall be deemed approval by the non-requesting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227965</wp:posOffset>
            </wp:positionV>
            <wp:extent cx="726376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06" w:name="page207"/>
    <w:bookmarkEnd w:id="206"/>
    <w:p>
      <w:pPr>
        <w:jc w:val="both"/>
        <w:ind w:left="5" w:firstLine="567"/>
        <w:spacing w:after="0" w:line="272"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Preparation of Estimates</w:t>
      </w:r>
      <w:r>
        <w:rPr>
          <w:rFonts w:ascii="Arial" w:cs="Arial" w:eastAsia="Arial" w:hAnsi="Arial"/>
          <w:sz w:val="15"/>
          <w:szCs w:val="15"/>
          <w:color w:val="auto"/>
        </w:rPr>
        <w:t>. Tenant shall, before proceeding with any Change, using its best efforts, prepare as soon as is reasonably practicable (but in no event more than seven (7) business days after delivering a Change Request to Landlord or receipt of a Change Request) an estimate of the increased costs or savings that would result from such Change, as well as an estimate on such Change’s effects on the Schedule. Landlord shall have seven (7) business days after receipt of such information from Tenant to (a) in the case of a Tenant-initiated Change Request, approve or reject such Change Request in writing, or (b) in the case of a Landlord-initiated Change Request, notify Tenant in writing of Landlord’s decision either to proceed with or abandon the Landlord-initiated Change Request.</w:t>
      </w:r>
    </w:p>
    <w:p>
      <w:pPr>
        <w:spacing w:after="0" w:line="181" w:lineRule="exact"/>
        <w:rPr>
          <w:sz w:val="20"/>
          <w:szCs w:val="20"/>
          <w:color w:val="auto"/>
        </w:rPr>
      </w:pPr>
    </w:p>
    <w:p>
      <w:pPr>
        <w:jc w:val="both"/>
        <w:ind w:left="5" w:firstLine="567"/>
        <w:spacing w:after="0" w:line="250"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Quality Control Program; Coordination</w:t>
      </w:r>
      <w:r>
        <w:rPr>
          <w:rFonts w:ascii="Arial" w:cs="Arial" w:eastAsia="Arial" w:hAnsi="Arial"/>
          <w:sz w:val="16"/>
          <w:szCs w:val="16"/>
          <w:color w:val="auto"/>
        </w:rPr>
        <w:t>. Tenant shall provide Landlord with information regarding the following (together, the “</w:t>
      </w:r>
      <w:r>
        <w:rPr>
          <w:rFonts w:ascii="Arial" w:cs="Arial" w:eastAsia="Arial" w:hAnsi="Arial"/>
          <w:sz w:val="16"/>
          <w:szCs w:val="16"/>
          <w:u w:val="single" w:color="auto"/>
          <w:color w:val="auto"/>
        </w:rPr>
        <w:t>QCP</w:t>
      </w:r>
      <w:r>
        <w:rPr>
          <w:rFonts w:ascii="Arial" w:cs="Arial" w:eastAsia="Arial" w:hAnsi="Arial"/>
          <w:sz w:val="16"/>
          <w:szCs w:val="16"/>
          <w:color w:val="auto"/>
        </w:rPr>
        <w:t>”): (a) Tenant’s general contractor’s quality control program and (b) evidence of subsequent monitoring and action plans. The QCP shall be subject to Landlord’s reasonable review and approval and shall specifically address the Tenant Improvements. Tenant shall ensure that the QCP is regularly implemented on a scheduled basis and shall provide Landlord with reasonable prior notice and access to attend all inspections and meetings between Tenant and its general contractor. At the conclusion of the Tenant Improvements, Tenant shall deliver the quality control log to Landlord, which shall include all records of quality control meetings and testing and of inspections held in the field, including inspections relating to concrete, steel roofing, piping pressure testing and system commissioning.</w:t>
      </w:r>
    </w:p>
    <w:p>
      <w:pPr>
        <w:spacing w:after="0" w:line="197" w:lineRule="exact"/>
        <w:rPr>
          <w:sz w:val="20"/>
          <w:szCs w:val="20"/>
          <w:color w:val="auto"/>
        </w:rPr>
      </w:pPr>
    </w:p>
    <w:p>
      <w:pPr>
        <w:ind w:left="505" w:hanging="505"/>
        <w:spacing w:after="0"/>
        <w:tabs>
          <w:tab w:leader="none" w:pos="505" w:val="left"/>
        </w:tabs>
        <w:numPr>
          <w:ilvl w:val="0"/>
          <w:numId w:val="118"/>
        </w:numPr>
        <w:rPr>
          <w:rFonts w:ascii="Arial" w:cs="Arial" w:eastAsia="Arial" w:hAnsi="Arial"/>
          <w:sz w:val="14"/>
          <w:szCs w:val="14"/>
          <w:color w:val="auto"/>
        </w:rPr>
      </w:pPr>
      <w:r>
        <w:rPr>
          <w:rFonts w:ascii="Arial" w:cs="Arial" w:eastAsia="Arial" w:hAnsi="Arial"/>
          <w:sz w:val="14"/>
          <w:szCs w:val="14"/>
          <w:u w:val="single" w:color="auto"/>
          <w:color w:val="auto"/>
        </w:rPr>
        <w:t>Completion of Tenant Improvements</w:t>
      </w:r>
      <w:r>
        <w:rPr>
          <w:rFonts w:ascii="Arial" w:cs="Arial" w:eastAsia="Arial" w:hAnsi="Arial"/>
          <w:sz w:val="14"/>
          <w:szCs w:val="14"/>
          <w:color w:val="auto"/>
        </w:rPr>
        <w:t>. Tenant, at its sole cost and expense (except for the TI Allowance), shall perform and complete the Tenant Improvements in all respects</w:t>
      </w:r>
    </w:p>
    <w:p>
      <w:pPr>
        <w:spacing w:after="0" w:line="39" w:lineRule="exact"/>
        <w:rPr>
          <w:rFonts w:ascii="Arial" w:cs="Arial" w:eastAsia="Arial" w:hAnsi="Arial"/>
          <w:sz w:val="14"/>
          <w:szCs w:val="14"/>
          <w:color w:val="auto"/>
        </w:rPr>
      </w:pPr>
    </w:p>
    <w:p>
      <w:pPr>
        <w:jc w:val="both"/>
        <w:ind w:left="5"/>
        <w:spacing w:after="0" w:line="284" w:lineRule="auto"/>
        <w:rPr>
          <w:rFonts w:ascii="Arial" w:cs="Arial" w:eastAsia="Arial" w:hAnsi="Arial"/>
          <w:sz w:val="14"/>
          <w:szCs w:val="14"/>
          <w:color w:val="auto"/>
        </w:rPr>
      </w:pPr>
      <w:r>
        <w:rPr>
          <w:rFonts w:ascii="Arial" w:cs="Arial" w:eastAsia="Arial" w:hAnsi="Arial"/>
          <w:sz w:val="14"/>
          <w:szCs w:val="14"/>
          <w:color w:val="auto"/>
        </w:rPr>
        <w:t>(a) in substantial conformance with the Approved Plans, (b) otherwise in compliance with provisions of the Lease and this Work Letter and (c) in accordance with Applicable Laws, the requirements of Tenant’s insurance carriers, the requirements of Landlord’s insurance carriers (to the extent Landlord provides its insurance carriers’ requirements to Tenant) and the board of fire underwriters having jurisdiction over the Premises. The Tenant Improvements shall be deemed completed at such time as Tenant shall furnish to Landlord (u) evidence satisfactory to Landlord that (i) all Tenant Improvements have been completed and paid for in full (which shall be evidenced by the architect’s certificate of completion and the general contractor’s and each subcontractor’s and material supplier’s final unconditional waivers and releases of liens, each in a form acceptable to Landlord and complying with Applicable Laws and a Certificate of Substantial Completion in the form of the American Institute of Architects document G704, executed by the project architect and the general contractor, together with a statutory notice of substantial completion from the general contractor), (ii) all Tenant Improvements have been accepted by Landlord, (iii) any and all liens related to the Tenant Improvements have either been discharged of record (by payment, bond, order of a court of competent jurisdiction or otherwise) or waived by the party filing such lien and (iv) no security interests relating to the Tenant Improvements are outstanding, (v) all certifications and approvals with respect to the Tenant Improvements that may be required from any Governmental Authority and any board of fire underwriters or similar body for the use and occupancy of the Premises (including a certificate of occupancy for the Premises for the Permitted Use), (w) certificates of insurance required by the Lease to be purchased and maintained by Tenant, (x) an affidavit from Tenant’s architect certifying that all work performed in, on or about the Premises is in accordance with the Approved Plans, (y) complete “as built” drawing print sets, project specifications and shop drawings and electronic CADD files on disc (showing the Tenant Improvements as an overlay on the Building “as built” plans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Landlord provides the Building “as-built” plans provided to Tenant) of all contract documents for work performed by their architect and engineers in relation to the Tenant Improvements and (z) such other “close out” materials as Landlord reasonably requests consistent with Landlord’s own requirements for its contractors, such as copies of manufacturers’ warranties, operation and maintenance manuals and the like.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726376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07" w:name="page208"/>
    <w:bookmarkEnd w:id="207"/>
    <w:p>
      <w:pPr>
        <w:ind w:left="505" w:hanging="505"/>
        <w:spacing w:after="0"/>
        <w:tabs>
          <w:tab w:leader="none" w:pos="505"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18" w:lineRule="exact"/>
        <w:rPr>
          <w:sz w:val="20"/>
          <w:szCs w:val="20"/>
          <w:color w:val="auto"/>
        </w:rPr>
      </w:pPr>
    </w:p>
    <w:p>
      <w:pPr>
        <w:jc w:val="both"/>
        <w:ind w:left="5" w:firstLine="567"/>
        <w:spacing w:after="0" w:line="289"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Property Insurance</w:t>
      </w:r>
      <w:r>
        <w:rPr>
          <w:rFonts w:ascii="Arial" w:cs="Arial" w:eastAsia="Arial" w:hAnsi="Arial"/>
          <w:sz w:val="14"/>
          <w:szCs w:val="14"/>
          <w:color w:val="auto"/>
        </w:rPr>
        <w:t xml:space="preserve">. At all times during the period beginning with commencement of construction of the Tenant Improvements and ending with final completion of the Tenant Improvements, Tenant shall maintain, or cause to be maintained (in addition to the insurance required of Tenant pursuant to the Lease), property insurance insuring Landlord and the Landlord Parties, as their interests may appear. Such policy shall, on a completed values basis for the full insurable value at all times, insure against loss or damage by fire, vandalism and malicious mischief and other such risks as are customarily covered by the so-called “broad form extended coverage endorsement” upon all Tenant Improvements and the general contractor’s and any subcontractors’ machinery, tools and equipment, all while each forms a part of, or is contained in, the Tenant Improvements or any temporary structures on the Premises, or is adjacent thereto;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for the avoidance of doubt, insurance coverage with respect to the general contractor’s and any subcontractors’ machinery, tools and equipment shall be carried on a primary basis by such general contractor or the applicable subcontractor(s). Tenant agrees to pay any deductible, and Landlord is not responsible for any deductible, for a claim under such insurance. Such property insurance shall contain an express waiver of any right of subrogation by the insurer against Landlord and the Landlord Parties, and shall name Landlord and its affiliates as loss payees as their interests may appear.</w:t>
      </w:r>
    </w:p>
    <w:p>
      <w:pPr>
        <w:spacing w:after="0" w:line="170" w:lineRule="exact"/>
        <w:rPr>
          <w:sz w:val="20"/>
          <w:szCs w:val="20"/>
          <w:color w:val="auto"/>
        </w:rPr>
      </w:pPr>
    </w:p>
    <w:p>
      <w:pPr>
        <w:jc w:val="both"/>
        <w:ind w:left="5" w:right="20" w:firstLine="567"/>
        <w:spacing w:after="0" w:line="26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Workers’ Compensation Insurance</w:t>
      </w:r>
      <w:r>
        <w:rPr>
          <w:rFonts w:ascii="Arial" w:cs="Arial" w:eastAsia="Arial" w:hAnsi="Arial"/>
          <w:sz w:val="16"/>
          <w:szCs w:val="16"/>
          <w:color w:val="auto"/>
        </w:rPr>
        <w:t>. At all times during the period of construction of the Tenant Improvements, Tenant shall, or shall cause its contractors or subcontractors to, maintain statutory workers’ compensation insurance as required by Applicable Laws.</w:t>
      </w:r>
    </w:p>
    <w:p>
      <w:pPr>
        <w:spacing w:after="0" w:line="181" w:lineRule="exact"/>
        <w:rPr>
          <w:sz w:val="20"/>
          <w:szCs w:val="20"/>
          <w:color w:val="auto"/>
        </w:rPr>
      </w:pPr>
    </w:p>
    <w:p>
      <w:pPr>
        <w:jc w:val="both"/>
        <w:ind w:left="5" w:hanging="5"/>
        <w:spacing w:after="0" w:line="268" w:lineRule="auto"/>
        <w:tabs>
          <w:tab w:leader="none" w:pos="626" w:val="left"/>
        </w:tabs>
        <w:numPr>
          <w:ilvl w:val="0"/>
          <w:numId w:val="120"/>
        </w:numPr>
        <w:rPr>
          <w:rFonts w:ascii="Arial" w:cs="Arial" w:eastAsia="Arial" w:hAnsi="Arial"/>
          <w:sz w:val="15"/>
          <w:szCs w:val="15"/>
          <w:color w:val="auto"/>
        </w:rPr>
      </w:pPr>
      <w:r>
        <w:rPr>
          <w:rFonts w:ascii="Arial" w:cs="Arial" w:eastAsia="Arial" w:hAnsi="Arial"/>
          <w:sz w:val="15"/>
          <w:szCs w:val="15"/>
          <w:u w:val="single" w:color="auto"/>
          <w:color w:val="auto"/>
        </w:rPr>
        <w:t>Liability</w:t>
      </w:r>
      <w:r>
        <w:rPr>
          <w:rFonts w:ascii="Arial" w:cs="Arial" w:eastAsia="Arial" w:hAnsi="Arial"/>
          <w:sz w:val="15"/>
          <w:szCs w:val="15"/>
          <w:color w:val="auto"/>
        </w:rPr>
        <w:t xml:space="preserve">. Tenant assumes sole responsibility and liability for any and all injuries or the death of any persons, including Tenant’s contractors and subcontractors and their respective employees, agents and invitees, and for any and all damages to property caused by, resulting from or arising out of any act or omission on the part of Tenant, Tenant’s contractors or subcontractors, or their respective employees, agents and invitees in the prosecution of the Tenant Improvements. Tenant agrees to indemnify, save, defend (at Landlord’s option and with counsel reasonably acceptable to Landlord) and hold the Landlord Indemnitees harmless from and against all Claims due to, because of or arising out of any and all such injuries, death or damage, whether real or alleged, and Tenant and Tenant’s contractors and subcontractors shall assume and defend at their sole cost and expense all such Claims;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nothing contained in this Work Letter shall be deemed to indemnify or otherwise hold Landlord harmless from or against liability caused by Landlord’s negligence or willful misconduct. Any deficiency in design or construction of the Tenant Improvements shall be solely the responsibility of Tenant, notwithstanding the fact that Landlord may have approved of the same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26376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08" w:name="page209"/>
    <w:bookmarkEnd w:id="208"/>
    <w:p>
      <w:pPr>
        <w:ind w:left="525" w:hanging="525"/>
        <w:spacing w:after="0"/>
        <w:tabs>
          <w:tab w:leader="none" w:pos="525"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TI Allowance</w:t>
      </w:r>
      <w:r>
        <w:rPr>
          <w:rFonts w:ascii="Arial" w:cs="Arial" w:eastAsia="Arial" w:hAnsi="Arial"/>
          <w:sz w:val="16"/>
          <w:szCs w:val="16"/>
          <w:color w:val="auto"/>
        </w:rPr>
        <w:t>.</w:t>
      </w:r>
    </w:p>
    <w:p>
      <w:pPr>
        <w:spacing w:after="0" w:line="194" w:lineRule="exact"/>
        <w:rPr>
          <w:sz w:val="20"/>
          <w:szCs w:val="20"/>
          <w:color w:val="auto"/>
        </w:rPr>
      </w:pPr>
    </w:p>
    <w:p>
      <w:pPr>
        <w:jc w:val="both"/>
        <w:ind w:left="5" w:firstLine="567"/>
        <w:spacing w:after="0" w:line="25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Application of TI Allowance</w:t>
      </w:r>
      <w:r>
        <w:rPr>
          <w:rFonts w:ascii="Arial" w:cs="Arial" w:eastAsia="Arial" w:hAnsi="Arial"/>
          <w:sz w:val="16"/>
          <w:szCs w:val="16"/>
          <w:color w:val="auto"/>
        </w:rPr>
        <w:t xml:space="preserve">. Landlord shall contribute, in the following order, the TI Allowance and any Excess TI Costs advanced by Tenant to Landlord toward the costs and expenses incurred in connection with the performance of the Tenant Improvements, in accordance with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the Lease. If the entire TI Allowance is not applied toward or reserved for the costs of the Tenant Improvements, then Tenant shall not be entitled to a credit of such unused portion of the TI Allowance. If the entire Excess TI Costs advanced by Tenant to Landlord are not applied toward the costs of the Tenant Improvements, then Landlord shall promptly return such excess to Tenant following completion of (a) the Tenant Improvements and (b) Landlord’s final accounting for the Tenant Improvements. Tenant may apply the TI Allowance for the payment of construction and other costs in accordance with the terms and provisions of the Lease.</w:t>
      </w:r>
    </w:p>
    <w:p>
      <w:pPr>
        <w:spacing w:after="0" w:line="197" w:lineRule="exact"/>
        <w:rPr>
          <w:sz w:val="20"/>
          <w:szCs w:val="20"/>
          <w:color w:val="auto"/>
        </w:rPr>
      </w:pPr>
    </w:p>
    <w:p>
      <w:pPr>
        <w:jc w:val="both"/>
        <w:ind w:left="5" w:firstLine="567"/>
        <w:spacing w:after="0" w:line="272"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Approval of Budget for the Tenant Improvements</w:t>
      </w:r>
      <w:r>
        <w:rPr>
          <w:rFonts w:ascii="Arial" w:cs="Arial" w:eastAsia="Arial" w:hAnsi="Arial"/>
          <w:sz w:val="15"/>
          <w:szCs w:val="15"/>
          <w:color w:val="auto"/>
        </w:rPr>
        <w:t>. Notwithstanding anything to the contrary set forth elsewhere in this Work Letter or the Lease, Landlord shall not have any obligation to expend any portion of the TI Allowance until Landlord and Tenant shall have approved in writing the budget for the Tenant Improvements (the “</w:t>
      </w:r>
      <w:r>
        <w:rPr>
          <w:rFonts w:ascii="Arial" w:cs="Arial" w:eastAsia="Arial" w:hAnsi="Arial"/>
          <w:sz w:val="15"/>
          <w:szCs w:val="15"/>
          <w:u w:val="single" w:color="auto"/>
          <w:color w:val="auto"/>
        </w:rPr>
        <w:t>Approved</w:t>
      </w:r>
      <w:r>
        <w:rPr>
          <w:rFonts w:ascii="Arial" w:cs="Arial" w:eastAsia="Arial" w:hAnsi="Arial"/>
          <w:sz w:val="15"/>
          <w:szCs w:val="15"/>
          <w:color w:val="auto"/>
        </w:rPr>
        <w:t xml:space="preserve"> </w:t>
      </w:r>
      <w:r>
        <w:rPr>
          <w:rFonts w:ascii="Arial" w:cs="Arial" w:eastAsia="Arial" w:hAnsi="Arial"/>
          <w:sz w:val="15"/>
          <w:szCs w:val="15"/>
          <w:u w:val="single" w:color="auto"/>
          <w:color w:val="auto"/>
        </w:rPr>
        <w:t>Budget</w:t>
      </w:r>
      <w:r>
        <w:rPr>
          <w:rFonts w:ascii="Arial" w:cs="Arial" w:eastAsia="Arial" w:hAnsi="Arial"/>
          <w:sz w:val="15"/>
          <w:szCs w:val="15"/>
          <w:color w:val="auto"/>
        </w:rPr>
        <w:t>”). Prior to Landlord’s approval of the Approved Budget, Tenant shall pay all of the costs and expenses incurred in connection with the Tenant Improvements as they become due. Landlord shall not be obligated to reimburse Tenant for costs or expenses relating to the Tenant Improvements that exceed the amount of the TI Allowance. Landlord shall not unreasonably withhold, condition or delay its approval of any budget for Tenant Improvements that is proposed by Tenant.</w:t>
      </w:r>
    </w:p>
    <w:p>
      <w:pPr>
        <w:spacing w:after="0" w:line="181" w:lineRule="exact"/>
        <w:rPr>
          <w:sz w:val="20"/>
          <w:szCs w:val="20"/>
          <w:color w:val="auto"/>
        </w:rPr>
      </w:pPr>
    </w:p>
    <w:p>
      <w:pPr>
        <w:jc w:val="both"/>
        <w:ind w:left="5" w:firstLine="567"/>
        <w:spacing w:after="0" w:line="286"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Fund Requests</w:t>
      </w:r>
      <w:r>
        <w:rPr>
          <w:rFonts w:ascii="Arial" w:cs="Arial" w:eastAsia="Arial" w:hAnsi="Arial"/>
          <w:sz w:val="14"/>
          <w:szCs w:val="14"/>
          <w:color w:val="auto"/>
        </w:rPr>
        <w:t>. Upon submission by Tenant to Landlord of (a) a statement (a “</w:t>
      </w:r>
      <w:r>
        <w:rPr>
          <w:rFonts w:ascii="Arial" w:cs="Arial" w:eastAsia="Arial" w:hAnsi="Arial"/>
          <w:sz w:val="14"/>
          <w:szCs w:val="14"/>
          <w:u w:val="single" w:color="auto"/>
          <w:color w:val="auto"/>
        </w:rPr>
        <w:t>Fund Request</w:t>
      </w:r>
      <w:r>
        <w:rPr>
          <w:rFonts w:ascii="Arial" w:cs="Arial" w:eastAsia="Arial" w:hAnsi="Arial"/>
          <w:sz w:val="14"/>
          <w:szCs w:val="14"/>
          <w:color w:val="auto"/>
        </w:rPr>
        <w:t xml:space="preserve">”) setting forth the total amount of the TI Allowance requested, (b) a summary of the Tenant Improvements performed using AIA standard form Application for Payment (G 702) executed by the general contractor and by the architect, (c) invoices from the general contractor, the architect, and any subcontractors, material suppliers and other parties requesting payment with respect to the amount of the TI Allowance then being requested, (d) unconditional lien releases from the general contractor and each subcontractor and material supplier with respect to previous payments made by either Landlord or Tenant for the Tenant Improvements in the form attached as </w:t>
      </w:r>
      <w:r>
        <w:rPr>
          <w:rFonts w:ascii="Arial" w:cs="Arial" w:eastAsia="Arial" w:hAnsi="Arial"/>
          <w:sz w:val="14"/>
          <w:szCs w:val="14"/>
          <w:u w:val="single" w:color="auto"/>
          <w:color w:val="auto"/>
        </w:rPr>
        <w:t>Schedule 1</w:t>
      </w:r>
      <w:r>
        <w:rPr>
          <w:rFonts w:ascii="Arial" w:cs="Arial" w:eastAsia="Arial" w:hAnsi="Arial"/>
          <w:sz w:val="14"/>
          <w:szCs w:val="14"/>
          <w:color w:val="auto"/>
        </w:rPr>
        <w:t xml:space="preserve"> hereto and complying with Applicable Laws and (e) conditional lien releases from the general contractor and each subcontractor and material supplier with respect to the Tenant Improvements performed that correspond to the Fund Request each in a form attached as </w:t>
      </w:r>
      <w:r>
        <w:rPr>
          <w:rFonts w:ascii="Arial" w:cs="Arial" w:eastAsia="Arial" w:hAnsi="Arial"/>
          <w:sz w:val="14"/>
          <w:szCs w:val="14"/>
          <w:u w:val="single" w:color="auto"/>
          <w:color w:val="auto"/>
        </w:rPr>
        <w:t>Schedule 1</w:t>
      </w:r>
      <w:r>
        <w:rPr>
          <w:rFonts w:ascii="Arial" w:cs="Arial" w:eastAsia="Arial" w:hAnsi="Arial"/>
          <w:sz w:val="14"/>
          <w:szCs w:val="14"/>
          <w:color w:val="auto"/>
        </w:rPr>
        <w:t xml:space="preserve"> hereto and complying with Applicable Laws, then Landlord shall, within thirty (30) days following receipt by Landlord of a Fund Request and the accompanying materials required by this Section, pay to (as elected by Landlord) the applicable contractors, subcontractors and material suppliers or Tenant (for reimbursement for payments made by Tenant to such contractors, subcontractors or material suppliers either prior to Landlord’s approval of the Approved Budget or as a result of Tenant’s decision to pay for the Tenant Improvements itself and later seek reimbursement from Landlord in the form of one lump sum payment in accordance with the Lease and this Work Letter), the amount of Tenant Improvement costs set forth in such Fund Request or Landlord’s pari passu share thereof if Excess TI Costs exist based on the Approved Budget;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however, that Landlord shall not be obligated to make any payments under this Section until the budget for the Tenant Improvements is approved in accordance with </w:t>
      </w:r>
      <w:r>
        <w:rPr>
          <w:rFonts w:ascii="Arial" w:cs="Arial" w:eastAsia="Arial" w:hAnsi="Arial"/>
          <w:sz w:val="14"/>
          <w:szCs w:val="14"/>
          <w:u w:val="single" w:color="auto"/>
          <w:color w:val="auto"/>
        </w:rPr>
        <w:t>Section 6.2</w:t>
      </w:r>
      <w:r>
        <w:rPr>
          <w:rFonts w:ascii="Arial" w:cs="Arial" w:eastAsia="Arial" w:hAnsi="Arial"/>
          <w:sz w:val="14"/>
          <w:szCs w:val="14"/>
          <w:color w:val="auto"/>
        </w:rPr>
        <w:t xml:space="preserve">, and any Fund Request under this Section shall be subject to the payment limits set forth in </w:t>
      </w:r>
      <w:r>
        <w:rPr>
          <w:rFonts w:ascii="Arial" w:cs="Arial" w:eastAsia="Arial" w:hAnsi="Arial"/>
          <w:sz w:val="14"/>
          <w:szCs w:val="14"/>
          <w:u w:val="single" w:color="auto"/>
          <w:color w:val="auto"/>
        </w:rPr>
        <w:t>Section 6.2</w:t>
      </w:r>
      <w:r>
        <w:rPr>
          <w:rFonts w:ascii="Arial" w:cs="Arial" w:eastAsia="Arial" w:hAnsi="Arial"/>
          <w:sz w:val="14"/>
          <w:szCs w:val="14"/>
          <w:color w:val="auto"/>
        </w:rPr>
        <w:t xml:space="preserve"> above and </w:t>
      </w:r>
      <w:r>
        <w:rPr>
          <w:rFonts w:ascii="Arial" w:cs="Arial" w:eastAsia="Arial" w:hAnsi="Arial"/>
          <w:sz w:val="14"/>
          <w:szCs w:val="14"/>
          <w:u w:val="single" w:color="auto"/>
          <w:color w:val="auto"/>
        </w:rPr>
        <w:t>Article 4</w:t>
      </w:r>
      <w:r>
        <w:rPr>
          <w:rFonts w:ascii="Arial" w:cs="Arial" w:eastAsia="Arial" w:hAnsi="Arial"/>
          <w:sz w:val="14"/>
          <w:szCs w:val="14"/>
          <w:color w:val="auto"/>
        </w:rPr>
        <w:t xml:space="preserve">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217805</wp:posOffset>
            </wp:positionV>
            <wp:extent cx="726376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09" w:name="page210"/>
    <w:bookmarkEnd w:id="209"/>
    <w:p>
      <w:pPr>
        <w:ind w:left="505" w:hanging="505"/>
        <w:spacing w:after="0"/>
        <w:tabs>
          <w:tab w:leader="none" w:pos="505"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4" w:lineRule="exact"/>
        <w:rPr>
          <w:sz w:val="20"/>
          <w:szCs w:val="20"/>
          <w:color w:val="auto"/>
        </w:rPr>
      </w:pPr>
    </w:p>
    <w:p>
      <w:pPr>
        <w:jc w:val="both"/>
        <w:ind w:left="5" w:right="20" w:firstLine="567"/>
        <w:spacing w:after="0" w:line="301"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Number; Headings</w:t>
      </w:r>
      <w:r>
        <w:rPr>
          <w:rFonts w:ascii="Arial" w:cs="Arial" w:eastAsia="Arial" w:hAnsi="Arial"/>
          <w:sz w:val="15"/>
          <w:szCs w:val="15"/>
          <w:color w:val="auto"/>
        </w:rPr>
        <w:t>. Where applicable in this Work Letter, the singular includes the plural and the masculine or neuter includes the masculine, feminine and neuter. The section headings of this Work Letter are not a part of this Work Letter and shall have no effect upon the construction or interpretation of any part hereof.</w:t>
      </w:r>
    </w:p>
    <w:p>
      <w:pPr>
        <w:spacing w:after="0" w:line="135" w:lineRule="exact"/>
        <w:rPr>
          <w:sz w:val="20"/>
          <w:szCs w:val="20"/>
          <w:color w:val="auto"/>
        </w:rPr>
      </w:pPr>
    </w:p>
    <w:p>
      <w:pPr>
        <w:jc w:val="both"/>
        <w:ind w:left="5" w:right="20" w:firstLine="567"/>
        <w:spacing w:after="0" w:line="25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Attorneys’ Fees</w:t>
      </w:r>
      <w:r>
        <w:rPr>
          <w:rFonts w:ascii="Arial" w:cs="Arial" w:eastAsia="Arial" w:hAnsi="Arial"/>
          <w:sz w:val="16"/>
          <w:szCs w:val="16"/>
          <w:color w:val="auto"/>
        </w:rPr>
        <w:t>. If either party commences a demand, claim, action, cause of action or suit against the other party arising out of or in connection with this Work Letter, then the substantially prevailing party shall be reimbursed by the other party for all reasonable costs and expenses, including reasonable attorneys’ fees and expenses, incurred by the substantially prevailing party in such action or proceeding and in any appeal in connection therewith (regardless of whether the applicable demand, claim, action, cause of action or suit is voluntarily withdrawn or dismissed).</w:t>
      </w:r>
    </w:p>
    <w:p>
      <w:pPr>
        <w:spacing w:after="0" w:line="193" w:lineRule="exact"/>
        <w:rPr>
          <w:sz w:val="20"/>
          <w:szCs w:val="20"/>
          <w:color w:val="auto"/>
        </w:rPr>
      </w:pPr>
    </w:p>
    <w:p>
      <w:pPr>
        <w:ind w:left="565"/>
        <w:spacing w:after="0"/>
        <w:tabs>
          <w:tab w:leader="none" w:pos="1105"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4"/>
          <w:szCs w:val="14"/>
          <w:u w:val="single" w:color="auto"/>
          <w:color w:val="auto"/>
        </w:rPr>
        <w:t>Time of Essence</w:t>
      </w:r>
      <w:r>
        <w:rPr>
          <w:rFonts w:ascii="Arial" w:cs="Arial" w:eastAsia="Arial" w:hAnsi="Arial"/>
          <w:sz w:val="14"/>
          <w:szCs w:val="14"/>
          <w:color w:val="auto"/>
        </w:rPr>
        <w:t>. Time is of the essence with respect to the performance of every provision of this Work Letter in which time of performance is a factor.</w:t>
      </w:r>
    </w:p>
    <w:p>
      <w:pPr>
        <w:spacing w:after="0" w:line="218" w:lineRule="exact"/>
        <w:rPr>
          <w:sz w:val="20"/>
          <w:szCs w:val="20"/>
          <w:color w:val="auto"/>
        </w:rPr>
      </w:pPr>
    </w:p>
    <w:p>
      <w:pPr>
        <w:ind w:left="565"/>
        <w:spacing w:after="0"/>
        <w:tabs>
          <w:tab w:leader="none" w:pos="1085"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4"/>
          <w:szCs w:val="14"/>
          <w:u w:val="single" w:color="auto"/>
          <w:color w:val="auto"/>
        </w:rPr>
        <w:t>Covenant and Condition</w:t>
      </w:r>
      <w:r>
        <w:rPr>
          <w:rFonts w:ascii="Arial" w:cs="Arial" w:eastAsia="Arial" w:hAnsi="Arial"/>
          <w:sz w:val="14"/>
          <w:szCs w:val="14"/>
          <w:color w:val="auto"/>
        </w:rPr>
        <w:t>. Each provision of this Work Letter performable by Tenant shall be deemed both a covenant and a condition.</w:t>
      </w:r>
    </w:p>
    <w:p>
      <w:pPr>
        <w:spacing w:after="0" w:line="218" w:lineRule="exact"/>
        <w:rPr>
          <w:sz w:val="20"/>
          <w:szCs w:val="20"/>
          <w:color w:val="auto"/>
        </w:rPr>
      </w:pPr>
    </w:p>
    <w:p>
      <w:pPr>
        <w:jc w:val="both"/>
        <w:ind w:left="5" w:right="20" w:firstLine="567"/>
        <w:spacing w:after="0" w:line="267"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Withholding of Consent</w:t>
      </w:r>
      <w:r>
        <w:rPr>
          <w:rFonts w:ascii="Arial" w:cs="Arial" w:eastAsia="Arial" w:hAnsi="Arial"/>
          <w:sz w:val="16"/>
          <w:szCs w:val="16"/>
          <w:color w:val="auto"/>
        </w:rPr>
        <w:t>. Whenever consent or approval of either party is required, that party shall not unreasonably withhold, condition or delay such consent or approval, except as may be expressly set forth to the contrary.</w:t>
      </w:r>
    </w:p>
    <w:p>
      <w:pPr>
        <w:spacing w:after="0" w:line="181" w:lineRule="exact"/>
        <w:rPr>
          <w:sz w:val="20"/>
          <w:szCs w:val="20"/>
          <w:color w:val="auto"/>
        </w:rPr>
      </w:pPr>
    </w:p>
    <w:p>
      <w:pPr>
        <w:jc w:val="both"/>
        <w:ind w:left="5" w:right="20" w:firstLine="567"/>
        <w:spacing w:after="0" w:line="301" w:lineRule="auto"/>
        <w:rPr>
          <w:sz w:val="20"/>
          <w:szCs w:val="20"/>
          <w:color w:val="auto"/>
        </w:rPr>
      </w:pPr>
      <w:r>
        <w:rPr>
          <w:rFonts w:ascii="Arial" w:cs="Arial" w:eastAsia="Arial" w:hAnsi="Arial"/>
          <w:sz w:val="15"/>
          <w:szCs w:val="15"/>
          <w:color w:val="auto"/>
        </w:rPr>
        <w:t xml:space="preserve">7.6. </w:t>
      </w:r>
      <w:r>
        <w:rPr>
          <w:rFonts w:ascii="Arial" w:cs="Arial" w:eastAsia="Arial" w:hAnsi="Arial"/>
          <w:sz w:val="15"/>
          <w:szCs w:val="15"/>
          <w:u w:val="single" w:color="auto"/>
          <w:color w:val="auto"/>
        </w:rPr>
        <w:t>Invalidity</w:t>
      </w:r>
      <w:r>
        <w:rPr>
          <w:rFonts w:ascii="Arial" w:cs="Arial" w:eastAsia="Arial" w:hAnsi="Arial"/>
          <w:sz w:val="15"/>
          <w:szCs w:val="15"/>
          <w:color w:val="auto"/>
        </w:rPr>
        <w:t>. Any provision of this Work Letter that shall prove to be invalid, void or illegal shall in no way affect, impair or invalidate any other provision hereof, and all other provisions of this Work Letter shall remain in full force and effect and shall be interpreted as if the invalid, void or illegal provision did not exist.</w:t>
      </w:r>
    </w:p>
    <w:p>
      <w:pPr>
        <w:spacing w:after="0" w:line="158" w:lineRule="exact"/>
        <w:rPr>
          <w:sz w:val="20"/>
          <w:szCs w:val="20"/>
          <w:color w:val="auto"/>
        </w:rPr>
      </w:pPr>
    </w:p>
    <w:p>
      <w:pPr>
        <w:jc w:val="both"/>
        <w:ind w:left="5" w:firstLine="567"/>
        <w:spacing w:after="0" w:line="267"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Interpretation</w:t>
      </w:r>
      <w:r>
        <w:rPr>
          <w:rFonts w:ascii="Arial" w:cs="Arial" w:eastAsia="Arial" w:hAnsi="Arial"/>
          <w:sz w:val="16"/>
          <w:szCs w:val="16"/>
          <w:color w:val="auto"/>
        </w:rPr>
        <w:t>. The language in all parts of this Work Letter shall be in all cases construed as a whole according to its fair meaning and not strictly for or against either Landlord or Tenant.</w:t>
      </w:r>
    </w:p>
    <w:p>
      <w:pPr>
        <w:spacing w:after="0" w:line="181" w:lineRule="exact"/>
        <w:rPr>
          <w:sz w:val="20"/>
          <w:szCs w:val="20"/>
          <w:color w:val="auto"/>
        </w:rPr>
      </w:pPr>
    </w:p>
    <w:p>
      <w:pPr>
        <w:jc w:val="both"/>
        <w:ind w:left="5" w:right="20" w:firstLine="567"/>
        <w:spacing w:after="0" w:line="257"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Successors</w:t>
      </w:r>
      <w:r>
        <w:rPr>
          <w:rFonts w:ascii="Arial" w:cs="Arial" w:eastAsia="Arial" w:hAnsi="Arial"/>
          <w:sz w:val="16"/>
          <w:szCs w:val="16"/>
          <w:color w:val="auto"/>
        </w:rPr>
        <w:t>. Each of the covenants, conditions and agreements herein contained shall inure to the benefit of and shall apply to and be binding upon the parties hereto and their respective heirs; legatees; devisees; executors; administrators; and permitted successors, assigns, sublessees. Nothing in this Section shall in any way alter the provisions of the Lease restricting assignment or subletting.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26376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10" w:name="page211"/>
    <w:bookmarkEnd w:id="210"/>
    <w:p>
      <w:pPr>
        <w:jc w:val="both"/>
        <w:ind w:firstLine="567"/>
        <w:spacing w:after="0" w:line="267"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Work Letter shall be governed by, construed and enforced in accordance with the laws of the state in which the Premises are located, without regard to such state’s conflict of law principles.</w:t>
      </w:r>
    </w:p>
    <w:p>
      <w:pPr>
        <w:spacing w:after="0" w:line="158"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Power and Authority</w:t>
      </w:r>
      <w:r>
        <w:rPr>
          <w:rFonts w:ascii="Arial" w:cs="Arial" w:eastAsia="Arial" w:hAnsi="Arial"/>
          <w:sz w:val="16"/>
          <w:szCs w:val="16"/>
          <w:color w:val="auto"/>
        </w:rPr>
        <w:t>. Tenant guarantees, warrants and represents that the individual or individuals signing this Work Letter have the power, authority and legal capacity to sign this Work Letter on behalf of and to bind all entities, corporations, partnerships, limited liability companies, joint venturers or other organizations and entities on whose behalf such individual or individuals have signed.</w:t>
      </w:r>
    </w:p>
    <w:p>
      <w:pPr>
        <w:spacing w:after="0" w:line="165"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6"/>
          <w:szCs w:val="16"/>
          <w:color w:val="auto"/>
        </w:rPr>
        <w:t>7.11.</w:t>
      </w:r>
      <w:r>
        <w:rPr>
          <w:sz w:val="20"/>
          <w:szCs w:val="20"/>
          <w:color w:val="auto"/>
        </w:rPr>
        <w:tab/>
      </w:r>
      <w:r>
        <w:rPr>
          <w:rFonts w:ascii="Arial" w:cs="Arial" w:eastAsia="Arial" w:hAnsi="Arial"/>
          <w:sz w:val="14"/>
          <w:szCs w:val="14"/>
          <w:u w:val="single" w:color="auto"/>
          <w:color w:val="auto"/>
        </w:rPr>
        <w:t>Counterparts</w:t>
      </w:r>
      <w:r>
        <w:rPr>
          <w:rFonts w:ascii="Arial" w:cs="Arial" w:eastAsia="Arial" w:hAnsi="Arial"/>
          <w:sz w:val="14"/>
          <w:szCs w:val="14"/>
          <w:color w:val="auto"/>
        </w:rPr>
        <w:t>. This Work Letter may be executed in one or more counterparts, each of which, when taken together, shall constitute one and the same document.</w:t>
      </w:r>
    </w:p>
    <w:p>
      <w:pPr>
        <w:spacing w:after="0" w:line="194"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Amendments; Waiver</w:t>
      </w:r>
      <w:r>
        <w:rPr>
          <w:rFonts w:ascii="Arial" w:cs="Arial" w:eastAsia="Arial" w:hAnsi="Arial"/>
          <w:sz w:val="16"/>
          <w:szCs w:val="16"/>
          <w:color w:val="auto"/>
        </w:rPr>
        <w:t>. No provision of this Work Letter may be modified, amended or supplemented except by an agreement in writing signed by Landlord and Tenant. The waiver by Landlord of any breach by Tenant of any term, covenant or condition herein contained shall not be deemed to be a waiver of any subsequent breach of the same or any other term, covenant or condition herein contained.</w:t>
      </w:r>
    </w:p>
    <w:p>
      <w:pPr>
        <w:spacing w:after="0" w:line="189" w:lineRule="exact"/>
        <w:rPr>
          <w:sz w:val="20"/>
          <w:szCs w:val="20"/>
          <w:color w:val="auto"/>
        </w:rPr>
      </w:pPr>
    </w:p>
    <w:p>
      <w:pPr>
        <w:jc w:val="both"/>
        <w:ind w:right="20" w:firstLine="567"/>
        <w:spacing w:after="0" w:line="257"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To the extent permitted by Applicable Laws, the parties waive trial by jury in any action, proceeding or counterclaim brought by the other party hereto related to matters arising out of or in any way connected with this Work Letter; the relationship between Landlord and Tenant; Tenant’s use or occupancy of the Premises; or any claim of injury or damage related to this Work Letter or the Premises.</w:t>
      </w:r>
    </w:p>
    <w:p>
      <w:pPr>
        <w:spacing w:after="0" w:line="189"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16"/>
          <w:szCs w:val="16"/>
          <w:color w:val="auto"/>
        </w:rPr>
        <w:t xml:space="preserve">7.14. </w:t>
      </w:r>
      <w:r>
        <w:rPr>
          <w:rFonts w:ascii="Arial" w:cs="Arial" w:eastAsia="Arial" w:hAnsi="Arial"/>
          <w:sz w:val="16"/>
          <w:szCs w:val="16"/>
          <w:u w:val="single" w:color="auto"/>
          <w:color w:val="auto"/>
        </w:rPr>
        <w:t>General</w:t>
      </w:r>
      <w:r>
        <w:rPr>
          <w:rFonts w:ascii="Arial" w:cs="Arial" w:eastAsia="Arial" w:hAnsi="Arial"/>
          <w:sz w:val="16"/>
          <w:szCs w:val="16"/>
          <w:color w:val="auto"/>
        </w:rPr>
        <w:t>. This Work Letter shall not apply to improvements performed in any additional premises added to the Premises at any time or from time to time, whether by any options under the Lease or otherwise; or to any portion of the Premises or any additions to the Premises in the event of a renewal or extension of the original Term, whether by any options under the Lease or otherwise, unless the Lease or any amendment or supplement to the Lease expressly provides that such additional premises are to be delivered to Tenant in the same condition as the initial Premises.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6376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11" w:name="page212"/>
    <w:bookmarkEnd w:id="211"/>
    <w:p>
      <w:pPr>
        <w:ind w:left="560"/>
        <w:spacing w:after="0"/>
        <w:rPr>
          <w:sz w:val="20"/>
          <w:szCs w:val="20"/>
          <w:color w:val="auto"/>
        </w:rPr>
      </w:pPr>
      <w:r>
        <w:rPr>
          <w:rFonts w:ascii="Arial" w:cs="Arial" w:eastAsia="Arial" w:hAnsi="Arial"/>
          <w:sz w:val="16"/>
          <w:szCs w:val="16"/>
          <w:color w:val="auto"/>
        </w:rPr>
        <w:t>IN WITNESS WHEREOF, Landlord and Tenant have executed this Work Letter to be effective on the date first above written.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LANDLORD</w:t>
      </w:r>
      <w:r>
        <w:rPr>
          <w:rFonts w:ascii="Arial" w:cs="Arial" w:eastAsia="Arial" w:hAnsi="Arial"/>
          <w:sz w:val="16"/>
          <w:szCs w:val="16"/>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BMR-6300 DUMBARTON CIRCLE 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 Delaware limited partnership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 w:type="dxa"/>
            <w:vAlign w:val="bottom"/>
          </w:tcPr>
          <w:p>
            <w:pPr>
              <w:spacing w:after="0"/>
              <w:rPr>
                <w:sz w:val="20"/>
                <w:szCs w:val="20"/>
                <w:color w:val="auto"/>
              </w:rPr>
            </w:pPr>
            <w:r>
              <w:rPr>
                <w:rFonts w:ascii="Arial" w:cs="Arial" w:eastAsia="Arial" w:hAnsi="Arial"/>
                <w:sz w:val="16"/>
                <w:szCs w:val="16"/>
                <w:color w:val="auto"/>
              </w:rPr>
              <w:t>By:</w:t>
            </w:r>
          </w:p>
        </w:tc>
        <w:tc>
          <w:tcPr>
            <w:tcW w:w="47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s/Kent Griffin</w:t>
            </w:r>
          </w:p>
        </w:tc>
      </w:tr>
      <w:tr>
        <w:trPr>
          <w:trHeight w:val="193"/>
        </w:trPr>
        <w:tc>
          <w:tcPr>
            <w:tcW w:w="420" w:type="dxa"/>
            <w:vAlign w:val="bottom"/>
          </w:tcPr>
          <w:p>
            <w:pPr>
              <w:spacing w:after="0"/>
              <w:rPr>
                <w:sz w:val="20"/>
                <w:szCs w:val="20"/>
                <w:color w:val="auto"/>
              </w:rPr>
            </w:pPr>
            <w:r>
              <w:rPr>
                <w:rFonts w:ascii="Arial" w:cs="Arial" w:eastAsia="Arial" w:hAnsi="Arial"/>
                <w:sz w:val="16"/>
                <w:szCs w:val="16"/>
                <w:color w:val="auto"/>
                <w:w w:val="84"/>
              </w:rPr>
              <w:t>Name:</w:t>
            </w:r>
          </w:p>
        </w:tc>
        <w:tc>
          <w:tcPr>
            <w:tcW w:w="47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Kent Griffin</w:t>
            </w:r>
          </w:p>
        </w:tc>
      </w:tr>
      <w:tr>
        <w:trPr>
          <w:trHeight w:val="193"/>
        </w:trPr>
        <w:tc>
          <w:tcPr>
            <w:tcW w:w="420" w:type="dxa"/>
            <w:vAlign w:val="bottom"/>
          </w:tcPr>
          <w:p>
            <w:pPr>
              <w:spacing w:after="0"/>
              <w:rPr>
                <w:sz w:val="20"/>
                <w:szCs w:val="20"/>
                <w:color w:val="auto"/>
              </w:rPr>
            </w:pPr>
            <w:r>
              <w:rPr>
                <w:rFonts w:ascii="Arial" w:cs="Arial" w:eastAsia="Arial" w:hAnsi="Arial"/>
                <w:sz w:val="16"/>
                <w:szCs w:val="16"/>
                <w:color w:val="auto"/>
              </w:rPr>
              <w:t>Title:</w:t>
            </w:r>
          </w:p>
        </w:tc>
        <w:tc>
          <w:tcPr>
            <w:tcW w:w="47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President, COO</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TENANT</w:t>
      </w:r>
      <w:r>
        <w:rPr>
          <w:rFonts w:ascii="Arial" w:cs="Arial" w:eastAsia="Arial" w:hAnsi="Arial"/>
          <w:sz w:val="16"/>
          <w:szCs w:val="16"/>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ASTERIAS BIOTHERAPEUTICS,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 w:type="dxa"/>
            <w:vAlign w:val="bottom"/>
          </w:tcPr>
          <w:p>
            <w:pPr>
              <w:spacing w:after="0"/>
              <w:rPr>
                <w:sz w:val="20"/>
                <w:szCs w:val="20"/>
                <w:color w:val="auto"/>
              </w:rPr>
            </w:pPr>
            <w:r>
              <w:rPr>
                <w:rFonts w:ascii="Arial" w:cs="Arial" w:eastAsia="Arial" w:hAnsi="Arial"/>
                <w:sz w:val="16"/>
                <w:szCs w:val="16"/>
                <w:color w:val="auto"/>
              </w:rPr>
              <w:t>By:</w:t>
            </w:r>
          </w:p>
        </w:tc>
        <w:tc>
          <w:tcPr>
            <w:tcW w:w="47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s/Thomas Okarma</w:t>
            </w:r>
          </w:p>
        </w:tc>
        <w:tc>
          <w:tcPr>
            <w:tcW w:w="6260" w:type="dxa"/>
            <w:vAlign w:val="bottom"/>
          </w:tcPr>
          <w:p>
            <w:pPr>
              <w:spacing w:after="0"/>
              <w:rPr>
                <w:sz w:val="17"/>
                <w:szCs w:val="17"/>
                <w:color w:val="auto"/>
              </w:rPr>
            </w:pPr>
          </w:p>
        </w:tc>
      </w:tr>
      <w:tr>
        <w:trPr>
          <w:trHeight w:val="193"/>
        </w:trPr>
        <w:tc>
          <w:tcPr>
            <w:tcW w:w="420" w:type="dxa"/>
            <w:vAlign w:val="bottom"/>
          </w:tcPr>
          <w:p>
            <w:pPr>
              <w:spacing w:after="0"/>
              <w:rPr>
                <w:sz w:val="20"/>
                <w:szCs w:val="20"/>
                <w:color w:val="auto"/>
              </w:rPr>
            </w:pPr>
            <w:r>
              <w:rPr>
                <w:rFonts w:ascii="Arial" w:cs="Arial" w:eastAsia="Arial" w:hAnsi="Arial"/>
                <w:sz w:val="16"/>
                <w:szCs w:val="16"/>
                <w:color w:val="auto"/>
                <w:w w:val="84"/>
              </w:rPr>
              <w:t>Name:</w:t>
            </w:r>
          </w:p>
        </w:tc>
        <w:tc>
          <w:tcPr>
            <w:tcW w:w="47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Thomas Okarma</w:t>
            </w:r>
          </w:p>
        </w:tc>
        <w:tc>
          <w:tcPr>
            <w:tcW w:w="6260" w:type="dxa"/>
            <w:vAlign w:val="bottom"/>
          </w:tcPr>
          <w:p>
            <w:pPr>
              <w:spacing w:after="0"/>
              <w:rPr>
                <w:sz w:val="16"/>
                <w:szCs w:val="16"/>
                <w:color w:val="auto"/>
              </w:rPr>
            </w:pPr>
          </w:p>
        </w:tc>
      </w:tr>
      <w:tr>
        <w:trPr>
          <w:trHeight w:val="193"/>
        </w:trPr>
        <w:tc>
          <w:tcPr>
            <w:tcW w:w="420" w:type="dxa"/>
            <w:vAlign w:val="bottom"/>
          </w:tcPr>
          <w:p>
            <w:pPr>
              <w:spacing w:after="0"/>
              <w:rPr>
                <w:sz w:val="20"/>
                <w:szCs w:val="20"/>
                <w:color w:val="auto"/>
              </w:rPr>
            </w:pPr>
            <w:r>
              <w:rPr>
                <w:rFonts w:ascii="Arial" w:cs="Arial" w:eastAsia="Arial" w:hAnsi="Arial"/>
                <w:sz w:val="16"/>
                <w:szCs w:val="16"/>
                <w:color w:val="auto"/>
              </w:rPr>
              <w:t>Title:</w:t>
            </w:r>
          </w:p>
        </w:tc>
        <w:tc>
          <w:tcPr>
            <w:tcW w:w="476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President &amp; CEO</w:t>
            </w:r>
          </w:p>
        </w:tc>
        <w:tc>
          <w:tcPr>
            <w:tcW w:w="6260" w:type="dxa"/>
            <w:vAlign w:val="bottom"/>
          </w:tcPr>
          <w:p>
            <w:pPr>
              <w:spacing w:after="0"/>
              <w:rPr>
                <w:sz w:val="16"/>
                <w:szCs w:val="16"/>
                <w:color w:val="auto"/>
              </w:rPr>
            </w:pPr>
          </w:p>
        </w:tc>
      </w:tr>
      <w:tr>
        <w:trPr>
          <w:trHeight w:val="370"/>
        </w:trPr>
        <w:tc>
          <w:tcPr>
            <w:tcW w:w="4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127" w:right="21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5"/>
          <w:szCs w:val="15"/>
          <w:b w:val="1"/>
          <w:bCs w:val="1"/>
          <w:color w:val="auto"/>
        </w:rPr>
        <w:t>SCHEDULE 1 TO EXHIBIT B</w:t>
      </w:r>
    </w:p>
    <w:p>
      <w:pPr>
        <w:sectPr>
          <w:pgSz w:w="11900" w:h="16838" w:orient="portrait"/>
          <w:cols w:equalWidth="0" w:num="1">
            <w:col w:w="9019"/>
          </w:cols>
          <w:pgMar w:left="1440" w:top="123" w:right="1440" w:bottom="1440"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LIEN WAIVERS</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108585</wp:posOffset>
            </wp:positionV>
            <wp:extent cx="726376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213" w:name="page214"/>
    <w:bookmarkEnd w:id="213"/>
    <w:p>
      <w:pPr>
        <w:jc w:val="center"/>
        <w:ind w:right="-1225"/>
        <w:spacing w:after="0"/>
        <w:rPr>
          <w:sz w:val="20"/>
          <w:szCs w:val="20"/>
          <w:color w:val="auto"/>
        </w:rPr>
      </w:pPr>
      <w:r>
        <w:rPr>
          <w:rFonts w:ascii="Arial" w:cs="Arial" w:eastAsia="Arial" w:hAnsi="Arial"/>
          <w:sz w:val="15"/>
          <w:szCs w:val="15"/>
          <w:b w:val="1"/>
          <w:bCs w:val="1"/>
          <w:u w:val="single" w:color="auto"/>
          <w:color w:val="auto"/>
        </w:rPr>
        <w:t>CONDITIONAL WAIVER AND RELEASE ON PROGRESS PAYMENT</w:t>
      </w:r>
    </w:p>
    <w:p>
      <w:pPr>
        <w:spacing w:after="0" w:line="32" w:lineRule="exact"/>
        <w:rPr>
          <w:sz w:val="20"/>
          <w:szCs w:val="20"/>
          <w:color w:val="auto"/>
        </w:rPr>
      </w:pPr>
    </w:p>
    <w:p>
      <w:pPr>
        <w:jc w:val="center"/>
        <w:ind w:right="-1265"/>
        <w:spacing w:after="0"/>
        <w:rPr>
          <w:sz w:val="20"/>
          <w:szCs w:val="20"/>
          <w:color w:val="auto"/>
        </w:rPr>
      </w:pPr>
      <w:r>
        <w:rPr>
          <w:rFonts w:ascii="Arial" w:cs="Arial" w:eastAsia="Arial" w:hAnsi="Arial"/>
          <w:sz w:val="16"/>
          <w:szCs w:val="16"/>
          <w:b w:val="1"/>
          <w:bCs w:val="1"/>
          <w:color w:val="auto"/>
        </w:rPr>
        <w:t>(Contractor)</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6"/>
          <w:szCs w:val="16"/>
          <w:color w:val="auto"/>
        </w:rPr>
        <w:t>To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Agreement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221"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Supporting Documents Attached Hereto</w:t>
      </w:r>
      <w:r>
        <w:rPr>
          <w:rFonts w:ascii="Arial" w:cs="Arial" w:eastAsia="Arial" w:hAnsi="Arial"/>
          <w:sz w:val="16"/>
          <w:szCs w:val="16"/>
          <w:color w:val="auto"/>
        </w:rPr>
        <w:t>:</w:t>
      </w:r>
    </w:p>
    <w:p>
      <w:pPr>
        <w:spacing w:after="0" w:line="218" w:lineRule="exact"/>
        <w:rPr>
          <w:sz w:val="20"/>
          <w:szCs w:val="20"/>
          <w:color w:val="auto"/>
        </w:rPr>
      </w:pPr>
    </w:p>
    <w:p>
      <w:pPr>
        <w:ind w:left="565" w:hanging="565"/>
        <w:spacing w:after="0"/>
        <w:tabs>
          <w:tab w:leader="none" w:pos="56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Contractor’s Conditional Waiver and Release on Progress Payment Notice</w:t>
      </w:r>
    </w:p>
    <w:p>
      <w:pPr>
        <w:spacing w:after="0" w:line="217" w:lineRule="exact"/>
        <w:rPr>
          <w:rFonts w:ascii="Arial" w:cs="Arial" w:eastAsia="Arial" w:hAnsi="Arial"/>
          <w:sz w:val="16"/>
          <w:szCs w:val="16"/>
          <w:color w:val="auto"/>
        </w:rPr>
      </w:pPr>
    </w:p>
    <w:p>
      <w:pPr>
        <w:ind w:left="705" w:right="3159" w:hanging="705"/>
        <w:spacing w:after="0" w:line="524" w:lineRule="auto"/>
        <w:tabs>
          <w:tab w:leader="none" w:pos="57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Separate waivers and releases from the following subcontractors and material and equipment suppliers: a.</w:t>
      </w:r>
    </w:p>
    <w:p>
      <w:pPr>
        <w:ind w:left="705"/>
        <w:spacing w:after="0"/>
        <w:rPr>
          <w:rFonts w:ascii="Arial" w:cs="Arial" w:eastAsia="Arial" w:hAnsi="Arial"/>
          <w:sz w:val="16"/>
          <w:szCs w:val="16"/>
          <w:color w:val="auto"/>
        </w:rPr>
      </w:pPr>
      <w:r>
        <w:rPr>
          <w:rFonts w:ascii="Arial" w:cs="Arial" w:eastAsia="Arial" w:hAnsi="Arial"/>
          <w:sz w:val="16"/>
          <w:szCs w:val="16"/>
          <w:color w:val="auto"/>
        </w:rPr>
        <w:t>b.</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c.</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d.</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-1008380</wp:posOffset>
            </wp:positionV>
            <wp:extent cx="638556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-753745</wp:posOffset>
            </wp:positionV>
            <wp:extent cx="6385560"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-498475</wp:posOffset>
            </wp:positionV>
            <wp:extent cx="6385560"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-243205</wp:posOffset>
            </wp:positionV>
            <wp:extent cx="6385560"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259080</wp:posOffset>
            </wp:positionV>
            <wp:extent cx="726376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25"/>
          </w:cols>
          <w:pgMar w:left="235" w:top="123" w:right="1440" w:bottom="1440" w:gutter="0" w:footer="0" w:header="0"/>
        </w:sectPr>
      </w:pPr>
    </w:p>
    <w:bookmarkStart w:id="214" w:name="page215"/>
    <w:bookmarkEnd w:id="214"/>
    <w:p>
      <w:pPr>
        <w:jc w:val="center"/>
        <w:spacing w:after="0"/>
        <w:rPr>
          <w:sz w:val="20"/>
          <w:szCs w:val="20"/>
          <w:color w:val="auto"/>
        </w:rPr>
      </w:pPr>
      <w:r>
        <w:rPr>
          <w:rFonts w:ascii="Arial" w:cs="Arial" w:eastAsia="Arial" w:hAnsi="Arial"/>
          <w:sz w:val="16"/>
          <w:szCs w:val="16"/>
          <w:b w:val="1"/>
          <w:bCs w:val="1"/>
          <w:u w:val="single" w:color="auto"/>
          <w:color w:val="auto"/>
        </w:rPr>
        <w:t>CONDITIONAL WAIVER AND RELEASE ON PROGRESS PAYMENT NOTICE</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THIS DOCUMENT WAIVES THE CLAIMANT’S LIEN, STOP PAYMENT NOTICE, AND PAYMENT BOND RIGHTS EFFECTIVE ON RECEIPT OF PAYMENT. A PERSON SHOULD NOT RELY ON THIS DOCUMENT UNLESS SATISFIED THAT THE CLAIMANT HAS RECEIVED PAYMENT.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Identifying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Name of Claimant: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of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Job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Through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Conditional Waiver and Release</w:t>
      </w:r>
    </w:p>
    <w:p>
      <w:pPr>
        <w:spacing w:after="0" w:line="222"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This document waives and releases lien, stop payment notice, and payment bond rights the claimant has for labor and service provided, and equipment and material delivered, to the customer on this job through the Through Date of this document. Rights based upon labor or service provided, or equipment or material delivered, pursuant to a written change order that has been fully executed by the parties prior to the date that this document is signed by the claimant, are waived and released by this document, unless listed as an Exception below. This document is effective only on the claimant’s receipt of payment from the financial institution on which the following check is drawn: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Maker of 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tabs>
          <w:tab w:leader="none" w:pos="1460" w:val="left"/>
        </w:tabs>
        <w:rPr>
          <w:sz w:val="20"/>
          <w:szCs w:val="20"/>
          <w:color w:val="auto"/>
        </w:rPr>
      </w:pPr>
      <w:r>
        <w:rPr>
          <w:rFonts w:ascii="Arial" w:cs="Arial" w:eastAsia="Arial" w:hAnsi="Arial"/>
          <w:sz w:val="16"/>
          <w:szCs w:val="16"/>
          <w:color w:val="auto"/>
        </w:rPr>
        <w:t>Amount of Check:</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11430</wp:posOffset>
            </wp:positionV>
            <wp:extent cx="4794885"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9488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Check Payable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Exceptions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This document does not affect any of the following:</w:t>
      </w:r>
    </w:p>
    <w:p>
      <w:pPr>
        <w:spacing w:after="0" w:line="16" w:lineRule="exact"/>
        <w:rPr>
          <w:sz w:val="20"/>
          <w:szCs w:val="20"/>
          <w:color w:val="auto"/>
        </w:rPr>
      </w:pPr>
    </w:p>
    <w:p>
      <w:pPr>
        <w:ind w:left="1260" w:hanging="725"/>
        <w:spacing w:after="0"/>
        <w:tabs>
          <w:tab w:leader="none" w:pos="12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Retentions.</w:t>
      </w:r>
    </w:p>
    <w:p>
      <w:pPr>
        <w:spacing w:after="0" w:line="5" w:lineRule="exact"/>
        <w:rPr>
          <w:rFonts w:ascii="Arial" w:cs="Arial" w:eastAsia="Arial" w:hAnsi="Arial"/>
          <w:sz w:val="16"/>
          <w:szCs w:val="16"/>
          <w:color w:val="auto"/>
        </w:rPr>
      </w:pPr>
    </w:p>
    <w:p>
      <w:pPr>
        <w:ind w:left="1260" w:hanging="725"/>
        <w:spacing w:after="0"/>
        <w:tabs>
          <w:tab w:leader="none" w:pos="12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Extras for which the claimant has not received payment.</w:t>
      </w:r>
    </w:p>
    <w:p>
      <w:pPr>
        <w:spacing w:after="0" w:line="5" w:lineRule="exact"/>
        <w:rPr>
          <w:rFonts w:ascii="Arial" w:cs="Arial" w:eastAsia="Arial" w:hAnsi="Arial"/>
          <w:sz w:val="16"/>
          <w:szCs w:val="16"/>
          <w:color w:val="auto"/>
        </w:rPr>
      </w:pPr>
    </w:p>
    <w:p>
      <w:pPr>
        <w:ind w:left="1260" w:hanging="725"/>
        <w:spacing w:after="0"/>
        <w:tabs>
          <w:tab w:leader="none" w:pos="12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following progress payment for which the claimant has previously given a conditional waiver and release but has not received payment:</w:t>
      </w:r>
    </w:p>
    <w:p>
      <w:pPr>
        <w:spacing w:after="0" w:line="182" w:lineRule="exact"/>
        <w:rPr>
          <w:rFonts w:ascii="Arial" w:cs="Arial" w:eastAsia="Arial" w:hAnsi="Arial"/>
          <w:sz w:val="16"/>
          <w:szCs w:val="16"/>
          <w:color w:val="auto"/>
        </w:rPr>
      </w:pPr>
    </w:p>
    <w:p>
      <w:pPr>
        <w:ind w:left="1840" w:hanging="581"/>
        <w:spacing w:after="0"/>
        <w:tabs>
          <w:tab w:leader="none" w:pos="184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Date(s) of waiver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5084445</wp:posOffset>
            </wp:positionH>
            <wp:positionV relativeFrom="paragraph">
              <wp:posOffset>11430</wp:posOffset>
            </wp:positionV>
            <wp:extent cx="1816100"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16100" cy="15240"/>
                    </a:xfrm>
                    <a:prstGeom prst="rect">
                      <a:avLst/>
                    </a:prstGeom>
                    <a:noFill/>
                  </pic:spPr>
                </pic:pic>
              </a:graphicData>
            </a:graphic>
          </wp:anchor>
        </w:drawing>
      </w:r>
    </w:p>
    <w:p>
      <w:pPr>
        <w:spacing w:after="0" w:line="198" w:lineRule="exact"/>
        <w:rPr>
          <w:sz w:val="20"/>
          <w:szCs w:val="20"/>
          <w:color w:val="auto"/>
        </w:rPr>
      </w:pPr>
    </w:p>
    <w:p>
      <w:pPr>
        <w:ind w:left="1260"/>
        <w:spacing w:after="0"/>
        <w:tabs>
          <w:tab w:leader="none" w:pos="1820" w:val="left"/>
          <w:tab w:leader="none" w:pos="788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Amount(s) of unpaid progress payment(s):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5084445</wp:posOffset>
            </wp:positionH>
            <wp:positionV relativeFrom="paragraph">
              <wp:posOffset>11430</wp:posOffset>
            </wp:positionV>
            <wp:extent cx="1816100"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16100" cy="15240"/>
                    </a:xfrm>
                    <a:prstGeom prst="rect">
                      <a:avLst/>
                    </a:prstGeom>
                    <a:noFill/>
                  </pic:spPr>
                </pic:pic>
              </a:graphicData>
            </a:graphic>
          </wp:anchor>
        </w:drawing>
      </w:r>
    </w:p>
    <w:p>
      <w:pPr>
        <w:spacing w:after="0" w:line="198" w:lineRule="exact"/>
        <w:rPr>
          <w:sz w:val="20"/>
          <w:szCs w:val="20"/>
          <w:color w:val="auto"/>
        </w:rPr>
      </w:pPr>
    </w:p>
    <w:p>
      <w:pPr>
        <w:ind w:left="1260" w:hanging="725"/>
        <w:spacing w:after="0"/>
        <w:tabs>
          <w:tab w:leader="none" w:pos="12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Contract rights, including</w:t>
      </w:r>
    </w:p>
    <w:p>
      <w:pPr>
        <w:spacing w:after="0" w:line="16" w:lineRule="exact"/>
        <w:rPr>
          <w:rFonts w:ascii="Arial" w:cs="Arial" w:eastAsia="Arial" w:hAnsi="Arial"/>
          <w:sz w:val="16"/>
          <w:szCs w:val="16"/>
          <w:color w:val="auto"/>
        </w:rPr>
      </w:pPr>
    </w:p>
    <w:p>
      <w:pPr>
        <w:ind w:left="1840" w:hanging="581"/>
        <w:spacing w:after="0"/>
        <w:tabs>
          <w:tab w:leader="none" w:pos="18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 right based on rescission, abandonment, or breach of contract, and</w:t>
      </w:r>
    </w:p>
    <w:p>
      <w:pPr>
        <w:spacing w:after="0" w:line="5" w:lineRule="exact"/>
        <w:rPr>
          <w:rFonts w:ascii="Arial" w:cs="Arial" w:eastAsia="Arial" w:hAnsi="Arial"/>
          <w:sz w:val="16"/>
          <w:szCs w:val="16"/>
          <w:color w:val="auto"/>
        </w:rPr>
      </w:pPr>
    </w:p>
    <w:p>
      <w:pPr>
        <w:ind w:left="1840" w:hanging="581"/>
        <w:spacing w:after="0"/>
        <w:tabs>
          <w:tab w:leader="none" w:pos="18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right to recover compensation for work not compensated by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263765"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15" w:name="page216"/>
    <w:bookmarkEnd w:id="215"/>
    <w:p>
      <w:pPr>
        <w:jc w:val="right"/>
        <w:ind w:right="4179"/>
        <w:spacing w:after="0"/>
        <w:rPr>
          <w:sz w:val="20"/>
          <w:szCs w:val="20"/>
          <w:color w:val="auto"/>
        </w:rPr>
      </w:pPr>
      <w:r>
        <w:rPr>
          <w:rFonts w:ascii="Arial" w:cs="Arial" w:eastAsia="Arial" w:hAnsi="Arial"/>
          <w:sz w:val="16"/>
          <w:szCs w:val="16"/>
          <w:b w:val="1"/>
          <w:bCs w:val="1"/>
          <w:u w:val="single" w:color="auto"/>
          <w:color w:val="auto"/>
        </w:rPr>
        <w:t>Signature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Claimant’s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Claimant’s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Date of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6390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259080</wp:posOffset>
            </wp:positionV>
            <wp:extent cx="7263765"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16" w:name="page217"/>
    <w:bookmarkEnd w:id="216"/>
    <w:p>
      <w:pPr>
        <w:jc w:val="center"/>
        <w:spacing w:after="0"/>
        <w:rPr>
          <w:sz w:val="20"/>
          <w:szCs w:val="20"/>
          <w:color w:val="auto"/>
        </w:rPr>
      </w:pPr>
      <w:r>
        <w:rPr>
          <w:rFonts w:ascii="Arial" w:cs="Arial" w:eastAsia="Arial" w:hAnsi="Arial"/>
          <w:sz w:val="15"/>
          <w:szCs w:val="15"/>
          <w:b w:val="1"/>
          <w:bCs w:val="1"/>
          <w:u w:val="single" w:color="auto"/>
          <w:color w:val="auto"/>
        </w:rPr>
        <w:t>SUBCONTRACTORS’ LIEN WAIVERS</w:t>
      </w:r>
    </w:p>
    <w:p>
      <w:pPr>
        <w:sectPr>
          <w:pgSz w:w="11900" w:h="16838" w:orient="portrait"/>
          <w:cols w:equalWidth="0" w:num="1">
            <w:col w:w="9019"/>
          </w:cols>
          <w:pgMar w:left="1440" w:top="123" w:right="1440" w:bottom="1440" w:gutter="0" w:footer="0" w:header="0"/>
        </w:sect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[Please attach]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273050</wp:posOffset>
            </wp:positionV>
            <wp:extent cx="7263765"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217" w:name="page218"/>
    <w:bookmarkEnd w:id="217"/>
    <w:p>
      <w:pPr>
        <w:jc w:val="center"/>
        <w:ind w:right="-1205"/>
        <w:spacing w:after="0"/>
        <w:rPr>
          <w:sz w:val="20"/>
          <w:szCs w:val="20"/>
          <w:color w:val="auto"/>
        </w:rPr>
      </w:pPr>
      <w:r>
        <w:rPr>
          <w:rFonts w:ascii="Arial" w:cs="Arial" w:eastAsia="Arial" w:hAnsi="Arial"/>
          <w:sz w:val="15"/>
          <w:szCs w:val="15"/>
          <w:b w:val="1"/>
          <w:bCs w:val="1"/>
          <w:u w:val="single" w:color="auto"/>
          <w:color w:val="auto"/>
        </w:rPr>
        <w:t>UNCONDITIONAL WAIVER AND RELEASE ON PROGRESS PAYMENT</w:t>
      </w:r>
    </w:p>
    <w:p>
      <w:pPr>
        <w:spacing w:after="0" w:line="32" w:lineRule="exact"/>
        <w:rPr>
          <w:sz w:val="20"/>
          <w:szCs w:val="20"/>
          <w:color w:val="auto"/>
        </w:rPr>
      </w:pPr>
    </w:p>
    <w:p>
      <w:pPr>
        <w:jc w:val="center"/>
        <w:ind w:right="-1245"/>
        <w:spacing w:after="0"/>
        <w:rPr>
          <w:sz w:val="20"/>
          <w:szCs w:val="20"/>
          <w:color w:val="auto"/>
        </w:rPr>
      </w:pPr>
      <w:r>
        <w:rPr>
          <w:rFonts w:ascii="Arial" w:cs="Arial" w:eastAsia="Arial" w:hAnsi="Arial"/>
          <w:sz w:val="16"/>
          <w:szCs w:val="16"/>
          <w:b w:val="1"/>
          <w:bCs w:val="1"/>
          <w:color w:val="auto"/>
        </w:rPr>
        <w:t>(Contractor)</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6"/>
          <w:szCs w:val="16"/>
          <w:color w:val="auto"/>
        </w:rPr>
        <w:t>To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Agreement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221"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Supporting Documents Attached Hereto</w:t>
      </w:r>
      <w:r>
        <w:rPr>
          <w:rFonts w:ascii="Arial" w:cs="Arial" w:eastAsia="Arial" w:hAnsi="Arial"/>
          <w:sz w:val="16"/>
          <w:szCs w:val="16"/>
          <w:color w:val="auto"/>
        </w:rPr>
        <w:t>:</w:t>
      </w:r>
    </w:p>
    <w:p>
      <w:pPr>
        <w:spacing w:after="0" w:line="218" w:lineRule="exact"/>
        <w:rPr>
          <w:sz w:val="20"/>
          <w:szCs w:val="20"/>
          <w:color w:val="auto"/>
        </w:rPr>
      </w:pPr>
    </w:p>
    <w:p>
      <w:pPr>
        <w:ind w:left="705" w:hanging="705"/>
        <w:spacing w:after="0"/>
        <w:tabs>
          <w:tab w:leader="none" w:pos="70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Contractor’s Unconditional Waiver and Release on Final Payment Notice</w:t>
      </w:r>
    </w:p>
    <w:p>
      <w:pPr>
        <w:spacing w:after="0" w:line="194" w:lineRule="exact"/>
        <w:rPr>
          <w:rFonts w:ascii="Arial" w:cs="Arial" w:eastAsia="Arial" w:hAnsi="Arial"/>
          <w:sz w:val="16"/>
          <w:szCs w:val="16"/>
          <w:color w:val="auto"/>
        </w:rPr>
      </w:pPr>
    </w:p>
    <w:p>
      <w:pPr>
        <w:ind w:left="705" w:right="3019" w:hanging="705"/>
        <w:spacing w:after="0" w:line="508" w:lineRule="auto"/>
        <w:tabs>
          <w:tab w:leader="none" w:pos="70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Separate waivers and releases from the following subcontractors and material and equipment suppliers: a.</w:t>
      </w:r>
    </w:p>
    <w:p>
      <w:pPr>
        <w:spacing w:after="0" w:line="1"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b.</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c.</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d.</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-1008380</wp:posOffset>
            </wp:positionV>
            <wp:extent cx="6385560"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-753745</wp:posOffset>
            </wp:positionV>
            <wp:extent cx="6385560"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-498475</wp:posOffset>
            </wp:positionV>
            <wp:extent cx="6385560"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-243205</wp:posOffset>
            </wp:positionV>
            <wp:extent cx="6385560"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123825</wp:posOffset>
            </wp:positionV>
            <wp:extent cx="7263765"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25"/>
          </w:cols>
          <w:pgMar w:left="235" w:top="123" w:right="1440" w:bottom="1440" w:gutter="0" w:footer="0" w:header="0"/>
        </w:sectPr>
      </w:pPr>
    </w:p>
    <w:bookmarkStart w:id="218" w:name="page219"/>
    <w:bookmarkEnd w:id="218"/>
    <w:p>
      <w:pPr>
        <w:jc w:val="center"/>
        <w:spacing w:after="0"/>
        <w:rPr>
          <w:sz w:val="20"/>
          <w:szCs w:val="20"/>
          <w:color w:val="auto"/>
        </w:rPr>
      </w:pPr>
      <w:r>
        <w:rPr>
          <w:rFonts w:ascii="Arial" w:cs="Arial" w:eastAsia="Arial" w:hAnsi="Arial"/>
          <w:sz w:val="16"/>
          <w:szCs w:val="16"/>
          <w:b w:val="1"/>
          <w:bCs w:val="1"/>
          <w:u w:val="single" w:color="auto"/>
          <w:color w:val="auto"/>
        </w:rPr>
        <w:t>UNCONDITIONAL WAIVER AND RELEASE ON PROGRESS PAYMENT NOTICE</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 CLAIMANT: THIS DOCUMENT WAIVES AND RELEASES LIEN, STOP PAYMENT NOTICE, AND PAYMENT BOND RIGHTS UNCONDITIONALLY AND STATES THAT YOU HAVE BEEN PAID FOR GIVING UP THOSE RIGHTS. THIS DOCUMENT IS ENFORCEABLE AGAINST YOU IF YOU SIGN IT, EVEN IF YOU HAVE NOT BEEN PAID. IF YOU HAVE NOT BEEN PAID, USE A CONDITIONAL WAIVER AND RELEASE FORM.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Identifying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Name of Claimant: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of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Job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Through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Unconditional Waiver and Release</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This document waives and releases lien, stop payment notice, and payment bond rights the claimant has for labor and service provided, and equipment and material delivered, to the customer on this job through the Through Date of this document. Rights based upon labor or service provided, or equipment or material delivered, pursuant to a written change order that has been fully executed by the parties prior to the date that this document is signed by the claimant, are waived and released by this document, unless listed as an Exception below. The claimant has</w:t>
      </w:r>
    </w:p>
    <w:p>
      <w:pPr>
        <w:spacing w:after="0" w:line="193"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received the following progress payment: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11430</wp:posOffset>
            </wp:positionV>
            <wp:extent cx="2828925"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828925" cy="1524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Exceptions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This document does not affect any of the following:</w:t>
      </w:r>
    </w:p>
    <w:p>
      <w:pPr>
        <w:spacing w:after="0" w:line="16" w:lineRule="exact"/>
        <w:rPr>
          <w:sz w:val="20"/>
          <w:szCs w:val="20"/>
          <w:color w:val="auto"/>
        </w:rPr>
      </w:pPr>
    </w:p>
    <w:p>
      <w:pPr>
        <w:ind w:left="1120" w:hanging="558"/>
        <w:spacing w:after="0"/>
        <w:tabs>
          <w:tab w:leader="none" w:pos="11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Retentions.</w:t>
      </w:r>
    </w:p>
    <w:p>
      <w:pPr>
        <w:spacing w:after="0" w:line="5" w:lineRule="exact"/>
        <w:rPr>
          <w:rFonts w:ascii="Arial" w:cs="Arial" w:eastAsia="Arial" w:hAnsi="Arial"/>
          <w:sz w:val="16"/>
          <w:szCs w:val="16"/>
          <w:color w:val="auto"/>
        </w:rPr>
      </w:pPr>
    </w:p>
    <w:p>
      <w:pPr>
        <w:ind w:left="1120" w:hanging="558"/>
        <w:spacing w:after="0"/>
        <w:tabs>
          <w:tab w:leader="none" w:pos="11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Extras for which the claimant has not received payment.</w:t>
      </w:r>
    </w:p>
    <w:p>
      <w:pPr>
        <w:spacing w:after="0" w:line="5" w:lineRule="exact"/>
        <w:rPr>
          <w:rFonts w:ascii="Arial" w:cs="Arial" w:eastAsia="Arial" w:hAnsi="Arial"/>
          <w:sz w:val="16"/>
          <w:szCs w:val="16"/>
          <w:color w:val="auto"/>
        </w:rPr>
      </w:pPr>
    </w:p>
    <w:p>
      <w:pPr>
        <w:ind w:left="1120" w:hanging="558"/>
        <w:spacing w:after="0"/>
        <w:tabs>
          <w:tab w:leader="none" w:pos="11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Contract rights, including</w:t>
      </w:r>
    </w:p>
    <w:p>
      <w:pPr>
        <w:spacing w:after="0" w:line="5" w:lineRule="exact"/>
        <w:rPr>
          <w:rFonts w:ascii="Arial" w:cs="Arial" w:eastAsia="Arial" w:hAnsi="Arial"/>
          <w:sz w:val="16"/>
          <w:szCs w:val="16"/>
          <w:color w:val="auto"/>
        </w:rPr>
      </w:pPr>
    </w:p>
    <w:p>
      <w:pPr>
        <w:ind w:left="1700" w:hanging="571"/>
        <w:spacing w:after="0"/>
        <w:tabs>
          <w:tab w:leader="none" w:pos="17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 right based on rescission, abandonment, or breach of contract, and</w:t>
      </w:r>
    </w:p>
    <w:p>
      <w:pPr>
        <w:spacing w:after="0" w:line="5" w:lineRule="exact"/>
        <w:rPr>
          <w:rFonts w:ascii="Arial" w:cs="Arial" w:eastAsia="Arial" w:hAnsi="Arial"/>
          <w:sz w:val="16"/>
          <w:szCs w:val="16"/>
          <w:color w:val="auto"/>
        </w:rPr>
      </w:pPr>
    </w:p>
    <w:p>
      <w:pPr>
        <w:ind w:left="1700" w:hanging="571"/>
        <w:spacing w:after="0"/>
        <w:tabs>
          <w:tab w:leader="none" w:pos="17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right to recover compensation for work not compensated by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263765"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19" w:name="page220"/>
    <w:bookmarkEnd w:id="219"/>
    <w:p>
      <w:pPr>
        <w:jc w:val="right"/>
        <w:ind w:right="4179"/>
        <w:spacing w:after="0"/>
        <w:rPr>
          <w:sz w:val="20"/>
          <w:szCs w:val="20"/>
          <w:color w:val="auto"/>
        </w:rPr>
      </w:pPr>
      <w:r>
        <w:rPr>
          <w:rFonts w:ascii="Arial" w:cs="Arial" w:eastAsia="Arial" w:hAnsi="Arial"/>
          <w:sz w:val="16"/>
          <w:szCs w:val="16"/>
          <w:b w:val="1"/>
          <w:bCs w:val="1"/>
          <w:u w:val="single" w:color="auto"/>
          <w:color w:val="auto"/>
        </w:rPr>
        <w:t>Signature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Claimant’s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Claimant’s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Date of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26390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259080</wp:posOffset>
            </wp:positionV>
            <wp:extent cx="7263765"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20" w:name="page221"/>
    <w:bookmarkEnd w:id="220"/>
    <w:p>
      <w:pPr>
        <w:jc w:val="center"/>
        <w:spacing w:after="0"/>
        <w:rPr>
          <w:sz w:val="20"/>
          <w:szCs w:val="20"/>
          <w:color w:val="auto"/>
        </w:rPr>
      </w:pPr>
      <w:r>
        <w:rPr>
          <w:rFonts w:ascii="Arial" w:cs="Arial" w:eastAsia="Arial" w:hAnsi="Arial"/>
          <w:sz w:val="15"/>
          <w:szCs w:val="15"/>
          <w:b w:val="1"/>
          <w:bCs w:val="1"/>
          <w:u w:val="single" w:color="auto"/>
          <w:color w:val="auto"/>
        </w:rPr>
        <w:t>SUBCONTRACTORS’ LIEN WAIVERS</w:t>
      </w:r>
    </w:p>
    <w:p>
      <w:pPr>
        <w:sectPr>
          <w:pgSz w:w="11900" w:h="16838" w:orient="portrait"/>
          <w:cols w:equalWidth="0" w:num="1">
            <w:col w:w="9019"/>
          </w:cols>
          <w:pgMar w:left="1440" w:top="123" w:right="1440" w:bottom="1440" w:gutter="0" w:footer="0" w:header="0"/>
        </w:sect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[Please attach]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137795</wp:posOffset>
            </wp:positionV>
            <wp:extent cx="7263765"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221" w:name="page222"/>
    <w:bookmarkEnd w:id="221"/>
    <w:p>
      <w:pPr>
        <w:jc w:val="center"/>
        <w:ind w:right="-1225"/>
        <w:spacing w:after="0"/>
        <w:rPr>
          <w:sz w:val="20"/>
          <w:szCs w:val="20"/>
          <w:color w:val="auto"/>
        </w:rPr>
      </w:pPr>
      <w:r>
        <w:rPr>
          <w:rFonts w:ascii="Arial" w:cs="Arial" w:eastAsia="Arial" w:hAnsi="Arial"/>
          <w:sz w:val="15"/>
          <w:szCs w:val="15"/>
          <w:b w:val="1"/>
          <w:bCs w:val="1"/>
          <w:u w:val="single" w:color="auto"/>
          <w:color w:val="auto"/>
        </w:rPr>
        <w:t>CONDITIONAL WAIVER AND RELEASE ON FINAL PAYMENT</w:t>
      </w:r>
    </w:p>
    <w:p>
      <w:pPr>
        <w:spacing w:after="0" w:line="32" w:lineRule="exact"/>
        <w:rPr>
          <w:sz w:val="20"/>
          <w:szCs w:val="20"/>
          <w:color w:val="auto"/>
        </w:rPr>
      </w:pPr>
    </w:p>
    <w:p>
      <w:pPr>
        <w:jc w:val="center"/>
        <w:ind w:right="-1225"/>
        <w:spacing w:after="0"/>
        <w:rPr>
          <w:sz w:val="20"/>
          <w:szCs w:val="20"/>
          <w:color w:val="auto"/>
        </w:rPr>
      </w:pPr>
      <w:r>
        <w:rPr>
          <w:rFonts w:ascii="Arial" w:cs="Arial" w:eastAsia="Arial" w:hAnsi="Arial"/>
          <w:sz w:val="16"/>
          <w:szCs w:val="16"/>
          <w:b w:val="1"/>
          <w:bCs w:val="1"/>
          <w:color w:val="auto"/>
        </w:rPr>
        <w:t>(Contractor)</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6"/>
          <w:szCs w:val="16"/>
          <w:color w:val="auto"/>
        </w:rPr>
        <w:t>To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Agreement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221"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Supporting Documents Attached Hereto</w:t>
      </w:r>
      <w:r>
        <w:rPr>
          <w:rFonts w:ascii="Arial" w:cs="Arial" w:eastAsia="Arial" w:hAnsi="Arial"/>
          <w:sz w:val="16"/>
          <w:szCs w:val="16"/>
          <w:color w:val="auto"/>
        </w:rPr>
        <w:t>:</w:t>
      </w:r>
    </w:p>
    <w:p>
      <w:pPr>
        <w:spacing w:after="0" w:line="194" w:lineRule="exact"/>
        <w:rPr>
          <w:sz w:val="20"/>
          <w:szCs w:val="20"/>
          <w:color w:val="auto"/>
        </w:rPr>
      </w:pPr>
    </w:p>
    <w:p>
      <w:pPr>
        <w:ind w:left="705" w:hanging="705"/>
        <w:spacing w:after="0"/>
        <w:tabs>
          <w:tab w:leader="none" w:pos="7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Contractor’s Conditional Waiver and Release on Final Payment Notice</w:t>
      </w:r>
    </w:p>
    <w:p>
      <w:pPr>
        <w:spacing w:after="0" w:line="194" w:lineRule="exact"/>
        <w:rPr>
          <w:rFonts w:ascii="Arial" w:cs="Arial" w:eastAsia="Arial" w:hAnsi="Arial"/>
          <w:sz w:val="16"/>
          <w:szCs w:val="16"/>
          <w:color w:val="auto"/>
        </w:rPr>
      </w:pPr>
    </w:p>
    <w:p>
      <w:pPr>
        <w:ind w:left="705" w:right="3019" w:hanging="705"/>
        <w:spacing w:after="0" w:line="508" w:lineRule="auto"/>
        <w:tabs>
          <w:tab w:leader="none" w:pos="7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Separate waivers and releases from the following subcontractors and material and equipment suppliers: a.</w:t>
      </w:r>
    </w:p>
    <w:p>
      <w:pPr>
        <w:spacing w:after="0" w:line="1"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b.</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c.</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d.</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-1008380</wp:posOffset>
            </wp:positionV>
            <wp:extent cx="6385560"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-753745</wp:posOffset>
            </wp:positionV>
            <wp:extent cx="6385560"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-498475</wp:posOffset>
            </wp:positionV>
            <wp:extent cx="6385560"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-243205</wp:posOffset>
            </wp:positionV>
            <wp:extent cx="6385560"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123825</wp:posOffset>
            </wp:positionV>
            <wp:extent cx="7263765"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25"/>
          </w:cols>
          <w:pgMar w:left="235" w:top="123" w:right="1440" w:bottom="1440" w:gutter="0" w:footer="0" w:header="0"/>
        </w:sectPr>
      </w:pPr>
    </w:p>
    <w:bookmarkStart w:id="222" w:name="page223"/>
    <w:bookmarkEnd w:id="222"/>
    <w:p>
      <w:pPr>
        <w:jc w:val="center"/>
        <w:ind w:right="-59"/>
        <w:spacing w:after="0"/>
        <w:rPr>
          <w:sz w:val="20"/>
          <w:szCs w:val="20"/>
          <w:color w:val="auto"/>
        </w:rPr>
      </w:pPr>
      <w:r>
        <w:rPr>
          <w:rFonts w:ascii="Arial" w:cs="Arial" w:eastAsia="Arial" w:hAnsi="Arial"/>
          <w:sz w:val="16"/>
          <w:szCs w:val="16"/>
          <w:b w:val="1"/>
          <w:bCs w:val="1"/>
          <w:u w:val="single" w:color="auto"/>
          <w:color w:val="auto"/>
        </w:rPr>
        <w:t>CONDITIONAL WAIVER AND RELEASE ON FINAL PAYMENT NOTICE</w:t>
      </w:r>
    </w:p>
    <w:p>
      <w:pPr>
        <w:spacing w:after="0" w:line="222" w:lineRule="exact"/>
        <w:rPr>
          <w:sz w:val="20"/>
          <w:szCs w:val="20"/>
          <w:color w:val="auto"/>
        </w:rPr>
      </w:pPr>
    </w:p>
    <w:p>
      <w:pPr>
        <w:ind w:right="540"/>
        <w:spacing w:after="0" w:line="267" w:lineRule="auto"/>
        <w:rPr>
          <w:sz w:val="20"/>
          <w:szCs w:val="20"/>
          <w:color w:val="auto"/>
        </w:rPr>
      </w:pPr>
      <w:r>
        <w:rPr>
          <w:rFonts w:ascii="Arial" w:cs="Arial" w:eastAsia="Arial" w:hAnsi="Arial"/>
          <w:sz w:val="16"/>
          <w:szCs w:val="16"/>
          <w:color w:val="auto"/>
        </w:rPr>
        <w:t>THIS DOCUMENT WAIVES THE CLAIMANT’S LIEN, STOP PAYMENT NOTICE, AND PAYMENT BOND RIGHTS EFFECTIVE ON RECEIPT OF PAYMENT. A PERSON SHOULD NOT RELY ON THIS DOCUMENT UNLESS SATISFIED THAT THE CLAIMANT HAS RECEIVED PAYMENT.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Identifying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Name of Claimant: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of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Job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Conditional Waiver and Release</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This document waives and releases lien, stop payment notice, and payment bond rights the claimant has for labor and service provided, and equipment and material delivered, to the customer on this job. Rights based upon labor or service provided, or equipment or material delivered, pursuant to a written change order that has been fully executed by the parties prior to the date that this document is signed by the claimant, are waived and released by this document, unless listed as an Exception below. This document is effective only on the claimant’s receipt of payment from the financial institution on which the following check is drawn: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20" w:type="dxa"/>
            <w:vAlign w:val="bottom"/>
          </w:tcPr>
          <w:p>
            <w:pPr>
              <w:spacing w:after="0"/>
              <w:rPr>
                <w:sz w:val="20"/>
                <w:szCs w:val="20"/>
                <w:color w:val="auto"/>
              </w:rPr>
            </w:pPr>
            <w:r>
              <w:rPr>
                <w:rFonts w:ascii="Arial" w:cs="Arial" w:eastAsia="Arial" w:hAnsi="Arial"/>
                <w:sz w:val="16"/>
                <w:szCs w:val="16"/>
                <w:color w:val="auto"/>
              </w:rPr>
              <w:t>Maker of Check:</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382"/>
        </w:trPr>
        <w:tc>
          <w:tcPr>
            <w:tcW w:w="1220" w:type="dxa"/>
            <w:vAlign w:val="bottom"/>
          </w:tcPr>
          <w:p>
            <w:pPr>
              <w:spacing w:after="0"/>
              <w:rPr>
                <w:sz w:val="20"/>
                <w:szCs w:val="20"/>
                <w:color w:val="auto"/>
              </w:rPr>
            </w:pPr>
            <w:r>
              <w:rPr>
                <w:rFonts w:ascii="Arial" w:cs="Arial" w:eastAsia="Arial" w:hAnsi="Arial"/>
                <w:sz w:val="16"/>
                <w:szCs w:val="16"/>
                <w:color w:val="auto"/>
                <w:w w:val="94"/>
              </w:rPr>
              <w:t>Amount of Check:</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382"/>
        </w:trPr>
        <w:tc>
          <w:tcPr>
            <w:tcW w:w="1220" w:type="dxa"/>
            <w:vAlign w:val="bottom"/>
          </w:tcPr>
          <w:p>
            <w:pPr>
              <w:spacing w:after="0"/>
              <w:rPr>
                <w:sz w:val="20"/>
                <w:szCs w:val="20"/>
                <w:color w:val="auto"/>
              </w:rPr>
            </w:pPr>
            <w:r>
              <w:rPr>
                <w:rFonts w:ascii="Arial" w:cs="Arial" w:eastAsia="Arial" w:hAnsi="Arial"/>
                <w:sz w:val="16"/>
                <w:szCs w:val="16"/>
                <w:color w:val="auto"/>
                <w:w w:val="92"/>
              </w:rPr>
              <w:t>Check Payable to:</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366"/>
        </w:trPr>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820" w:type="dxa"/>
            <w:vAlign w:val="bottom"/>
            <w:gridSpan w:val="4"/>
          </w:tcPr>
          <w:p>
            <w:pPr>
              <w:spacing w:after="0"/>
              <w:rPr>
                <w:sz w:val="20"/>
                <w:szCs w:val="20"/>
                <w:color w:val="auto"/>
              </w:rPr>
            </w:pPr>
            <w:r>
              <w:rPr>
                <w:rFonts w:ascii="Arial" w:cs="Arial" w:eastAsia="Arial" w:hAnsi="Arial"/>
                <w:sz w:val="16"/>
                <w:szCs w:val="16"/>
                <w:b w:val="1"/>
                <w:bCs w:val="1"/>
                <w:color w:val="auto"/>
              </w:rPr>
              <w:t>Exceptions</w:t>
            </w:r>
          </w:p>
        </w:tc>
      </w:tr>
      <w:tr>
        <w:trPr>
          <w:trHeight w:val="405"/>
        </w:trPr>
        <w:tc>
          <w:tcPr>
            <w:tcW w:w="5340" w:type="dxa"/>
            <w:vAlign w:val="bottom"/>
            <w:gridSpan w:val="4"/>
          </w:tcPr>
          <w:p>
            <w:pPr>
              <w:spacing w:after="0"/>
              <w:rPr>
                <w:sz w:val="20"/>
                <w:szCs w:val="20"/>
                <w:color w:val="auto"/>
              </w:rPr>
            </w:pPr>
            <w:r>
              <w:rPr>
                <w:rFonts w:ascii="Arial" w:cs="Arial" w:eastAsia="Arial" w:hAnsi="Arial"/>
                <w:sz w:val="16"/>
                <w:szCs w:val="16"/>
                <w:color w:val="auto"/>
              </w:rPr>
              <w:t>This document does not affect any of the following:</w:t>
            </w: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5"/>
        </w:trPr>
        <w:tc>
          <w:tcPr>
            <w:tcW w:w="1220" w:type="dxa"/>
            <w:vAlign w:val="bottom"/>
          </w:tcPr>
          <w:p>
            <w:pPr>
              <w:ind w:left="700"/>
              <w:spacing w:after="0"/>
              <w:rPr>
                <w:sz w:val="20"/>
                <w:szCs w:val="20"/>
                <w:color w:val="auto"/>
              </w:rPr>
            </w:pPr>
            <w:r>
              <w:rPr>
                <w:rFonts w:ascii="Arial" w:cs="Arial" w:eastAsia="Arial" w:hAnsi="Arial"/>
                <w:sz w:val="16"/>
                <w:szCs w:val="16"/>
                <w:color w:val="auto"/>
              </w:rPr>
              <w:t>(a)</w:t>
            </w:r>
          </w:p>
        </w:tc>
        <w:tc>
          <w:tcPr>
            <w:tcW w:w="4120" w:type="dxa"/>
            <w:vAlign w:val="bottom"/>
            <w:gridSpan w:val="3"/>
          </w:tcPr>
          <w:p>
            <w:pPr>
              <w:ind w:left="60"/>
              <w:spacing w:after="0"/>
              <w:rPr>
                <w:sz w:val="20"/>
                <w:szCs w:val="20"/>
                <w:color w:val="auto"/>
              </w:rPr>
            </w:pPr>
            <w:r>
              <w:rPr>
                <w:rFonts w:ascii="Arial" w:cs="Arial" w:eastAsia="Arial" w:hAnsi="Arial"/>
                <w:sz w:val="16"/>
                <w:szCs w:val="16"/>
                <w:color w:val="auto"/>
              </w:rPr>
              <w:t>Disputed claims for extras in the amount of:</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r>
    </w:tbl>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Signature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Claimant’s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2536190"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3619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Claimant’s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2536190"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3619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Date of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2536190"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3619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259080</wp:posOffset>
            </wp:positionV>
            <wp:extent cx="7263765"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5"/>
          <w:szCs w:val="15"/>
          <w:b w:val="1"/>
          <w:bCs w:val="1"/>
          <w:u w:val="single" w:color="auto"/>
          <w:color w:val="auto"/>
        </w:rPr>
        <w:t>SUBCONTRACTORS’ LIEN WAIVERS</w:t>
      </w:r>
    </w:p>
    <w:p>
      <w:pPr>
        <w:sectPr>
          <w:pgSz w:w="11900" w:h="16838" w:orient="portrait"/>
          <w:cols w:equalWidth="0" w:num="1">
            <w:col w:w="9019"/>
          </w:cols>
          <w:pgMar w:left="1440" w:top="123" w:right="1440" w:bottom="1440" w:gutter="0" w:footer="0" w:header="0"/>
        </w:sect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[Please attach]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137795</wp:posOffset>
            </wp:positionV>
            <wp:extent cx="7263765"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224" w:name="page225"/>
    <w:bookmarkEnd w:id="224"/>
    <w:p>
      <w:pPr>
        <w:jc w:val="center"/>
        <w:ind w:right="-1205"/>
        <w:spacing w:after="0"/>
        <w:rPr>
          <w:sz w:val="20"/>
          <w:szCs w:val="20"/>
          <w:color w:val="auto"/>
        </w:rPr>
      </w:pPr>
      <w:r>
        <w:rPr>
          <w:rFonts w:ascii="Arial" w:cs="Arial" w:eastAsia="Arial" w:hAnsi="Arial"/>
          <w:sz w:val="15"/>
          <w:szCs w:val="15"/>
          <w:b w:val="1"/>
          <w:bCs w:val="1"/>
          <w:u w:val="single" w:color="auto"/>
          <w:color w:val="auto"/>
        </w:rPr>
        <w:t>UNCONDITIONAL WAIVER AND RELEASE ON FINAL PAYMENT</w:t>
      </w:r>
    </w:p>
    <w:p>
      <w:pPr>
        <w:spacing w:after="0" w:line="32" w:lineRule="exact"/>
        <w:rPr>
          <w:sz w:val="20"/>
          <w:szCs w:val="20"/>
          <w:color w:val="auto"/>
        </w:rPr>
      </w:pPr>
    </w:p>
    <w:p>
      <w:pPr>
        <w:jc w:val="center"/>
        <w:ind w:right="-1245"/>
        <w:spacing w:after="0"/>
        <w:rPr>
          <w:sz w:val="20"/>
          <w:szCs w:val="20"/>
          <w:color w:val="auto"/>
        </w:rPr>
      </w:pPr>
      <w:r>
        <w:rPr>
          <w:rFonts w:ascii="Arial" w:cs="Arial" w:eastAsia="Arial" w:hAnsi="Arial"/>
          <w:sz w:val="16"/>
          <w:szCs w:val="16"/>
          <w:b w:val="1"/>
          <w:bCs w:val="1"/>
          <w:color w:val="auto"/>
        </w:rPr>
        <w:t>(Contractor)</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6"/>
          <w:szCs w:val="16"/>
          <w:color w:val="auto"/>
        </w:rPr>
        <w:t>To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Agreement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221"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Supporting Documents Attached Hereto</w:t>
      </w:r>
      <w:r>
        <w:rPr>
          <w:rFonts w:ascii="Arial" w:cs="Arial" w:eastAsia="Arial" w:hAnsi="Arial"/>
          <w:sz w:val="16"/>
          <w:szCs w:val="16"/>
          <w:color w:val="auto"/>
        </w:rPr>
        <w:t>:</w:t>
      </w:r>
    </w:p>
    <w:p>
      <w:pPr>
        <w:spacing w:after="0" w:line="218" w:lineRule="exact"/>
        <w:rPr>
          <w:sz w:val="20"/>
          <w:szCs w:val="20"/>
          <w:color w:val="auto"/>
        </w:rPr>
      </w:pPr>
    </w:p>
    <w:p>
      <w:pPr>
        <w:ind w:left="565" w:hanging="565"/>
        <w:spacing w:after="0"/>
        <w:tabs>
          <w:tab w:leader="none" w:pos="56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Contractor’s Unconditional Waiver and Release on Final Payment Notice</w:t>
      </w:r>
    </w:p>
    <w:p>
      <w:pPr>
        <w:spacing w:after="0" w:line="194" w:lineRule="exact"/>
        <w:rPr>
          <w:rFonts w:ascii="Arial" w:cs="Arial" w:eastAsia="Arial" w:hAnsi="Arial"/>
          <w:sz w:val="16"/>
          <w:szCs w:val="16"/>
          <w:color w:val="auto"/>
        </w:rPr>
      </w:pPr>
    </w:p>
    <w:p>
      <w:pPr>
        <w:ind w:left="565" w:right="3159" w:hanging="565"/>
        <w:spacing w:after="0" w:line="508" w:lineRule="auto"/>
        <w:tabs>
          <w:tab w:leader="none" w:pos="56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Separate waivers and releases from the following subcontractors and material and equipment suppliers: a.</w:t>
      </w:r>
    </w:p>
    <w:p>
      <w:pPr>
        <w:spacing w:after="0" w:line="1" w:lineRule="exact"/>
        <w:rPr>
          <w:rFonts w:ascii="Arial" w:cs="Arial" w:eastAsia="Arial" w:hAnsi="Arial"/>
          <w:sz w:val="16"/>
          <w:szCs w:val="16"/>
          <w:color w:val="auto"/>
        </w:rPr>
      </w:pPr>
    </w:p>
    <w:p>
      <w:pPr>
        <w:ind w:left="565"/>
        <w:spacing w:after="0"/>
        <w:rPr>
          <w:rFonts w:ascii="Arial" w:cs="Arial" w:eastAsia="Arial" w:hAnsi="Arial"/>
          <w:sz w:val="16"/>
          <w:szCs w:val="16"/>
          <w:color w:val="auto"/>
        </w:rPr>
      </w:pPr>
      <w:r>
        <w:rPr>
          <w:rFonts w:ascii="Arial" w:cs="Arial" w:eastAsia="Arial" w:hAnsi="Arial"/>
          <w:sz w:val="16"/>
          <w:szCs w:val="16"/>
          <w:color w:val="auto"/>
        </w:rPr>
        <w:t>b.</w:t>
      </w:r>
    </w:p>
    <w:p>
      <w:pPr>
        <w:spacing w:after="0" w:line="217" w:lineRule="exact"/>
        <w:rPr>
          <w:rFonts w:ascii="Arial" w:cs="Arial" w:eastAsia="Arial" w:hAnsi="Arial"/>
          <w:sz w:val="16"/>
          <w:szCs w:val="16"/>
          <w:color w:val="auto"/>
        </w:rPr>
      </w:pPr>
    </w:p>
    <w:p>
      <w:pPr>
        <w:ind w:left="565"/>
        <w:spacing w:after="0"/>
        <w:rPr>
          <w:rFonts w:ascii="Arial" w:cs="Arial" w:eastAsia="Arial" w:hAnsi="Arial"/>
          <w:sz w:val="16"/>
          <w:szCs w:val="16"/>
          <w:color w:val="auto"/>
        </w:rPr>
      </w:pPr>
      <w:r>
        <w:rPr>
          <w:rFonts w:ascii="Arial" w:cs="Arial" w:eastAsia="Arial" w:hAnsi="Arial"/>
          <w:sz w:val="16"/>
          <w:szCs w:val="16"/>
          <w:color w:val="auto"/>
        </w:rPr>
        <w:t>c.</w:t>
      </w:r>
    </w:p>
    <w:p>
      <w:pPr>
        <w:spacing w:after="0" w:line="217" w:lineRule="exact"/>
        <w:rPr>
          <w:rFonts w:ascii="Arial" w:cs="Arial" w:eastAsia="Arial" w:hAnsi="Arial"/>
          <w:sz w:val="16"/>
          <w:szCs w:val="16"/>
          <w:color w:val="auto"/>
        </w:rPr>
      </w:pPr>
    </w:p>
    <w:p>
      <w:pPr>
        <w:ind w:left="565"/>
        <w:spacing w:after="0"/>
        <w:rPr>
          <w:rFonts w:ascii="Arial" w:cs="Arial" w:eastAsia="Arial" w:hAnsi="Arial"/>
          <w:sz w:val="16"/>
          <w:szCs w:val="16"/>
          <w:color w:val="auto"/>
        </w:rPr>
      </w:pPr>
      <w:r>
        <w:rPr>
          <w:rFonts w:ascii="Arial" w:cs="Arial" w:eastAsia="Arial" w:hAnsi="Arial"/>
          <w:sz w:val="16"/>
          <w:szCs w:val="16"/>
          <w:color w:val="auto"/>
        </w:rPr>
        <w:t>d.</w:t>
      </w:r>
    </w:p>
    <w:p>
      <w:pPr>
        <w:spacing w:after="0" w:line="217" w:lineRule="exact"/>
        <w:rPr>
          <w:rFonts w:ascii="Arial" w:cs="Arial" w:eastAsia="Arial" w:hAnsi="Arial"/>
          <w:sz w:val="16"/>
          <w:szCs w:val="16"/>
          <w:color w:val="auto"/>
        </w:rPr>
      </w:pPr>
    </w:p>
    <w:p>
      <w:pPr>
        <w:ind w:left="565"/>
        <w:spacing w:after="0"/>
        <w:rPr>
          <w:rFonts w:ascii="Arial" w:cs="Arial" w:eastAsia="Arial" w:hAnsi="Arial"/>
          <w:sz w:val="16"/>
          <w:szCs w:val="16"/>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795655</wp:posOffset>
            </wp:positionH>
            <wp:positionV relativeFrom="paragraph">
              <wp:posOffset>-1008380</wp:posOffset>
            </wp:positionV>
            <wp:extent cx="6468110"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468110" cy="1524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-753745</wp:posOffset>
            </wp:positionV>
            <wp:extent cx="6468110"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468110" cy="1524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-498475</wp:posOffset>
            </wp:positionV>
            <wp:extent cx="6468110"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68110" cy="1524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-243205</wp:posOffset>
            </wp:positionV>
            <wp:extent cx="6468110" cy="152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468110" cy="15240"/>
                    </a:xfrm>
                    <a:prstGeom prst="rect">
                      <a:avLst/>
                    </a:prstGeom>
                    <a:noFill/>
                  </pic:spPr>
                </pic:pic>
              </a:graphicData>
            </a:graphic>
          </wp:anchor>
        </w:drawing>
        <w:drawing>
          <wp:anchor simplePos="0" relativeHeight="251657728" behindDoc="1" locked="0" layoutInCell="0" allowOverlap="1">
            <wp:simplePos x="0" y="0"/>
            <wp:positionH relativeFrom="column">
              <wp:posOffset>795655</wp:posOffset>
            </wp:positionH>
            <wp:positionV relativeFrom="paragraph">
              <wp:posOffset>11430</wp:posOffset>
            </wp:positionV>
            <wp:extent cx="6468110"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46811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123825</wp:posOffset>
            </wp:positionV>
            <wp:extent cx="7263765"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25"/>
          </w:cols>
          <w:pgMar w:left="235" w:top="123" w:right="1440" w:bottom="1440" w:gutter="0" w:footer="0" w:header="0"/>
        </w:sectPr>
      </w:pPr>
    </w:p>
    <w:bookmarkStart w:id="225" w:name="page226"/>
    <w:bookmarkEnd w:id="225"/>
    <w:p>
      <w:pPr>
        <w:jc w:val="center"/>
        <w:ind w:right="-79"/>
        <w:spacing w:after="0"/>
        <w:rPr>
          <w:sz w:val="20"/>
          <w:szCs w:val="20"/>
          <w:color w:val="auto"/>
        </w:rPr>
      </w:pPr>
      <w:r>
        <w:rPr>
          <w:rFonts w:ascii="Arial" w:cs="Arial" w:eastAsia="Arial" w:hAnsi="Arial"/>
          <w:sz w:val="16"/>
          <w:szCs w:val="16"/>
          <w:b w:val="1"/>
          <w:bCs w:val="1"/>
          <w:u w:val="single" w:color="auto"/>
          <w:color w:val="auto"/>
        </w:rPr>
        <w:t>UNCONDITIONAL WAIVER AND RELEASE ON FINAL PAYMENT NOTICE</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 CLAIMANT: THIS DOCUMENT WAIVES AND RELEASES LIEN, STOP PAYMENT NOTICE, AND PAYMENT BOND RIGHTS UNCONDITIONALLY AND STATES THAT YOU HAVE BEEN PAID FOR GIVING UP THOSE RIGHTS. THIS DOCUMENT IS ENFORCEABLE AGAINST YOU IF YOU SIGN IT, EVEN IF YOU HAVE NOT BEEN PAID. IF YOU HAVE NOT BEEN PAID, USE A CONDITIONAL WAIVER AND RELEASE FORM.</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u w:val="single" w:color="auto"/>
          <w:color w:val="auto"/>
        </w:rPr>
        <w:t>Identifying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Name of Claimant: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of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Job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u w:val="single" w:color="auto"/>
          <w:color w:val="auto"/>
        </w:rPr>
        <w:t>Unconditional Waiver and Release</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This document waives and releases lien, stop payment notice, and payment bond rights the claimant has for all labor and service provided, and equipment and material delivered, to the customer on this job. Rights based upon labor or service provided, or equipment or material delivered, pursuant to a written change order that has been fully executed by the parties prior to the date that this document is signed by the claimant, are waived and released by this document, unless listed as an Exception below. The claimant has been paid in full.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Arial" w:cs="Arial" w:eastAsia="Arial" w:hAnsi="Arial"/>
                <w:sz w:val="16"/>
                <w:szCs w:val="16"/>
                <w:b w:val="1"/>
                <w:bCs w:val="1"/>
                <w:color w:val="auto"/>
              </w:rPr>
              <w:t>Exceptions</w:t>
            </w:r>
          </w:p>
        </w:tc>
      </w:tr>
      <w:tr>
        <w:trPr>
          <w:trHeight w:val="405"/>
        </w:trPr>
        <w:tc>
          <w:tcPr>
            <w:tcW w:w="5340" w:type="dxa"/>
            <w:vAlign w:val="bottom"/>
            <w:gridSpan w:val="2"/>
          </w:tcPr>
          <w:p>
            <w:pPr>
              <w:spacing w:after="0"/>
              <w:rPr>
                <w:sz w:val="20"/>
                <w:szCs w:val="20"/>
                <w:color w:val="auto"/>
              </w:rPr>
            </w:pPr>
            <w:r>
              <w:rPr>
                <w:rFonts w:ascii="Arial" w:cs="Arial" w:eastAsia="Arial" w:hAnsi="Arial"/>
                <w:sz w:val="16"/>
                <w:szCs w:val="16"/>
                <w:color w:val="auto"/>
              </w:rPr>
              <w:t>This document does not affect the following:</w:t>
            </w: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r>
      <w:tr>
        <w:trPr>
          <w:trHeight w:val="205"/>
        </w:trPr>
        <w:tc>
          <w:tcPr>
            <w:tcW w:w="1080" w:type="dxa"/>
            <w:vAlign w:val="bottom"/>
          </w:tcPr>
          <w:p>
            <w:pPr>
              <w:jc w:val="right"/>
              <w:ind w:right="121"/>
              <w:spacing w:after="0"/>
              <w:rPr>
                <w:sz w:val="20"/>
                <w:szCs w:val="20"/>
                <w:color w:val="auto"/>
              </w:rPr>
            </w:pPr>
            <w:r>
              <w:rPr>
                <w:rFonts w:ascii="Arial" w:cs="Arial" w:eastAsia="Arial" w:hAnsi="Arial"/>
                <w:sz w:val="16"/>
                <w:szCs w:val="16"/>
                <w:color w:val="auto"/>
              </w:rPr>
              <w:t>(1)</w:t>
            </w:r>
          </w:p>
        </w:tc>
        <w:tc>
          <w:tcPr>
            <w:tcW w:w="4260" w:type="dxa"/>
            <w:vAlign w:val="bottom"/>
          </w:tcPr>
          <w:p>
            <w:pPr>
              <w:ind w:left="200"/>
              <w:spacing w:after="0"/>
              <w:rPr>
                <w:sz w:val="20"/>
                <w:szCs w:val="20"/>
                <w:color w:val="auto"/>
              </w:rPr>
            </w:pPr>
            <w:r>
              <w:rPr>
                <w:rFonts w:ascii="Arial" w:cs="Arial" w:eastAsia="Arial" w:hAnsi="Arial"/>
                <w:sz w:val="16"/>
                <w:szCs w:val="16"/>
                <w:color w:val="auto"/>
              </w:rPr>
              <w:t>Disputed claims for extras in the amount of:</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r>
    </w:tbl>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6"/>
          <w:szCs w:val="16"/>
          <w:u w:val="single" w:color="auto"/>
          <w:color w:val="auto"/>
        </w:rPr>
        <w:t>Signature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Claimant’s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Claimant’s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Date of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26390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259080</wp:posOffset>
            </wp:positionV>
            <wp:extent cx="7263765"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40"/>
          </w:cols>
          <w:pgMar w:left="240" w:top="123" w:right="31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5"/>
          <w:szCs w:val="15"/>
          <w:b w:val="1"/>
          <w:bCs w:val="1"/>
          <w:u w:val="single" w:color="auto"/>
          <w:color w:val="auto"/>
        </w:rPr>
        <w:t>SUBCONTRACTORS’ LIEN WAIVERS</w:t>
      </w:r>
    </w:p>
    <w:p>
      <w:pPr>
        <w:sectPr>
          <w:pgSz w:w="11900" w:h="16838" w:orient="portrait"/>
          <w:cols w:equalWidth="0" w:num="1">
            <w:col w:w="9019"/>
          </w:cols>
          <w:pgMar w:left="1440" w:top="123" w:right="1440" w:bottom="1440" w:gutter="0" w:footer="0" w:header="0"/>
        </w:sect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[Please attach]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137795</wp:posOffset>
            </wp:positionV>
            <wp:extent cx="7263765" cy="152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227" w:name="page228"/>
    <w:bookmarkEnd w:id="227"/>
    <w:p>
      <w:pPr>
        <w:jc w:val="center"/>
        <w:ind w:right="-1225"/>
        <w:spacing w:after="0"/>
        <w:rPr>
          <w:sz w:val="20"/>
          <w:szCs w:val="20"/>
          <w:color w:val="auto"/>
        </w:rPr>
      </w:pPr>
      <w:r>
        <w:rPr>
          <w:rFonts w:ascii="Arial" w:cs="Arial" w:eastAsia="Arial" w:hAnsi="Arial"/>
          <w:sz w:val="15"/>
          <w:szCs w:val="15"/>
          <w:b w:val="1"/>
          <w:bCs w:val="1"/>
          <w:u w:val="single" w:color="auto"/>
          <w:color w:val="auto"/>
        </w:rPr>
        <w:t>CONDITIONAL WAIVER AND RELEASE ON PROGRESS PAYMENT</w:t>
      </w:r>
    </w:p>
    <w:p>
      <w:pPr>
        <w:spacing w:after="0" w:line="32" w:lineRule="exact"/>
        <w:rPr>
          <w:sz w:val="20"/>
          <w:szCs w:val="20"/>
          <w:color w:val="auto"/>
        </w:rPr>
      </w:pPr>
    </w:p>
    <w:p>
      <w:pPr>
        <w:jc w:val="center"/>
        <w:ind w:right="-1265"/>
        <w:spacing w:after="0"/>
        <w:rPr>
          <w:sz w:val="20"/>
          <w:szCs w:val="20"/>
          <w:color w:val="auto"/>
        </w:rPr>
      </w:pPr>
      <w:r>
        <w:rPr>
          <w:rFonts w:ascii="Arial" w:cs="Arial" w:eastAsia="Arial" w:hAnsi="Arial"/>
          <w:sz w:val="16"/>
          <w:szCs w:val="16"/>
          <w:b w:val="1"/>
          <w:bCs w:val="1"/>
          <w:color w:val="auto"/>
        </w:rPr>
        <w:t>(Subcontractor)</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6"/>
          <w:szCs w:val="16"/>
          <w:color w:val="auto"/>
        </w:rPr>
        <w:t>To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Subcontractor: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Agreement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221"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Supporting Documents Attached Hereto</w:t>
      </w:r>
      <w:r>
        <w:rPr>
          <w:rFonts w:ascii="Arial" w:cs="Arial" w:eastAsia="Arial" w:hAnsi="Arial"/>
          <w:sz w:val="16"/>
          <w:szCs w:val="16"/>
          <w:color w:val="auto"/>
        </w:rPr>
        <w:t>:</w:t>
      </w:r>
    </w:p>
    <w:p>
      <w:pPr>
        <w:spacing w:after="0" w:line="218" w:lineRule="exact"/>
        <w:rPr>
          <w:sz w:val="20"/>
          <w:szCs w:val="20"/>
          <w:color w:val="auto"/>
        </w:rPr>
      </w:pPr>
    </w:p>
    <w:p>
      <w:pPr>
        <w:ind w:left="705" w:hanging="705"/>
        <w:spacing w:after="0"/>
        <w:tabs>
          <w:tab w:leader="none" w:pos="70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Subcontractor’s Conditional Waiver and Release on Progress Payment Notice</w:t>
      </w:r>
    </w:p>
    <w:p>
      <w:pPr>
        <w:spacing w:after="0" w:line="194" w:lineRule="exact"/>
        <w:rPr>
          <w:rFonts w:ascii="Arial" w:cs="Arial" w:eastAsia="Arial" w:hAnsi="Arial"/>
          <w:sz w:val="16"/>
          <w:szCs w:val="16"/>
          <w:color w:val="auto"/>
        </w:rPr>
      </w:pPr>
    </w:p>
    <w:p>
      <w:pPr>
        <w:ind w:left="705" w:right="2739" w:hanging="705"/>
        <w:spacing w:after="0" w:line="508" w:lineRule="auto"/>
        <w:tabs>
          <w:tab w:leader="none" w:pos="70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Separate waivers and releases from the following sub-subcontractors and material and equipment suppliers: a.</w:t>
      </w:r>
    </w:p>
    <w:p>
      <w:pPr>
        <w:spacing w:after="0" w:line="1"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b.</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c.</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d.</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-1008380</wp:posOffset>
            </wp:positionV>
            <wp:extent cx="6385560" cy="152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-753745</wp:posOffset>
            </wp:positionV>
            <wp:extent cx="6385560" cy="152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-498475</wp:posOffset>
            </wp:positionV>
            <wp:extent cx="6385560"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-243205</wp:posOffset>
            </wp:positionV>
            <wp:extent cx="6385560" cy="152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123825</wp:posOffset>
            </wp:positionV>
            <wp:extent cx="7263765" cy="152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25"/>
          </w:cols>
          <w:pgMar w:left="235" w:top="123" w:right="1440" w:bottom="1440" w:gutter="0" w:footer="0" w:header="0"/>
        </w:sectPr>
      </w:pPr>
    </w:p>
    <w:bookmarkStart w:id="228" w:name="page229"/>
    <w:bookmarkEnd w:id="228"/>
    <w:p>
      <w:pPr>
        <w:ind w:left="3180"/>
        <w:spacing w:after="0"/>
        <w:rPr>
          <w:sz w:val="20"/>
          <w:szCs w:val="20"/>
          <w:color w:val="auto"/>
        </w:rPr>
      </w:pPr>
      <w:r>
        <w:rPr>
          <w:rFonts w:ascii="Arial" w:cs="Arial" w:eastAsia="Arial" w:hAnsi="Arial"/>
          <w:sz w:val="16"/>
          <w:szCs w:val="16"/>
          <w:b w:val="1"/>
          <w:bCs w:val="1"/>
          <w:u w:val="single" w:color="auto"/>
          <w:color w:val="auto"/>
        </w:rPr>
        <w:t>CONDITIONAL WAIVER AND RELEASE ON PROGRESS PAYMENT NOTICE</w:t>
      </w:r>
    </w:p>
    <w:p>
      <w:pPr>
        <w:spacing w:after="0" w:line="222" w:lineRule="exact"/>
        <w:rPr>
          <w:sz w:val="20"/>
          <w:szCs w:val="20"/>
          <w:color w:val="auto"/>
        </w:rPr>
      </w:pPr>
    </w:p>
    <w:p>
      <w:pPr>
        <w:ind w:right="540"/>
        <w:spacing w:after="0" w:line="267" w:lineRule="auto"/>
        <w:rPr>
          <w:sz w:val="20"/>
          <w:szCs w:val="20"/>
          <w:color w:val="auto"/>
        </w:rPr>
      </w:pPr>
      <w:r>
        <w:rPr>
          <w:rFonts w:ascii="Arial" w:cs="Arial" w:eastAsia="Arial" w:hAnsi="Arial"/>
          <w:sz w:val="16"/>
          <w:szCs w:val="16"/>
          <w:color w:val="auto"/>
        </w:rPr>
        <w:t>THIS DOCUMENT WAIVES THE CLAIMANT’S LIEN, STOP PAYMENT NOTICE, AND PAYMENT BOND RIGHTS EFFECTIVE ON RECEIPT OF PAYMENT. A PERSON SHOULD NOT RELY ON THIS DOCUMENT UNLESS SATISFIED THAT THE CLAIMANT HAS RECEIVED PAYMENT.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Identifying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Name of Claimant: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of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Job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Through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Conditional Waiver and Release</w:t>
      </w:r>
    </w:p>
    <w:p>
      <w:pPr>
        <w:spacing w:after="0" w:line="222"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This document waives and releases lien, stop payment notice, and payment bond rights the claimant has for labor and service provided, and equipment and material delivered, to the customer on this job through the Through Date of this document. Rights based upon labor or service provided, or equipment or material delivered, pursuant to a written change order that has been fully executed by the parties prior to the date that this document is signed by the claimant, are waived and released by this document, unless listed as an Exception below. This document is effective only on the claimant’s receipt of payment from the financial institution on which the following check is drawn: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Maker of Check: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tabs>
          <w:tab w:leader="none" w:pos="1460" w:val="left"/>
        </w:tabs>
        <w:rPr>
          <w:sz w:val="20"/>
          <w:szCs w:val="20"/>
          <w:color w:val="auto"/>
        </w:rPr>
      </w:pPr>
      <w:r>
        <w:rPr>
          <w:rFonts w:ascii="Arial" w:cs="Arial" w:eastAsia="Arial" w:hAnsi="Arial"/>
          <w:sz w:val="16"/>
          <w:szCs w:val="16"/>
          <w:color w:val="auto"/>
        </w:rPr>
        <w:t>Amount of Check:</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11430</wp:posOffset>
            </wp:positionV>
            <wp:extent cx="4794885" cy="15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79488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Check Payable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Exceptions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This document does not affect any of the following:</w:t>
      </w:r>
    </w:p>
    <w:p>
      <w:pPr>
        <w:spacing w:after="0" w:line="16" w:lineRule="exact"/>
        <w:rPr>
          <w:sz w:val="20"/>
          <w:szCs w:val="20"/>
          <w:color w:val="auto"/>
        </w:rPr>
      </w:pPr>
    </w:p>
    <w:p>
      <w:pPr>
        <w:ind w:left="1260" w:hanging="725"/>
        <w:spacing w:after="0"/>
        <w:tabs>
          <w:tab w:leader="none" w:pos="12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Retentions.</w:t>
      </w:r>
    </w:p>
    <w:p>
      <w:pPr>
        <w:spacing w:after="0" w:line="5" w:lineRule="exact"/>
        <w:rPr>
          <w:rFonts w:ascii="Arial" w:cs="Arial" w:eastAsia="Arial" w:hAnsi="Arial"/>
          <w:sz w:val="16"/>
          <w:szCs w:val="16"/>
          <w:color w:val="auto"/>
        </w:rPr>
      </w:pPr>
    </w:p>
    <w:p>
      <w:pPr>
        <w:ind w:left="1260" w:hanging="725"/>
        <w:spacing w:after="0"/>
        <w:tabs>
          <w:tab w:leader="none" w:pos="12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Extras for which the claimant has not received payment.</w:t>
      </w:r>
    </w:p>
    <w:p>
      <w:pPr>
        <w:spacing w:after="0" w:line="5" w:lineRule="exact"/>
        <w:rPr>
          <w:rFonts w:ascii="Arial" w:cs="Arial" w:eastAsia="Arial" w:hAnsi="Arial"/>
          <w:sz w:val="16"/>
          <w:szCs w:val="16"/>
          <w:color w:val="auto"/>
        </w:rPr>
      </w:pPr>
    </w:p>
    <w:p>
      <w:pPr>
        <w:ind w:left="1260" w:hanging="725"/>
        <w:spacing w:after="0"/>
        <w:tabs>
          <w:tab w:leader="none" w:pos="12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following progress payment for which the claimant has previously given a conditional waiver and release but has not received payment:</w:t>
      </w:r>
    </w:p>
    <w:p>
      <w:pPr>
        <w:spacing w:after="0" w:line="182" w:lineRule="exact"/>
        <w:rPr>
          <w:rFonts w:ascii="Arial" w:cs="Arial" w:eastAsia="Arial" w:hAnsi="Arial"/>
          <w:sz w:val="16"/>
          <w:szCs w:val="16"/>
          <w:color w:val="auto"/>
        </w:rPr>
      </w:pPr>
    </w:p>
    <w:p>
      <w:pPr>
        <w:ind w:left="1840" w:hanging="581"/>
        <w:spacing w:after="0"/>
        <w:tabs>
          <w:tab w:leader="none" w:pos="184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Date(s) of waiver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5084445</wp:posOffset>
            </wp:positionH>
            <wp:positionV relativeFrom="paragraph">
              <wp:posOffset>11430</wp:posOffset>
            </wp:positionV>
            <wp:extent cx="1816100" cy="15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816100" cy="15240"/>
                    </a:xfrm>
                    <a:prstGeom prst="rect">
                      <a:avLst/>
                    </a:prstGeom>
                    <a:noFill/>
                  </pic:spPr>
                </pic:pic>
              </a:graphicData>
            </a:graphic>
          </wp:anchor>
        </w:drawing>
      </w:r>
    </w:p>
    <w:p>
      <w:pPr>
        <w:spacing w:after="0" w:line="198" w:lineRule="exact"/>
        <w:rPr>
          <w:sz w:val="20"/>
          <w:szCs w:val="20"/>
          <w:color w:val="auto"/>
        </w:rPr>
      </w:pPr>
    </w:p>
    <w:p>
      <w:pPr>
        <w:ind w:left="1260"/>
        <w:spacing w:after="0"/>
        <w:tabs>
          <w:tab w:leader="none" w:pos="1820" w:val="left"/>
          <w:tab w:leader="none" w:pos="788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6"/>
          <w:szCs w:val="16"/>
          <w:color w:val="auto"/>
        </w:rPr>
        <w:t>Amount(s) of unpaid progress payment(s):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5084445</wp:posOffset>
            </wp:positionH>
            <wp:positionV relativeFrom="paragraph">
              <wp:posOffset>11430</wp:posOffset>
            </wp:positionV>
            <wp:extent cx="1816100" cy="152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816100" cy="15240"/>
                    </a:xfrm>
                    <a:prstGeom prst="rect">
                      <a:avLst/>
                    </a:prstGeom>
                    <a:noFill/>
                  </pic:spPr>
                </pic:pic>
              </a:graphicData>
            </a:graphic>
          </wp:anchor>
        </w:drawing>
      </w:r>
    </w:p>
    <w:p>
      <w:pPr>
        <w:spacing w:after="0" w:line="198" w:lineRule="exact"/>
        <w:rPr>
          <w:sz w:val="20"/>
          <w:szCs w:val="20"/>
          <w:color w:val="auto"/>
        </w:rPr>
      </w:pPr>
    </w:p>
    <w:p>
      <w:pPr>
        <w:ind w:left="1260" w:hanging="725"/>
        <w:spacing w:after="0"/>
        <w:tabs>
          <w:tab w:leader="none" w:pos="12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Contract rights, including</w:t>
      </w:r>
    </w:p>
    <w:p>
      <w:pPr>
        <w:spacing w:after="0" w:line="16" w:lineRule="exact"/>
        <w:rPr>
          <w:rFonts w:ascii="Arial" w:cs="Arial" w:eastAsia="Arial" w:hAnsi="Arial"/>
          <w:sz w:val="16"/>
          <w:szCs w:val="16"/>
          <w:color w:val="auto"/>
        </w:rPr>
      </w:pPr>
    </w:p>
    <w:p>
      <w:pPr>
        <w:ind w:left="1840" w:hanging="581"/>
        <w:spacing w:after="0"/>
        <w:tabs>
          <w:tab w:leader="none" w:pos="184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 right based on rescission, abandonment, or breach of contract, and</w:t>
      </w:r>
    </w:p>
    <w:p>
      <w:pPr>
        <w:spacing w:after="0" w:line="5" w:lineRule="exact"/>
        <w:rPr>
          <w:rFonts w:ascii="Arial" w:cs="Arial" w:eastAsia="Arial" w:hAnsi="Arial"/>
          <w:sz w:val="16"/>
          <w:szCs w:val="16"/>
          <w:color w:val="auto"/>
        </w:rPr>
      </w:pPr>
    </w:p>
    <w:p>
      <w:pPr>
        <w:ind w:left="1840" w:hanging="581"/>
        <w:spacing w:after="0"/>
        <w:tabs>
          <w:tab w:leader="none" w:pos="184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right to recover compensation for work not compensated by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263765" cy="15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229" w:name="page230"/>
    <w:bookmarkEnd w:id="229"/>
    <w:p>
      <w:pPr>
        <w:jc w:val="right"/>
        <w:ind w:right="4179"/>
        <w:spacing w:after="0"/>
        <w:rPr>
          <w:sz w:val="20"/>
          <w:szCs w:val="20"/>
          <w:color w:val="auto"/>
        </w:rPr>
      </w:pPr>
      <w:r>
        <w:rPr>
          <w:rFonts w:ascii="Arial" w:cs="Arial" w:eastAsia="Arial" w:hAnsi="Arial"/>
          <w:sz w:val="16"/>
          <w:szCs w:val="16"/>
          <w:b w:val="1"/>
          <w:bCs w:val="1"/>
          <w:u w:val="single" w:color="auto"/>
          <w:color w:val="auto"/>
        </w:rPr>
        <w:t>Signature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Claimant’s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Claimant’s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Date of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26390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259080</wp:posOffset>
            </wp:positionV>
            <wp:extent cx="7263765" cy="152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30" w:name="page231"/>
    <w:bookmarkEnd w:id="230"/>
    <w:p>
      <w:pPr>
        <w:jc w:val="center"/>
        <w:spacing w:after="0"/>
        <w:rPr>
          <w:sz w:val="20"/>
          <w:szCs w:val="20"/>
          <w:color w:val="auto"/>
        </w:rPr>
      </w:pPr>
      <w:r>
        <w:rPr>
          <w:rFonts w:ascii="Arial" w:cs="Arial" w:eastAsia="Arial" w:hAnsi="Arial"/>
          <w:sz w:val="15"/>
          <w:szCs w:val="15"/>
          <w:b w:val="1"/>
          <w:bCs w:val="1"/>
          <w:u w:val="single" w:color="auto"/>
          <w:color w:val="auto"/>
        </w:rPr>
        <w:t>SUB-SUBCONTRACTORS’ LIEN WAIVERS</w:t>
      </w:r>
    </w:p>
    <w:p>
      <w:pPr>
        <w:sectPr>
          <w:pgSz w:w="11900" w:h="16838" w:orient="portrait"/>
          <w:cols w:equalWidth="0" w:num="1">
            <w:col w:w="9019"/>
          </w:cols>
          <w:pgMar w:left="1440" w:top="123" w:right="1440" w:bottom="1440" w:gutter="0" w:footer="0" w:header="0"/>
        </w:sect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[Please attach]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137795</wp:posOffset>
            </wp:positionV>
            <wp:extent cx="7263765" cy="152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231" w:name="page232"/>
    <w:bookmarkEnd w:id="231"/>
    <w:p>
      <w:pPr>
        <w:jc w:val="center"/>
        <w:ind w:right="-1205"/>
        <w:spacing w:after="0"/>
        <w:rPr>
          <w:sz w:val="20"/>
          <w:szCs w:val="20"/>
          <w:color w:val="auto"/>
        </w:rPr>
      </w:pPr>
      <w:r>
        <w:rPr>
          <w:rFonts w:ascii="Arial" w:cs="Arial" w:eastAsia="Arial" w:hAnsi="Arial"/>
          <w:sz w:val="15"/>
          <w:szCs w:val="15"/>
          <w:b w:val="1"/>
          <w:bCs w:val="1"/>
          <w:u w:val="single" w:color="auto"/>
          <w:color w:val="auto"/>
        </w:rPr>
        <w:t>UNCONDITIONAL WAIVER AND RELEASE ON PROGRESS PAYMENT</w:t>
      </w:r>
    </w:p>
    <w:p>
      <w:pPr>
        <w:spacing w:after="0" w:line="32" w:lineRule="exact"/>
        <w:rPr>
          <w:sz w:val="20"/>
          <w:szCs w:val="20"/>
          <w:color w:val="auto"/>
        </w:rPr>
      </w:pPr>
    </w:p>
    <w:p>
      <w:pPr>
        <w:jc w:val="center"/>
        <w:ind w:right="-1205"/>
        <w:spacing w:after="0"/>
        <w:rPr>
          <w:sz w:val="20"/>
          <w:szCs w:val="20"/>
          <w:color w:val="auto"/>
        </w:rPr>
      </w:pPr>
      <w:r>
        <w:rPr>
          <w:rFonts w:ascii="Arial" w:cs="Arial" w:eastAsia="Arial" w:hAnsi="Arial"/>
          <w:sz w:val="16"/>
          <w:szCs w:val="16"/>
          <w:b w:val="1"/>
          <w:bCs w:val="1"/>
          <w:color w:val="auto"/>
        </w:rPr>
        <w:t>(Subcontractor)</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6"/>
          <w:szCs w:val="16"/>
          <w:color w:val="auto"/>
        </w:rPr>
        <w:t>To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Subcontractor: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Agreement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221"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Supporting Documents Attached Hereto</w:t>
      </w:r>
      <w:r>
        <w:rPr>
          <w:rFonts w:ascii="Arial" w:cs="Arial" w:eastAsia="Arial" w:hAnsi="Arial"/>
          <w:sz w:val="16"/>
          <w:szCs w:val="16"/>
          <w:color w:val="auto"/>
        </w:rPr>
        <w:t>:</w:t>
      </w:r>
    </w:p>
    <w:p>
      <w:pPr>
        <w:spacing w:after="0" w:line="218" w:lineRule="exact"/>
        <w:rPr>
          <w:sz w:val="20"/>
          <w:szCs w:val="20"/>
          <w:color w:val="auto"/>
        </w:rPr>
      </w:pPr>
    </w:p>
    <w:p>
      <w:pPr>
        <w:ind w:left="705" w:hanging="705"/>
        <w:spacing w:after="0"/>
        <w:tabs>
          <w:tab w:leader="none" w:pos="70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Subcontractor’s Unconditional Waiver and Release on Progress Payment Notice</w:t>
      </w:r>
    </w:p>
    <w:p>
      <w:pPr>
        <w:spacing w:after="0" w:line="194" w:lineRule="exact"/>
        <w:rPr>
          <w:rFonts w:ascii="Arial" w:cs="Arial" w:eastAsia="Arial" w:hAnsi="Arial"/>
          <w:sz w:val="16"/>
          <w:szCs w:val="16"/>
          <w:color w:val="auto"/>
        </w:rPr>
      </w:pPr>
    </w:p>
    <w:p>
      <w:pPr>
        <w:ind w:left="705" w:right="2739" w:hanging="705"/>
        <w:spacing w:after="0" w:line="508" w:lineRule="auto"/>
        <w:tabs>
          <w:tab w:leader="none" w:pos="70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Separate waivers and releases from the following sub-subcontractors and material and equipment suppliers: a.</w:t>
      </w:r>
    </w:p>
    <w:p>
      <w:pPr>
        <w:spacing w:after="0" w:line="1"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b.</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c.</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d.</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-1008380</wp:posOffset>
            </wp:positionV>
            <wp:extent cx="6385560" cy="152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-753745</wp:posOffset>
            </wp:positionV>
            <wp:extent cx="6385560" cy="152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-498475</wp:posOffset>
            </wp:positionV>
            <wp:extent cx="6385560" cy="152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-243205</wp:posOffset>
            </wp:positionV>
            <wp:extent cx="6385560" cy="152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259080</wp:posOffset>
            </wp:positionV>
            <wp:extent cx="7263765" cy="152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25"/>
          </w:cols>
          <w:pgMar w:left="235" w:top="123" w:right="1440" w:bottom="1440" w:gutter="0" w:footer="0" w:header="0"/>
        </w:sectPr>
      </w:pPr>
    </w:p>
    <w:bookmarkStart w:id="232" w:name="page233"/>
    <w:bookmarkEnd w:id="232"/>
    <w:p>
      <w:pPr>
        <w:jc w:val="center"/>
        <w:ind w:right="-59"/>
        <w:spacing w:after="0"/>
        <w:rPr>
          <w:sz w:val="20"/>
          <w:szCs w:val="20"/>
          <w:color w:val="auto"/>
        </w:rPr>
      </w:pPr>
      <w:r>
        <w:rPr>
          <w:rFonts w:ascii="Arial" w:cs="Arial" w:eastAsia="Arial" w:hAnsi="Arial"/>
          <w:sz w:val="16"/>
          <w:szCs w:val="16"/>
          <w:b w:val="1"/>
          <w:bCs w:val="1"/>
          <w:u w:val="single" w:color="auto"/>
          <w:color w:val="auto"/>
        </w:rPr>
        <w:t>UNCONDITIONAL WAIVER AND RELEASE ON PROGRESS PAYMENT NOTICE</w:t>
      </w:r>
    </w:p>
    <w:p>
      <w:pPr>
        <w:spacing w:after="0" w:line="222"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TO CLAIMANT: THIS DOCUMENT WAIVES AND RELEASES LIEN, STOP PAYMENT NOTICE, AND PAYMENT BOND RIGHTS UNCONDITIONALLY AND STATES THAT YOU HAVE BEEN PAID FOR GIVING UP THOSE RIGHTS. THIS DOCUMENT IS ENFORCEABLE AGAINST YOU IF YOU SIGN IT, EVEN IF YOU HAVE NOT BEEN PAID. IF YOU HAVE NOT BEEN PAID, USE A CONDITIONAL WAIVER AND RELEASE FORM.</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Identifying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Name of Claimant: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of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Job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Through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Unconditional Waiver and Release</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This document waives and releases lien, stop payment notice, and payment bond rights the claimant has for labor and service provided, and equipment and material delivered, to the customer on this job through the Through Date of this document. Rights based upon labor or service provided, or equipment or material delivered, pursuant to a written change order that has been fully executed by the parties prior to the date that this document is signed by the claimant, are waived and released by this document, unless listed as an Exception below. The claimant has</w:t>
      </w:r>
    </w:p>
    <w:p>
      <w:pPr>
        <w:spacing w:after="0" w:line="193"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received the following progress payment: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11430</wp:posOffset>
            </wp:positionV>
            <wp:extent cx="2828925" cy="152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828925" cy="15240"/>
                    </a:xfrm>
                    <a:prstGeom prst="rect">
                      <a:avLst/>
                    </a:prstGeom>
                    <a:noFill/>
                  </pic:spPr>
                </pic:pic>
              </a:graphicData>
            </a:graphic>
          </wp:anchor>
        </w:drawing>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Exceptions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This document does not affect any of the following:</w:t>
      </w:r>
    </w:p>
    <w:p>
      <w:pPr>
        <w:spacing w:after="0" w:line="16" w:lineRule="exact"/>
        <w:rPr>
          <w:sz w:val="20"/>
          <w:szCs w:val="20"/>
          <w:color w:val="auto"/>
        </w:rPr>
      </w:pPr>
    </w:p>
    <w:p>
      <w:pPr>
        <w:ind w:left="1120" w:hanging="558"/>
        <w:spacing w:after="0"/>
        <w:tabs>
          <w:tab w:leader="none" w:pos="11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Retentions.</w:t>
      </w:r>
    </w:p>
    <w:p>
      <w:pPr>
        <w:spacing w:after="0" w:line="5" w:lineRule="exact"/>
        <w:rPr>
          <w:rFonts w:ascii="Arial" w:cs="Arial" w:eastAsia="Arial" w:hAnsi="Arial"/>
          <w:sz w:val="16"/>
          <w:szCs w:val="16"/>
          <w:color w:val="auto"/>
        </w:rPr>
      </w:pPr>
    </w:p>
    <w:p>
      <w:pPr>
        <w:ind w:left="1120" w:hanging="558"/>
        <w:spacing w:after="0"/>
        <w:tabs>
          <w:tab w:leader="none" w:pos="11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Extras for which the claimant has not received payment.</w:t>
      </w:r>
    </w:p>
    <w:p>
      <w:pPr>
        <w:spacing w:after="0" w:line="5" w:lineRule="exact"/>
        <w:rPr>
          <w:rFonts w:ascii="Arial" w:cs="Arial" w:eastAsia="Arial" w:hAnsi="Arial"/>
          <w:sz w:val="16"/>
          <w:szCs w:val="16"/>
          <w:color w:val="auto"/>
        </w:rPr>
      </w:pPr>
    </w:p>
    <w:p>
      <w:pPr>
        <w:ind w:left="1120" w:hanging="558"/>
        <w:spacing w:after="0"/>
        <w:tabs>
          <w:tab w:leader="none" w:pos="11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Contract rights, including</w:t>
      </w:r>
    </w:p>
    <w:p>
      <w:pPr>
        <w:spacing w:after="0" w:line="5" w:lineRule="exact"/>
        <w:rPr>
          <w:rFonts w:ascii="Arial" w:cs="Arial" w:eastAsia="Arial" w:hAnsi="Arial"/>
          <w:sz w:val="16"/>
          <w:szCs w:val="16"/>
          <w:color w:val="auto"/>
        </w:rPr>
      </w:pPr>
    </w:p>
    <w:p>
      <w:pPr>
        <w:ind w:left="1700" w:hanging="571"/>
        <w:spacing w:after="0"/>
        <w:tabs>
          <w:tab w:leader="none" w:pos="170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 right based on rescission, abandonment, or breach of contract, and</w:t>
      </w:r>
    </w:p>
    <w:p>
      <w:pPr>
        <w:spacing w:after="0" w:line="5" w:lineRule="exact"/>
        <w:rPr>
          <w:rFonts w:ascii="Arial" w:cs="Arial" w:eastAsia="Arial" w:hAnsi="Arial"/>
          <w:sz w:val="16"/>
          <w:szCs w:val="16"/>
          <w:color w:val="auto"/>
        </w:rPr>
      </w:pPr>
    </w:p>
    <w:p>
      <w:pPr>
        <w:ind w:left="1700" w:hanging="571"/>
        <w:spacing w:after="0"/>
        <w:tabs>
          <w:tab w:leader="none" w:pos="170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the right to recover compensation for work not compensated by the payment.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Signature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Claimant’s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Claimant’s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Date of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26390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259080</wp:posOffset>
            </wp:positionV>
            <wp:extent cx="7263765" cy="152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5"/>
          <w:szCs w:val="15"/>
          <w:b w:val="1"/>
          <w:bCs w:val="1"/>
          <w:u w:val="single" w:color="auto"/>
          <w:color w:val="auto"/>
        </w:rPr>
        <w:t>SUB-SUBCONTRACTORS’ LIEN WAIVERS</w:t>
      </w:r>
    </w:p>
    <w:p>
      <w:pPr>
        <w:sectPr>
          <w:pgSz w:w="11900" w:h="16838" w:orient="portrait"/>
          <w:cols w:equalWidth="0" w:num="1">
            <w:col w:w="9019"/>
          </w:cols>
          <w:pgMar w:left="1440" w:top="123" w:right="1440" w:bottom="1440" w:gutter="0" w:footer="0" w:header="0"/>
        </w:sectPr>
      </w:pP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[Please attach]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130810</wp:posOffset>
            </wp:positionV>
            <wp:extent cx="7263765" cy="152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234" w:name="page235"/>
    <w:bookmarkEnd w:id="234"/>
    <w:p>
      <w:pPr>
        <w:jc w:val="center"/>
        <w:ind w:right="-1225"/>
        <w:spacing w:after="0"/>
        <w:rPr>
          <w:sz w:val="20"/>
          <w:szCs w:val="20"/>
          <w:color w:val="auto"/>
        </w:rPr>
      </w:pPr>
      <w:r>
        <w:rPr>
          <w:rFonts w:ascii="Arial" w:cs="Arial" w:eastAsia="Arial" w:hAnsi="Arial"/>
          <w:sz w:val="15"/>
          <w:szCs w:val="15"/>
          <w:b w:val="1"/>
          <w:bCs w:val="1"/>
          <w:u w:val="single" w:color="auto"/>
          <w:color w:val="auto"/>
        </w:rPr>
        <w:t>CONDITIONAL WAIVER AND RELEASE ON FINAL PAYMENT</w:t>
      </w:r>
    </w:p>
    <w:p>
      <w:pPr>
        <w:spacing w:after="0" w:line="32" w:lineRule="exact"/>
        <w:rPr>
          <w:sz w:val="20"/>
          <w:szCs w:val="20"/>
          <w:color w:val="auto"/>
        </w:rPr>
      </w:pPr>
    </w:p>
    <w:p>
      <w:pPr>
        <w:jc w:val="center"/>
        <w:ind w:right="-1225"/>
        <w:spacing w:after="0"/>
        <w:rPr>
          <w:sz w:val="20"/>
          <w:szCs w:val="20"/>
          <w:color w:val="auto"/>
        </w:rPr>
      </w:pPr>
      <w:r>
        <w:rPr>
          <w:rFonts w:ascii="Arial" w:cs="Arial" w:eastAsia="Arial" w:hAnsi="Arial"/>
          <w:sz w:val="16"/>
          <w:szCs w:val="16"/>
          <w:b w:val="1"/>
          <w:bCs w:val="1"/>
          <w:color w:val="auto"/>
        </w:rPr>
        <w:t>(Subcontractor)</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6"/>
          <w:szCs w:val="16"/>
          <w:color w:val="auto"/>
        </w:rPr>
        <w:t>To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Subcontractor: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Agreement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221"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Supporting Documents Attached Hereto</w:t>
      </w:r>
      <w:r>
        <w:rPr>
          <w:rFonts w:ascii="Arial" w:cs="Arial" w:eastAsia="Arial" w:hAnsi="Arial"/>
          <w:sz w:val="16"/>
          <w:szCs w:val="16"/>
          <w:color w:val="auto"/>
        </w:rPr>
        <w:t>:</w:t>
      </w:r>
    </w:p>
    <w:p>
      <w:pPr>
        <w:spacing w:after="0" w:line="218" w:lineRule="exact"/>
        <w:rPr>
          <w:sz w:val="20"/>
          <w:szCs w:val="20"/>
          <w:color w:val="auto"/>
        </w:rPr>
      </w:pPr>
    </w:p>
    <w:p>
      <w:pPr>
        <w:ind w:left="705" w:hanging="705"/>
        <w:spacing w:after="0"/>
        <w:tabs>
          <w:tab w:leader="none" w:pos="70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Subcontractor’s Conditional Waiver and Release on Final Payment Notice</w:t>
      </w:r>
    </w:p>
    <w:p>
      <w:pPr>
        <w:spacing w:after="0" w:line="194" w:lineRule="exact"/>
        <w:rPr>
          <w:rFonts w:ascii="Arial" w:cs="Arial" w:eastAsia="Arial" w:hAnsi="Arial"/>
          <w:sz w:val="16"/>
          <w:szCs w:val="16"/>
          <w:color w:val="auto"/>
        </w:rPr>
      </w:pPr>
    </w:p>
    <w:p>
      <w:pPr>
        <w:ind w:left="705" w:right="2739" w:hanging="705"/>
        <w:spacing w:after="0" w:line="508" w:lineRule="auto"/>
        <w:tabs>
          <w:tab w:leader="none" w:pos="70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Separate waivers and releases from the following sub-subcontractors and material and equipment suppliers: a.</w:t>
      </w:r>
    </w:p>
    <w:p>
      <w:pPr>
        <w:spacing w:after="0" w:line="1"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b.</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c.</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d.</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-1008380</wp:posOffset>
            </wp:positionV>
            <wp:extent cx="6385560" cy="152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-753745</wp:posOffset>
            </wp:positionV>
            <wp:extent cx="6385560" cy="152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-498475</wp:posOffset>
            </wp:positionV>
            <wp:extent cx="6385560" cy="152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-243205</wp:posOffset>
            </wp:positionV>
            <wp:extent cx="6385560" cy="152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123825</wp:posOffset>
            </wp:positionV>
            <wp:extent cx="7263765" cy="152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25"/>
          </w:cols>
          <w:pgMar w:left="235" w:top="123" w:right="1440" w:bottom="1440" w:gutter="0" w:footer="0" w:header="0"/>
        </w:sectPr>
      </w:pPr>
    </w:p>
    <w:bookmarkStart w:id="235" w:name="page236"/>
    <w:bookmarkEnd w:id="235"/>
    <w:p>
      <w:pPr>
        <w:jc w:val="center"/>
        <w:ind w:right="-59"/>
        <w:spacing w:after="0"/>
        <w:rPr>
          <w:sz w:val="20"/>
          <w:szCs w:val="20"/>
          <w:color w:val="auto"/>
        </w:rPr>
      </w:pPr>
      <w:r>
        <w:rPr>
          <w:rFonts w:ascii="Arial" w:cs="Arial" w:eastAsia="Arial" w:hAnsi="Arial"/>
          <w:sz w:val="16"/>
          <w:szCs w:val="16"/>
          <w:b w:val="1"/>
          <w:bCs w:val="1"/>
          <w:u w:val="single" w:color="auto"/>
          <w:color w:val="auto"/>
        </w:rPr>
        <w:t>CONDITIONAL WAIVER AND RELEASE ON FINAL PAYMENT NOTICE</w:t>
      </w:r>
    </w:p>
    <w:p>
      <w:pPr>
        <w:spacing w:after="0" w:line="222" w:lineRule="exact"/>
        <w:rPr>
          <w:sz w:val="20"/>
          <w:szCs w:val="20"/>
          <w:color w:val="auto"/>
        </w:rPr>
      </w:pPr>
    </w:p>
    <w:p>
      <w:pPr>
        <w:ind w:right="540"/>
        <w:spacing w:after="0" w:line="267" w:lineRule="auto"/>
        <w:rPr>
          <w:sz w:val="20"/>
          <w:szCs w:val="20"/>
          <w:color w:val="auto"/>
        </w:rPr>
      </w:pPr>
      <w:r>
        <w:rPr>
          <w:rFonts w:ascii="Arial" w:cs="Arial" w:eastAsia="Arial" w:hAnsi="Arial"/>
          <w:sz w:val="16"/>
          <w:szCs w:val="16"/>
          <w:color w:val="auto"/>
        </w:rPr>
        <w:t>THIS DOCUMENT WAIVES THE CLAIMANT’S LIEN, STOP PAYMENT NOTICE, AND PAYMENT BOND RIGHTS EFFECTIVE ON RECEIPT OF PAYMENT. A PERSON SHOULD NOT RELY ON THIS DOCUMENT UNLESS SATISFIED THAT THE CLAIMANT HAS RECEIVED PAYMENT.</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Identifying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Name of Claimant: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4862195" cy="152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86219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of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4862195" cy="152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86219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Job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4862195" cy="152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86219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4862195" cy="152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862195" cy="15240"/>
                    </a:xfrm>
                    <a:prstGeom prst="rect">
                      <a:avLst/>
                    </a:prstGeom>
                    <a:noFill/>
                  </pic:spPr>
                </pic:pic>
              </a:graphicData>
            </a:graphic>
          </wp:anchor>
        </w:drawing>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Conditional Waiver and Release</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This document waives and releases lien, stop payment notice, and payment bond rights the claimant has for labor and service provided, and equipment and material delivered, to the customer on this job. Rights based upon labor or service provided, or equipment or material delivered, pursuant to a written change order that has been fully executed by the parties prior to the date that this document is signed by the claimant, are waived and released by this document, unless listed as an Exception below. This document is effective only on the claimant’s receipt of payment from the financial institution on which the following check is drawn: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20" w:type="dxa"/>
            <w:vAlign w:val="bottom"/>
          </w:tcPr>
          <w:p>
            <w:pPr>
              <w:spacing w:after="0"/>
              <w:rPr>
                <w:sz w:val="20"/>
                <w:szCs w:val="20"/>
                <w:color w:val="auto"/>
              </w:rPr>
            </w:pPr>
            <w:r>
              <w:rPr>
                <w:rFonts w:ascii="Arial" w:cs="Arial" w:eastAsia="Arial" w:hAnsi="Arial"/>
                <w:sz w:val="16"/>
                <w:szCs w:val="16"/>
                <w:color w:val="auto"/>
              </w:rPr>
              <w:t>Maker of Check:</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382"/>
        </w:trPr>
        <w:tc>
          <w:tcPr>
            <w:tcW w:w="1220" w:type="dxa"/>
            <w:vAlign w:val="bottom"/>
          </w:tcPr>
          <w:p>
            <w:pPr>
              <w:spacing w:after="0"/>
              <w:rPr>
                <w:sz w:val="20"/>
                <w:szCs w:val="20"/>
                <w:color w:val="auto"/>
              </w:rPr>
            </w:pPr>
            <w:r>
              <w:rPr>
                <w:rFonts w:ascii="Arial" w:cs="Arial" w:eastAsia="Arial" w:hAnsi="Arial"/>
                <w:sz w:val="16"/>
                <w:szCs w:val="16"/>
                <w:color w:val="auto"/>
                <w:w w:val="94"/>
              </w:rPr>
              <w:t>Amount of Check:</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3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382"/>
        </w:trPr>
        <w:tc>
          <w:tcPr>
            <w:tcW w:w="1220" w:type="dxa"/>
            <w:vAlign w:val="bottom"/>
          </w:tcPr>
          <w:p>
            <w:pPr>
              <w:spacing w:after="0"/>
              <w:rPr>
                <w:sz w:val="20"/>
                <w:szCs w:val="20"/>
                <w:color w:val="auto"/>
              </w:rPr>
            </w:pPr>
            <w:r>
              <w:rPr>
                <w:rFonts w:ascii="Arial" w:cs="Arial" w:eastAsia="Arial" w:hAnsi="Arial"/>
                <w:sz w:val="16"/>
                <w:szCs w:val="16"/>
                <w:color w:val="auto"/>
                <w:w w:val="92"/>
              </w:rPr>
              <w:t>Check Payable to:</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366"/>
        </w:trPr>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820" w:type="dxa"/>
            <w:vAlign w:val="bottom"/>
            <w:gridSpan w:val="4"/>
          </w:tcPr>
          <w:p>
            <w:pPr>
              <w:spacing w:after="0"/>
              <w:rPr>
                <w:sz w:val="20"/>
                <w:szCs w:val="20"/>
                <w:color w:val="auto"/>
              </w:rPr>
            </w:pPr>
            <w:r>
              <w:rPr>
                <w:rFonts w:ascii="Arial" w:cs="Arial" w:eastAsia="Arial" w:hAnsi="Arial"/>
                <w:sz w:val="16"/>
                <w:szCs w:val="16"/>
                <w:b w:val="1"/>
                <w:bCs w:val="1"/>
                <w:color w:val="auto"/>
              </w:rPr>
              <w:t>Exceptions</w:t>
            </w:r>
          </w:p>
        </w:tc>
      </w:tr>
      <w:tr>
        <w:trPr>
          <w:trHeight w:val="405"/>
        </w:trPr>
        <w:tc>
          <w:tcPr>
            <w:tcW w:w="5340" w:type="dxa"/>
            <w:vAlign w:val="bottom"/>
            <w:gridSpan w:val="4"/>
          </w:tcPr>
          <w:p>
            <w:pPr>
              <w:spacing w:after="0"/>
              <w:rPr>
                <w:sz w:val="20"/>
                <w:szCs w:val="20"/>
                <w:color w:val="auto"/>
              </w:rPr>
            </w:pPr>
            <w:r>
              <w:rPr>
                <w:rFonts w:ascii="Arial" w:cs="Arial" w:eastAsia="Arial" w:hAnsi="Arial"/>
                <w:sz w:val="16"/>
                <w:szCs w:val="16"/>
                <w:color w:val="auto"/>
              </w:rPr>
              <w:t>This document does not affect any of the following:</w:t>
            </w: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5"/>
        </w:trPr>
        <w:tc>
          <w:tcPr>
            <w:tcW w:w="1220" w:type="dxa"/>
            <w:vAlign w:val="bottom"/>
          </w:tcPr>
          <w:p>
            <w:pPr>
              <w:ind w:left="700"/>
              <w:spacing w:after="0"/>
              <w:rPr>
                <w:sz w:val="20"/>
                <w:szCs w:val="20"/>
                <w:color w:val="auto"/>
              </w:rPr>
            </w:pPr>
            <w:r>
              <w:rPr>
                <w:rFonts w:ascii="Arial" w:cs="Arial" w:eastAsia="Arial" w:hAnsi="Arial"/>
                <w:sz w:val="16"/>
                <w:szCs w:val="16"/>
                <w:color w:val="auto"/>
              </w:rPr>
              <w:t>(a)</w:t>
            </w:r>
          </w:p>
        </w:tc>
        <w:tc>
          <w:tcPr>
            <w:tcW w:w="4120" w:type="dxa"/>
            <w:vAlign w:val="bottom"/>
            <w:gridSpan w:val="3"/>
          </w:tcPr>
          <w:p>
            <w:pPr>
              <w:ind w:left="60"/>
              <w:spacing w:after="0"/>
              <w:rPr>
                <w:sz w:val="20"/>
                <w:szCs w:val="20"/>
                <w:color w:val="auto"/>
              </w:rPr>
            </w:pPr>
            <w:r>
              <w:rPr>
                <w:rFonts w:ascii="Arial" w:cs="Arial" w:eastAsia="Arial" w:hAnsi="Arial"/>
                <w:sz w:val="16"/>
                <w:szCs w:val="16"/>
                <w:color w:val="auto"/>
              </w:rPr>
              <w:t>Disputed claims for extras in the amount of:</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r>
    </w:tbl>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Signature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Claimant’s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Claimant’s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Date of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26390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259080</wp:posOffset>
            </wp:positionV>
            <wp:extent cx="7263765" cy="152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5"/>
          <w:szCs w:val="15"/>
          <w:b w:val="1"/>
          <w:bCs w:val="1"/>
          <w:u w:val="single" w:color="auto"/>
          <w:color w:val="auto"/>
        </w:rPr>
        <w:t>SUB-SUBCONTRACTORS’ LIEN WAIVERS</w:t>
      </w:r>
    </w:p>
    <w:p>
      <w:pPr>
        <w:sectPr>
          <w:pgSz w:w="11900" w:h="16838" w:orient="portrait"/>
          <w:cols w:equalWidth="0" w:num="1">
            <w:col w:w="9019"/>
          </w:cols>
          <w:pgMar w:left="1440" w:top="123" w:right="1440" w:bottom="1440" w:gutter="0" w:footer="0" w:header="0"/>
        </w:sect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[Please attach]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137795</wp:posOffset>
            </wp:positionV>
            <wp:extent cx="7263765" cy="152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237" w:name="page238"/>
    <w:bookmarkEnd w:id="237"/>
    <w:p>
      <w:pPr>
        <w:jc w:val="center"/>
        <w:ind w:right="-1205"/>
        <w:spacing w:after="0"/>
        <w:rPr>
          <w:sz w:val="20"/>
          <w:szCs w:val="20"/>
          <w:color w:val="auto"/>
        </w:rPr>
      </w:pPr>
      <w:r>
        <w:rPr>
          <w:rFonts w:ascii="Arial" w:cs="Arial" w:eastAsia="Arial" w:hAnsi="Arial"/>
          <w:sz w:val="15"/>
          <w:szCs w:val="15"/>
          <w:b w:val="1"/>
          <w:bCs w:val="1"/>
          <w:u w:val="single" w:color="auto"/>
          <w:color w:val="auto"/>
        </w:rPr>
        <w:t>UNCONDITIONAL WAIVER AND RELEASE ON FINAL PAYMENT</w:t>
      </w:r>
    </w:p>
    <w:p>
      <w:pPr>
        <w:spacing w:after="0" w:line="32" w:lineRule="exact"/>
        <w:rPr>
          <w:sz w:val="20"/>
          <w:szCs w:val="20"/>
          <w:color w:val="auto"/>
        </w:rPr>
      </w:pPr>
    </w:p>
    <w:p>
      <w:pPr>
        <w:jc w:val="center"/>
        <w:ind w:right="-1245"/>
        <w:spacing w:after="0"/>
        <w:rPr>
          <w:sz w:val="20"/>
          <w:szCs w:val="20"/>
          <w:color w:val="auto"/>
        </w:rPr>
      </w:pPr>
      <w:r>
        <w:rPr>
          <w:rFonts w:ascii="Arial" w:cs="Arial" w:eastAsia="Arial" w:hAnsi="Arial"/>
          <w:sz w:val="16"/>
          <w:szCs w:val="16"/>
          <w:b w:val="1"/>
          <w:bCs w:val="1"/>
          <w:color w:val="auto"/>
        </w:rPr>
        <w:t>(Subcontractor)</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6"/>
          <w:szCs w:val="16"/>
          <w:color w:val="auto"/>
        </w:rPr>
        <w:t>To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Subcontractor: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Agreement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198" w:lineRule="exact"/>
        <w:rPr>
          <w:sz w:val="20"/>
          <w:szCs w:val="20"/>
          <w:color w:val="auto"/>
        </w:rPr>
      </w:pPr>
    </w:p>
    <w:p>
      <w:pPr>
        <w:ind w:left="5"/>
        <w:spacing w:after="0"/>
        <w:rPr>
          <w:sz w:val="20"/>
          <w:szCs w:val="20"/>
          <w:color w:val="auto"/>
        </w:rPr>
      </w:pPr>
      <w:r>
        <w:rPr>
          <w:rFonts w:ascii="Arial" w:cs="Arial" w:eastAsia="Arial" w:hAnsi="Arial"/>
          <w:sz w:val="16"/>
          <w:szCs w:val="16"/>
          <w:color w:val="auto"/>
        </w:rPr>
        <w:t>Project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385560" cy="15240"/>
                    </a:xfrm>
                    <a:prstGeom prst="rect">
                      <a:avLst/>
                    </a:prstGeom>
                    <a:noFill/>
                  </pic:spPr>
                </pic:pic>
              </a:graphicData>
            </a:graphic>
          </wp:anchor>
        </w:drawing>
      </w:r>
    </w:p>
    <w:p>
      <w:pPr>
        <w:spacing w:after="0" w:line="221"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Supporting Documents Attached Hereto</w:t>
      </w:r>
      <w:r>
        <w:rPr>
          <w:rFonts w:ascii="Arial" w:cs="Arial" w:eastAsia="Arial" w:hAnsi="Arial"/>
          <w:sz w:val="16"/>
          <w:szCs w:val="16"/>
          <w:color w:val="auto"/>
        </w:rPr>
        <w:t>:</w:t>
      </w:r>
    </w:p>
    <w:p>
      <w:pPr>
        <w:spacing w:after="0" w:line="194" w:lineRule="exact"/>
        <w:rPr>
          <w:sz w:val="20"/>
          <w:szCs w:val="20"/>
          <w:color w:val="auto"/>
        </w:rPr>
      </w:pPr>
    </w:p>
    <w:p>
      <w:pPr>
        <w:ind w:left="705" w:hanging="705"/>
        <w:spacing w:after="0"/>
        <w:tabs>
          <w:tab w:leader="none" w:pos="70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Subcontractor’s Unconditional Waiver and Release on Final Payment Notice</w:t>
      </w:r>
    </w:p>
    <w:p>
      <w:pPr>
        <w:spacing w:after="0" w:line="194" w:lineRule="exact"/>
        <w:rPr>
          <w:rFonts w:ascii="Arial" w:cs="Arial" w:eastAsia="Arial" w:hAnsi="Arial"/>
          <w:sz w:val="16"/>
          <w:szCs w:val="16"/>
          <w:color w:val="auto"/>
        </w:rPr>
      </w:pPr>
    </w:p>
    <w:p>
      <w:pPr>
        <w:ind w:left="705" w:right="2739" w:hanging="705"/>
        <w:spacing w:after="0" w:line="508" w:lineRule="auto"/>
        <w:tabs>
          <w:tab w:leader="none" w:pos="70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Separate waivers and releases from the following sub-subcontractors and material and equipment suppliers: a.</w:t>
      </w:r>
    </w:p>
    <w:p>
      <w:pPr>
        <w:spacing w:after="0" w:line="1"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b.</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c.</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d.</w:t>
      </w:r>
    </w:p>
    <w:p>
      <w:pPr>
        <w:spacing w:after="0" w:line="217" w:lineRule="exact"/>
        <w:rPr>
          <w:rFonts w:ascii="Arial" w:cs="Arial" w:eastAsia="Arial" w:hAnsi="Arial"/>
          <w:sz w:val="16"/>
          <w:szCs w:val="16"/>
          <w:color w:val="auto"/>
        </w:rPr>
      </w:pPr>
    </w:p>
    <w:p>
      <w:pPr>
        <w:ind w:left="705"/>
        <w:spacing w:after="0"/>
        <w:rPr>
          <w:rFonts w:ascii="Arial" w:cs="Arial" w:eastAsia="Arial" w:hAnsi="Arial"/>
          <w:sz w:val="16"/>
          <w:szCs w:val="16"/>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878205</wp:posOffset>
            </wp:positionH>
            <wp:positionV relativeFrom="paragraph">
              <wp:posOffset>-1008380</wp:posOffset>
            </wp:positionV>
            <wp:extent cx="6385560" cy="152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-753745</wp:posOffset>
            </wp:positionV>
            <wp:extent cx="6385560" cy="152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-498475</wp:posOffset>
            </wp:positionV>
            <wp:extent cx="6385560" cy="152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-243205</wp:posOffset>
            </wp:positionV>
            <wp:extent cx="6385560" cy="152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11430</wp:posOffset>
            </wp:positionV>
            <wp:extent cx="6385560" cy="152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38556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123825</wp:posOffset>
            </wp:positionV>
            <wp:extent cx="7263765" cy="152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25"/>
          </w:cols>
          <w:pgMar w:left="235" w:top="123" w:right="1440" w:bottom="1440" w:gutter="0" w:footer="0" w:header="0"/>
        </w:sectPr>
      </w:pPr>
    </w:p>
    <w:bookmarkStart w:id="238" w:name="page239"/>
    <w:bookmarkEnd w:id="238"/>
    <w:p>
      <w:pPr>
        <w:jc w:val="center"/>
        <w:ind w:right="-79"/>
        <w:spacing w:after="0"/>
        <w:rPr>
          <w:sz w:val="20"/>
          <w:szCs w:val="20"/>
          <w:color w:val="auto"/>
        </w:rPr>
      </w:pPr>
      <w:r>
        <w:rPr>
          <w:rFonts w:ascii="Arial" w:cs="Arial" w:eastAsia="Arial" w:hAnsi="Arial"/>
          <w:sz w:val="16"/>
          <w:szCs w:val="16"/>
          <w:b w:val="1"/>
          <w:bCs w:val="1"/>
          <w:u w:val="single" w:color="auto"/>
          <w:color w:val="auto"/>
        </w:rPr>
        <w:t>UNCONDITIONAL WAIVER AND RELEASE ON FINAL PAYMENT NOTICE</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 CLAIMANT: THIS DOCUMENT WAIVES AND RELEASES LIEN, STOP PAYMENT NOTICE, AND PAYMENT BOND RIGHTS UNCONDITIONALLY AND STATES THAT YOU HAVE BEEN PAID FOR GIVING UP THOSE RIGHTS. THIS DOCUMENT IS ENFORCEABLE AGAINST YOU IF YOU SIGN IT, EVEN IF YOU HAVE NOT BEEN PAID. IF YOU HAVE NOT BEEN PAID, USE A CONDITIONAL WAIVER AND RELEASE FORM.</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u w:val="single" w:color="auto"/>
          <w:color w:val="auto"/>
        </w:rPr>
        <w:t>Identifying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Name of Claimant: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of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Job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941705</wp:posOffset>
            </wp:positionH>
            <wp:positionV relativeFrom="paragraph">
              <wp:posOffset>11430</wp:posOffset>
            </wp:positionV>
            <wp:extent cx="4869815" cy="152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869815" cy="15240"/>
                    </a:xfrm>
                    <a:prstGeom prst="rect">
                      <a:avLst/>
                    </a:prstGeom>
                    <a:noFill/>
                  </pic:spPr>
                </pic:pic>
              </a:graphicData>
            </a:graphic>
          </wp:anchor>
        </w:drawing>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u w:val="single" w:color="auto"/>
          <w:color w:val="auto"/>
        </w:rPr>
        <w:t>Unconditional Waiver and Release</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This document waives and releases lien, stop payment notice, and payment bond rights the claimant has for all labor and service provided, and equipment and material delivered, to the customer on this job. Rights based upon labor or service provided, or equipment or material delivered, pursuant to a written change order that has been fully executed by the parties prior to the date that this document is signed by the claimant, are waived and released by this document, unless listed as an Exception below. The claimant has been paid in full.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Arial" w:cs="Arial" w:eastAsia="Arial" w:hAnsi="Arial"/>
                <w:sz w:val="16"/>
                <w:szCs w:val="16"/>
                <w:b w:val="1"/>
                <w:bCs w:val="1"/>
                <w:color w:val="auto"/>
              </w:rPr>
              <w:t>Exceptions</w:t>
            </w:r>
          </w:p>
        </w:tc>
      </w:tr>
      <w:tr>
        <w:trPr>
          <w:trHeight w:val="405"/>
        </w:trPr>
        <w:tc>
          <w:tcPr>
            <w:tcW w:w="5340" w:type="dxa"/>
            <w:vAlign w:val="bottom"/>
            <w:gridSpan w:val="2"/>
          </w:tcPr>
          <w:p>
            <w:pPr>
              <w:spacing w:after="0"/>
              <w:rPr>
                <w:sz w:val="20"/>
                <w:szCs w:val="20"/>
                <w:color w:val="auto"/>
              </w:rPr>
            </w:pPr>
            <w:r>
              <w:rPr>
                <w:rFonts w:ascii="Arial" w:cs="Arial" w:eastAsia="Arial" w:hAnsi="Arial"/>
                <w:sz w:val="16"/>
                <w:szCs w:val="16"/>
                <w:color w:val="auto"/>
              </w:rPr>
              <w:t>This document does not affect the following:</w:t>
            </w: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r>
      <w:tr>
        <w:trPr>
          <w:trHeight w:val="205"/>
        </w:trPr>
        <w:tc>
          <w:tcPr>
            <w:tcW w:w="1080" w:type="dxa"/>
            <w:vAlign w:val="bottom"/>
          </w:tcPr>
          <w:p>
            <w:pPr>
              <w:jc w:val="right"/>
              <w:ind w:right="121"/>
              <w:spacing w:after="0"/>
              <w:rPr>
                <w:sz w:val="20"/>
                <w:szCs w:val="20"/>
                <w:color w:val="auto"/>
              </w:rPr>
            </w:pPr>
            <w:r>
              <w:rPr>
                <w:rFonts w:ascii="Arial" w:cs="Arial" w:eastAsia="Arial" w:hAnsi="Arial"/>
                <w:sz w:val="16"/>
                <w:szCs w:val="16"/>
                <w:color w:val="auto"/>
              </w:rPr>
              <w:t>(1)</w:t>
            </w:r>
          </w:p>
        </w:tc>
        <w:tc>
          <w:tcPr>
            <w:tcW w:w="4260" w:type="dxa"/>
            <w:vAlign w:val="bottom"/>
          </w:tcPr>
          <w:p>
            <w:pPr>
              <w:ind w:left="200"/>
              <w:spacing w:after="0"/>
              <w:rPr>
                <w:sz w:val="20"/>
                <w:szCs w:val="20"/>
                <w:color w:val="auto"/>
              </w:rPr>
            </w:pPr>
            <w:r>
              <w:rPr>
                <w:rFonts w:ascii="Arial" w:cs="Arial" w:eastAsia="Arial" w:hAnsi="Arial"/>
                <w:sz w:val="16"/>
                <w:szCs w:val="16"/>
                <w:color w:val="auto"/>
              </w:rPr>
              <w:t>Disputed claims for extras in the amount of:</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r>
    </w:tbl>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u w:val="single" w:color="auto"/>
          <w:color w:val="auto"/>
        </w:rPr>
        <w:t>Signature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Claimant’s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Claimant’s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Date of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11430</wp:posOffset>
            </wp:positionV>
            <wp:extent cx="3263900" cy="152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263900"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259080</wp:posOffset>
            </wp:positionV>
            <wp:extent cx="7263765" cy="152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40"/>
          </w:cols>
          <w:pgMar w:left="240" w:top="123" w:right="31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5"/>
          <w:szCs w:val="15"/>
          <w:b w:val="1"/>
          <w:bCs w:val="1"/>
          <w:u w:val="single" w:color="auto"/>
          <w:color w:val="auto"/>
        </w:rPr>
        <w:t>SUB-SUBCONTRACTORS’ LIEN WAIVERS</w:t>
      </w:r>
    </w:p>
    <w:p>
      <w:pPr>
        <w:sectPr>
          <w:pgSz w:w="11900" w:h="16838" w:orient="portrait"/>
          <w:cols w:equalWidth="0" w:num="1">
            <w:col w:w="9019"/>
          </w:cols>
          <w:pgMar w:left="1440" w:top="123" w:right="1440" w:bottom="1440" w:gutter="0" w:footer="0" w:header="0"/>
        </w:sect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[Please attach]</w:t>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B-39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27940</wp:posOffset>
            </wp:positionV>
            <wp:extent cx="7263765" cy="152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type w:val="continuous"/>
        </w:sectPr>
      </w:pPr>
    </w:p>
    <w:bookmarkStart w:id="240" w:name="page241"/>
    <w:bookmarkEnd w:id="240"/>
    <w:p>
      <w:pPr>
        <w:jc w:val="center"/>
        <w:spacing w:after="0"/>
        <w:rPr>
          <w:sz w:val="20"/>
          <w:szCs w:val="20"/>
          <w:color w:val="auto"/>
        </w:rPr>
      </w:pPr>
      <w:r>
        <w:rPr>
          <w:rFonts w:ascii="Arial" w:cs="Arial" w:eastAsia="Arial" w:hAnsi="Arial"/>
          <w:sz w:val="16"/>
          <w:szCs w:val="16"/>
          <w:b w:val="1"/>
          <w:bCs w:val="1"/>
          <w:color w:val="auto"/>
        </w:rPr>
        <w:t>EXHIBIT 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ACKNOWLEDGEMENT OF TERM COMMENCEMENT DATE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AND TERM EXPIRATION DATE</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THIS ACKNOWLEDGEMENT OF TERM COMMENCEMENT DATE AND TERM EXPIRATION DATE is entered into as of [_______], 20[__], with reference to that</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certain Lease (the “</w:t>
      </w:r>
      <w:r>
        <w:rPr>
          <w:rFonts w:ascii="Arial" w:cs="Arial" w:eastAsia="Arial" w:hAnsi="Arial"/>
          <w:sz w:val="16"/>
          <w:szCs w:val="16"/>
          <w:u w:val="single" w:color="auto"/>
          <w:color w:val="auto"/>
        </w:rPr>
        <w:t>Lease</w:t>
      </w:r>
      <w:r>
        <w:rPr>
          <w:rFonts w:ascii="Arial" w:cs="Arial" w:eastAsia="Arial" w:hAnsi="Arial"/>
          <w:sz w:val="16"/>
          <w:szCs w:val="16"/>
          <w:color w:val="auto"/>
        </w:rPr>
        <w:t>”) dated as of December [__], 2013, by ASTERIAS BIOTHERAPEUTICS, INC., a Delaware corporation (“</w:t>
      </w:r>
      <w:r>
        <w:rPr>
          <w:rFonts w:ascii="Arial" w:cs="Arial" w:eastAsia="Arial" w:hAnsi="Arial"/>
          <w:sz w:val="16"/>
          <w:szCs w:val="16"/>
          <w:u w:val="single" w:color="auto"/>
          <w:color w:val="auto"/>
        </w:rPr>
        <w:t>Tenant</w:t>
      </w:r>
      <w:r>
        <w:rPr>
          <w:rFonts w:ascii="Arial" w:cs="Arial" w:eastAsia="Arial" w:hAnsi="Arial"/>
          <w:sz w:val="16"/>
          <w:szCs w:val="16"/>
          <w:color w:val="auto"/>
        </w:rPr>
        <w:t>”), in favor of BMR-6300 DUMBARTON CIRCLE LP, a Delaware limited partnership (“</w:t>
      </w:r>
      <w:r>
        <w:rPr>
          <w:rFonts w:ascii="Arial" w:cs="Arial" w:eastAsia="Arial" w:hAnsi="Arial"/>
          <w:sz w:val="16"/>
          <w:szCs w:val="16"/>
          <w:u w:val="single" w:color="auto"/>
          <w:color w:val="auto"/>
        </w:rPr>
        <w:t>Landlord</w:t>
      </w:r>
      <w:r>
        <w:rPr>
          <w:rFonts w:ascii="Arial" w:cs="Arial" w:eastAsia="Arial" w:hAnsi="Arial"/>
          <w:sz w:val="16"/>
          <w:szCs w:val="16"/>
          <w:color w:val="auto"/>
        </w:rPr>
        <w:t>”). All capitalized terms used herein without definition shall have the meanings ascribed to them in the Lease.</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Tenant hereby confirms the following:</w:t>
      </w:r>
    </w:p>
    <w:p>
      <w:pPr>
        <w:spacing w:after="0" w:line="218" w:lineRule="exact"/>
        <w:rPr>
          <w:sz w:val="20"/>
          <w:szCs w:val="20"/>
          <w:color w:val="auto"/>
        </w:rPr>
      </w:pPr>
    </w:p>
    <w:p>
      <w:pPr>
        <w:jc w:val="both"/>
        <w:ind w:firstLine="562"/>
        <w:spacing w:after="0" w:line="257" w:lineRule="auto"/>
        <w:tabs>
          <w:tab w:leader="none" w:pos="108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In accordance with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of the Lease, the Delivery Date is [_____], 20[__]. Tenant accepted possession of the Premises for construction of improvements or the installation of personal or other property on [_______], 20[__], and for use in accordance with the Permitted Use on [_______], 20[__]. Tenant first occupied the Premises for the Permitted Use on [_______], 20[__].</w:t>
      </w:r>
    </w:p>
    <w:p>
      <w:pPr>
        <w:spacing w:after="0" w:line="188" w:lineRule="exact"/>
        <w:rPr>
          <w:rFonts w:ascii="Arial" w:cs="Arial" w:eastAsia="Arial" w:hAnsi="Arial"/>
          <w:sz w:val="16"/>
          <w:szCs w:val="16"/>
          <w:color w:val="auto"/>
        </w:rPr>
      </w:pPr>
    </w:p>
    <w:p>
      <w:pPr>
        <w:ind w:left="1080" w:hanging="518"/>
        <w:spacing w:after="0"/>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Premises are in good order, condition and repair.</w:t>
      </w:r>
    </w:p>
    <w:p>
      <w:pPr>
        <w:spacing w:after="0" w:line="217" w:lineRule="exact"/>
        <w:rPr>
          <w:rFonts w:ascii="Arial" w:cs="Arial" w:eastAsia="Arial" w:hAnsi="Arial"/>
          <w:sz w:val="16"/>
          <w:szCs w:val="16"/>
          <w:color w:val="auto"/>
        </w:rPr>
      </w:pPr>
    </w:p>
    <w:p>
      <w:pPr>
        <w:ind w:left="1060" w:hanging="498"/>
        <w:spacing w:after="0"/>
        <w:tabs>
          <w:tab w:leader="none" w:pos="10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Tenant Improvements are Substantially Complete.</w:t>
      </w:r>
    </w:p>
    <w:p>
      <w:pPr>
        <w:spacing w:after="0" w:line="217" w:lineRule="exact"/>
        <w:rPr>
          <w:rFonts w:ascii="Arial" w:cs="Arial" w:eastAsia="Arial" w:hAnsi="Arial"/>
          <w:sz w:val="16"/>
          <w:szCs w:val="16"/>
          <w:color w:val="auto"/>
        </w:rPr>
      </w:pPr>
    </w:p>
    <w:p>
      <w:pPr>
        <w:ind w:right="20" w:firstLine="562"/>
        <w:spacing w:after="0" w:line="267" w:lineRule="auto"/>
        <w:tabs>
          <w:tab w:leader="none" w:pos="110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All conditions of the Lease to be performed by Landlord as a condition to the full effectiveness of the Lease have been satisfied, and Landlord has fulfilled all of its duties in the nature of inducements offered to Tenant to lease the Premises.</w:t>
      </w:r>
    </w:p>
    <w:p>
      <w:pPr>
        <w:spacing w:after="0" w:line="181" w:lineRule="exact"/>
        <w:rPr>
          <w:rFonts w:ascii="Arial" w:cs="Arial" w:eastAsia="Arial" w:hAnsi="Arial"/>
          <w:sz w:val="16"/>
          <w:szCs w:val="16"/>
          <w:color w:val="auto"/>
        </w:rPr>
      </w:pPr>
    </w:p>
    <w:p>
      <w:pPr>
        <w:ind w:firstLine="562"/>
        <w:spacing w:after="0" w:line="267" w:lineRule="auto"/>
        <w:tabs>
          <w:tab w:leader="none" w:pos="119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In accordance with the provisions of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the Lease, the Term Commencement Date is [_______], 20[__], and, unless the Lease is terminated prior to the Term Expiration Date pursuant to its terms, the Term Expiration Date shall be [_______], 20[__].</w:t>
      </w:r>
    </w:p>
    <w:p>
      <w:pPr>
        <w:spacing w:after="0" w:line="181" w:lineRule="exact"/>
        <w:rPr>
          <w:rFonts w:ascii="Arial" w:cs="Arial" w:eastAsia="Arial" w:hAnsi="Arial"/>
          <w:sz w:val="16"/>
          <w:szCs w:val="16"/>
          <w:color w:val="auto"/>
        </w:rPr>
      </w:pPr>
    </w:p>
    <w:p>
      <w:pPr>
        <w:ind w:left="1080" w:hanging="518"/>
        <w:spacing w:after="0"/>
        <w:tabs>
          <w:tab w:leader="none" w:pos="10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Lease is in full force and effect, and the same represents the entire agreement between Landlord and Tenant concerning the Premises[, except [_______]].</w:t>
      </w:r>
    </w:p>
    <w:p>
      <w:pPr>
        <w:spacing w:after="0" w:line="240" w:lineRule="exact"/>
        <w:rPr>
          <w:rFonts w:ascii="Arial" w:cs="Arial" w:eastAsia="Arial" w:hAnsi="Arial"/>
          <w:sz w:val="14"/>
          <w:szCs w:val="14"/>
          <w:color w:val="auto"/>
        </w:rPr>
      </w:pPr>
    </w:p>
    <w:p>
      <w:pPr>
        <w:ind w:left="1080" w:hanging="518"/>
        <w:spacing w:after="0"/>
        <w:tabs>
          <w:tab w:leader="none" w:pos="10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Tenant has no existing defenses against the enforcement of the Lease by Landlord, and there exist no offsets or credits against Rent owed or to be owed by Tenant.</w:t>
      </w:r>
    </w:p>
    <w:p>
      <w:pPr>
        <w:spacing w:after="0" w:line="240" w:lineRule="exact"/>
        <w:rPr>
          <w:rFonts w:ascii="Arial" w:cs="Arial" w:eastAsia="Arial" w:hAnsi="Arial"/>
          <w:sz w:val="14"/>
          <w:szCs w:val="14"/>
          <w:color w:val="auto"/>
        </w:rPr>
      </w:pPr>
    </w:p>
    <w:p>
      <w:pPr>
        <w:ind w:right="20" w:firstLine="562"/>
        <w:spacing w:after="0" w:line="267" w:lineRule="auto"/>
        <w:tabs>
          <w:tab w:leader="none" w:pos="117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obligation to pay Rent is presently in effect and all Rent obligations on the part of Tenant under the Lease commenced to accrue on [_______], 20[__], with Base Rent payable on the dates and in amounts set forth in the chart below, subject to adjustment pursuant to the Lease: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41" w:name="page242"/>
    <w:bookmarkEnd w:id="241"/>
    <w:tbl>
      <w:tblPr>
        <w:tblLayout w:type="fixed"/>
        <w:tblInd w:w="10" w:type="dxa"/>
        <w:tblCellMar>
          <w:top w:w="0" w:type="dxa"/>
          <w:left w:w="0" w:type="dxa"/>
          <w:bottom w:w="0" w:type="dxa"/>
          <w:right w:w="0" w:type="dxa"/>
        </w:tblCellMar>
      </w:tblPr>
      <w:tr>
        <w:trPr>
          <w:trHeight w:val="177"/>
        </w:trPr>
        <w:tc>
          <w:tcPr>
            <w:tcW w:w="580" w:type="dxa"/>
            <w:vAlign w:val="bottom"/>
            <w:tcBorders>
              <w:top w:val="single" w:sz="8" w:color="auto"/>
              <w:left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60" w:type="dxa"/>
            <w:vAlign w:val="bottom"/>
            <w:tcBorders>
              <w:top w:val="single" w:sz="8" w:color="auto"/>
              <w:right w:val="single" w:sz="8" w:color="auto"/>
            </w:tcBorders>
            <w:gridSpan w:val="5"/>
          </w:tcPr>
          <w:p>
            <w:pPr>
              <w:jc w:val="center"/>
              <w:ind w:right="640"/>
              <w:spacing w:after="0" w:line="178" w:lineRule="exact"/>
              <w:rPr>
                <w:sz w:val="20"/>
                <w:szCs w:val="20"/>
                <w:color w:val="auto"/>
              </w:rPr>
            </w:pPr>
            <w:r>
              <w:rPr>
                <w:rFonts w:ascii="Arial" w:cs="Arial" w:eastAsia="Arial" w:hAnsi="Arial"/>
                <w:sz w:val="16"/>
                <w:szCs w:val="16"/>
                <w:b w:val="1"/>
                <w:bCs w:val="1"/>
                <w:color w:val="auto"/>
                <w:w w:val="85"/>
              </w:rPr>
              <w:t>Dates (as of the</w:t>
            </w:r>
          </w:p>
        </w:tc>
        <w:tc>
          <w:tcPr>
            <w:tcW w:w="7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89"/>
              </w:rPr>
              <w:t>Square Feet</w:t>
            </w:r>
          </w:p>
        </w:tc>
        <w:tc>
          <w:tcPr>
            <w:tcW w:w="740" w:type="dxa"/>
            <w:vAlign w:val="bottom"/>
            <w:tcBorders>
              <w:top w:val="single" w:sz="8" w:color="auto"/>
              <w:right w:val="single" w:sz="8" w:color="auto"/>
            </w:tcBorders>
            <w:vMerge w:val="restart"/>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Base Rent per</w:t>
            </w:r>
          </w:p>
        </w:tc>
        <w:tc>
          <w:tcPr>
            <w:tcW w:w="680" w:type="dxa"/>
            <w:vAlign w:val="bottom"/>
            <w:tcBorders>
              <w:top w:val="single" w:sz="8" w:color="auto"/>
              <w:right w:val="single" w:sz="8" w:color="auto"/>
            </w:tcBorders>
            <w:gridSpan w:val="2"/>
            <w:vMerge w:val="restart"/>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5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8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60" w:type="dxa"/>
            <w:vAlign w:val="bottom"/>
            <w:tcBorders>
              <w:top w:val="single" w:sz="8" w:color="auto"/>
              <w:bottom w:val="single" w:sz="8" w:color="auto"/>
            </w:tcBorders>
            <w:vMerge w:val="restart"/>
          </w:tcPr>
          <w:p>
            <w:pPr>
              <w:jc w:val="center"/>
              <w:spacing w:after="0" w:line="169" w:lineRule="exact"/>
              <w:rPr>
                <w:sz w:val="20"/>
                <w:szCs w:val="20"/>
                <w:color w:val="auto"/>
              </w:rPr>
            </w:pPr>
            <w:r>
              <w:rPr>
                <w:rFonts w:ascii="Arial" w:cs="Arial" w:eastAsia="Arial" w:hAnsi="Arial"/>
                <w:sz w:val="16"/>
                <w:szCs w:val="16"/>
                <w:b w:val="1"/>
                <w:bCs w:val="1"/>
                <w:color w:val="auto"/>
                <w:w w:val="91"/>
              </w:rPr>
              <w:t>Term</w:t>
            </w:r>
          </w:p>
        </w:tc>
        <w:tc>
          <w:tcPr>
            <w:tcW w:w="320" w:type="dxa"/>
            <w:vAlign w:val="bottom"/>
            <w:tcBorders>
              <w:top w:val="single" w:sz="8" w:color="auto"/>
              <w:bottom w:val="single" w:sz="8" w:color="auto"/>
            </w:tcBorders>
            <w:vMerge w:val="restart"/>
          </w:tcPr>
          <w:p>
            <w:pPr>
              <w:spacing w:after="0"/>
              <w:rPr>
                <w:sz w:val="6"/>
                <w:szCs w:val="6"/>
                <w:color w:val="auto"/>
              </w:rPr>
            </w:pPr>
          </w:p>
        </w:tc>
        <w:tc>
          <w:tcPr>
            <w:tcW w:w="640" w:type="dxa"/>
            <w:vAlign w:val="bottom"/>
            <w:tcBorders>
              <w:right w:val="single" w:sz="8" w:color="auto"/>
            </w:tcBorders>
            <w:gridSpan w:val="2"/>
            <w:vMerge w:val="restart"/>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top w:val="single" w:sz="8" w:color="auto"/>
              <w:bottom w:val="single" w:sz="8" w:color="auto"/>
            </w:tcBorders>
            <w:gridSpan w:val="3"/>
            <w:vMerge w:val="continue"/>
          </w:tcPr>
          <w:p>
            <w:pPr>
              <w:spacing w:after="0"/>
              <w:rPr>
                <w:sz w:val="6"/>
                <w:szCs w:val="6"/>
                <w:color w:val="auto"/>
              </w:rPr>
            </w:pPr>
          </w:p>
        </w:tc>
        <w:tc>
          <w:tcPr>
            <w:tcW w:w="740" w:type="dxa"/>
            <w:vAlign w:val="bottom"/>
            <w:tcBorders>
              <w:top w:val="single" w:sz="8" w:color="auto"/>
              <w:right w:val="single" w:sz="8" w:color="auto"/>
            </w:tcBorders>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Borders>
              <w:top w:val="single" w:sz="8" w:color="auto"/>
              <w:bottom w:val="single" w:sz="8" w:color="auto"/>
            </w:tcBorders>
            <w:vMerge w:val="continue"/>
          </w:tcPr>
          <w:p>
            <w:pPr>
              <w:spacing w:after="0"/>
              <w:rPr>
                <w:sz w:val="6"/>
                <w:szCs w:val="6"/>
                <w:color w:val="auto"/>
              </w:rPr>
            </w:pPr>
          </w:p>
        </w:tc>
        <w:tc>
          <w:tcPr>
            <w:tcW w:w="680" w:type="dxa"/>
            <w:vAlign w:val="bottom"/>
            <w:tcBorders>
              <w:top w:val="single" w:sz="8" w:color="auto"/>
              <w:right w:val="single" w:sz="8" w:color="auto"/>
            </w:tcBorders>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right w:val="single" w:sz="8" w:color="auto"/>
            </w:tcBorders>
            <w:gridSpan w:val="3"/>
            <w:vMerge w:val="restart"/>
          </w:tcPr>
          <w:p>
            <w:pPr>
              <w:jc w:val="center"/>
              <w:ind w:right="880"/>
              <w:spacing w:after="0" w:line="169" w:lineRule="exact"/>
              <w:rPr>
                <w:sz w:val="20"/>
                <w:szCs w:val="20"/>
                <w:color w:val="auto"/>
              </w:rPr>
            </w:pPr>
            <w:r>
              <w:rPr>
                <w:rFonts w:ascii="Arial" w:cs="Arial" w:eastAsia="Arial" w:hAnsi="Arial"/>
                <w:sz w:val="16"/>
                <w:szCs w:val="16"/>
                <w:b w:val="1"/>
                <w:bCs w:val="1"/>
                <w:color w:val="auto"/>
                <w:w w:val="94"/>
              </w:rPr>
              <w:t>Monthly</w:t>
            </w: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58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3"/>
            <w:vMerge w:val="restart"/>
          </w:tcPr>
          <w:p>
            <w:pPr>
              <w:jc w:val="center"/>
              <w:spacing w:after="0" w:line="169" w:lineRule="exact"/>
              <w:rPr>
                <w:sz w:val="20"/>
                <w:szCs w:val="20"/>
                <w:color w:val="auto"/>
              </w:rPr>
            </w:pPr>
            <w:r>
              <w:rPr>
                <w:rFonts w:ascii="Arial" w:cs="Arial" w:eastAsia="Arial" w:hAnsi="Arial"/>
                <w:sz w:val="16"/>
                <w:szCs w:val="16"/>
                <w:b w:val="1"/>
                <w:bCs w:val="1"/>
                <w:color w:val="auto"/>
                <w:w w:val="89"/>
              </w:rPr>
              <w:t>of Rentable</w:t>
            </w:r>
          </w:p>
        </w:tc>
        <w:tc>
          <w:tcPr>
            <w:tcW w:w="740" w:type="dxa"/>
            <w:vAlign w:val="bottom"/>
            <w:tcBorders>
              <w:right w:val="single" w:sz="8" w:color="auto"/>
            </w:tcBorders>
            <w:vMerge w:val="restart"/>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gridSpan w:val="3"/>
            <w:vMerge w:val="restart"/>
          </w:tcPr>
          <w:p>
            <w:pPr>
              <w:jc w:val="center"/>
              <w:spacing w:after="0" w:line="169" w:lineRule="exact"/>
              <w:rPr>
                <w:sz w:val="20"/>
                <w:szCs w:val="20"/>
                <w:color w:val="auto"/>
              </w:rPr>
            </w:pPr>
            <w:r>
              <w:rPr>
                <w:rFonts w:ascii="Arial" w:cs="Arial" w:eastAsia="Arial" w:hAnsi="Arial"/>
                <w:sz w:val="16"/>
                <w:szCs w:val="16"/>
                <w:b w:val="1"/>
                <w:bCs w:val="1"/>
                <w:color w:val="auto"/>
                <w:w w:val="88"/>
              </w:rPr>
              <w:t>Square Foot of</w:t>
            </w:r>
          </w:p>
        </w:tc>
        <w:tc>
          <w:tcPr>
            <w:tcW w:w="660" w:type="dxa"/>
            <w:vAlign w:val="bottom"/>
            <w:tcBorders>
              <w:right w:val="single" w:sz="8" w:color="auto"/>
            </w:tcBorders>
            <w:vMerge w:val="restart"/>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right w:val="single" w:sz="8" w:color="auto"/>
            </w:tcBorders>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1800" w:type="dxa"/>
            <w:vAlign w:val="bottom"/>
            <w:tcBorders>
              <w:right w:val="single" w:sz="8" w:color="auto"/>
            </w:tcBorders>
            <w:gridSpan w:val="2"/>
            <w:vMerge w:val="restart"/>
          </w:tcPr>
          <w:p>
            <w:pPr>
              <w:jc w:val="center"/>
              <w:ind w:right="520"/>
              <w:spacing w:after="0" w:line="169" w:lineRule="exact"/>
              <w:rPr>
                <w:sz w:val="20"/>
                <w:szCs w:val="20"/>
                <w:color w:val="auto"/>
              </w:rPr>
            </w:pPr>
            <w:r>
              <w:rPr>
                <w:rFonts w:ascii="Arial" w:cs="Arial" w:eastAsia="Arial" w:hAnsi="Arial"/>
                <w:sz w:val="16"/>
                <w:szCs w:val="16"/>
                <w:b w:val="1"/>
                <w:bCs w:val="1"/>
                <w:color w:val="auto"/>
                <w:w w:val="89"/>
              </w:rPr>
              <w:t>Annual Base Rent*</w:t>
            </w:r>
          </w:p>
        </w:tc>
        <w:tc>
          <w:tcPr>
            <w:tcW w:w="0" w:type="dxa"/>
            <w:vAlign w:val="bottom"/>
          </w:tcPr>
          <w:p>
            <w:pPr>
              <w:spacing w:after="0"/>
              <w:rPr>
                <w:sz w:val="1"/>
                <w:szCs w:val="1"/>
                <w:color w:val="auto"/>
              </w:rPr>
            </w:pPr>
          </w:p>
        </w:tc>
      </w:tr>
      <w:tr>
        <w:trPr>
          <w:trHeight w:val="20"/>
        </w:trPr>
        <w:tc>
          <w:tcPr>
            <w:tcW w:w="5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740" w:type="dxa"/>
            <w:vAlign w:val="bottom"/>
            <w:tcBorders>
              <w:right w:val="single" w:sz="8" w:color="auto"/>
            </w:tcBorders>
            <w:vMerge w:val="continue"/>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660" w:type="dxa"/>
            <w:vAlign w:val="bottom"/>
            <w:tcBorders>
              <w:right w:val="single" w:sz="8" w:color="auto"/>
            </w:tcBorders>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80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80" w:type="dxa"/>
            <w:vAlign w:val="bottom"/>
            <w:tcBorders>
              <w:left w:val="single" w:sz="8" w:color="auto"/>
            </w:tcBorders>
          </w:tcPr>
          <w:p>
            <w:pPr>
              <w:spacing w:after="0"/>
              <w:rPr>
                <w:sz w:val="6"/>
                <w:szCs w:val="6"/>
                <w:color w:val="auto"/>
              </w:rPr>
            </w:pPr>
          </w:p>
        </w:tc>
        <w:tc>
          <w:tcPr>
            <w:tcW w:w="1700" w:type="dxa"/>
            <w:vAlign w:val="bottom"/>
            <w:tcBorders>
              <w:right w:val="single" w:sz="8" w:color="auto"/>
            </w:tcBorders>
            <w:gridSpan w:val="6"/>
            <w:vMerge w:val="restart"/>
          </w:tcPr>
          <w:p>
            <w:pPr>
              <w:jc w:val="center"/>
              <w:ind w:right="600"/>
              <w:spacing w:after="0" w:line="169" w:lineRule="exact"/>
              <w:rPr>
                <w:sz w:val="20"/>
                <w:szCs w:val="20"/>
                <w:color w:val="auto"/>
              </w:rPr>
            </w:pPr>
            <w:r>
              <w:rPr>
                <w:rFonts w:ascii="Arial" w:cs="Arial" w:eastAsia="Arial" w:hAnsi="Arial"/>
                <w:sz w:val="16"/>
                <w:szCs w:val="16"/>
                <w:b w:val="1"/>
                <w:bCs w:val="1"/>
                <w:color w:val="auto"/>
                <w:w w:val="88"/>
              </w:rPr>
              <w:t>Commencement</w:t>
            </w:r>
          </w:p>
        </w:tc>
        <w:tc>
          <w:tcPr>
            <w:tcW w:w="72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760" w:type="dxa"/>
            <w:vAlign w:val="bottom"/>
          </w:tcPr>
          <w:p>
            <w:pPr>
              <w:spacing w:after="0"/>
              <w:rPr>
                <w:sz w:val="6"/>
                <w:szCs w:val="6"/>
                <w:color w:val="auto"/>
              </w:rPr>
            </w:pPr>
          </w:p>
        </w:tc>
        <w:tc>
          <w:tcPr>
            <w:tcW w:w="1540" w:type="dxa"/>
            <w:vAlign w:val="bottom"/>
            <w:tcBorders>
              <w:right w:val="single" w:sz="8" w:color="auto"/>
            </w:tcBorders>
            <w:gridSpan w:val="4"/>
            <w:vMerge w:val="restart"/>
          </w:tcPr>
          <w:p>
            <w:pPr>
              <w:jc w:val="center"/>
              <w:ind w:right="780"/>
              <w:spacing w:after="0" w:line="169" w:lineRule="exact"/>
              <w:rPr>
                <w:sz w:val="20"/>
                <w:szCs w:val="20"/>
                <w:color w:val="auto"/>
              </w:rPr>
            </w:pPr>
            <w:r>
              <w:rPr>
                <w:rFonts w:ascii="Arial" w:cs="Arial" w:eastAsia="Arial" w:hAnsi="Arial"/>
                <w:sz w:val="16"/>
                <w:szCs w:val="16"/>
                <w:b w:val="1"/>
                <w:bCs w:val="1"/>
                <w:color w:val="auto"/>
                <w:w w:val="89"/>
              </w:rPr>
              <w:t>Base Rent*</w:t>
            </w:r>
          </w:p>
        </w:tc>
        <w:tc>
          <w:tcPr>
            <w:tcW w:w="480" w:type="dxa"/>
            <w:vAlign w:val="bottom"/>
            <w:vMerge w:val="continue"/>
          </w:tcPr>
          <w:p>
            <w:pPr>
              <w:spacing w:after="0"/>
              <w:rPr>
                <w:sz w:val="6"/>
                <w:szCs w:val="6"/>
                <w:color w:val="auto"/>
              </w:rPr>
            </w:pPr>
          </w:p>
        </w:tc>
        <w:tc>
          <w:tcPr>
            <w:tcW w:w="180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580" w:type="dxa"/>
            <w:vAlign w:val="bottom"/>
            <w:tcBorders>
              <w:left w:val="single" w:sz="8" w:color="auto"/>
            </w:tcBorders>
          </w:tcPr>
          <w:p>
            <w:pPr>
              <w:spacing w:after="0"/>
              <w:rPr>
                <w:sz w:val="6"/>
                <w:szCs w:val="6"/>
                <w:color w:val="auto"/>
              </w:rPr>
            </w:pPr>
          </w:p>
        </w:tc>
        <w:tc>
          <w:tcPr>
            <w:tcW w:w="1700" w:type="dxa"/>
            <w:vAlign w:val="bottom"/>
            <w:tcBorders>
              <w:right w:val="single" w:sz="8" w:color="auto"/>
            </w:tcBorders>
            <w:gridSpan w:val="6"/>
            <w:vMerge w:val="continue"/>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top w:val="single" w:sz="8" w:color="auto"/>
            </w:tcBorders>
            <w:gridSpan w:val="3"/>
            <w:vMerge w:val="restart"/>
          </w:tcPr>
          <w:p>
            <w:pPr>
              <w:jc w:val="center"/>
              <w:spacing w:after="0" w:line="169" w:lineRule="exact"/>
              <w:rPr>
                <w:sz w:val="20"/>
                <w:szCs w:val="20"/>
                <w:color w:val="auto"/>
              </w:rPr>
            </w:pPr>
            <w:r>
              <w:rPr>
                <w:rFonts w:ascii="Arial" w:cs="Arial" w:eastAsia="Arial" w:hAnsi="Arial"/>
                <w:sz w:val="16"/>
                <w:szCs w:val="16"/>
                <w:b w:val="1"/>
                <w:bCs w:val="1"/>
                <w:color w:val="auto"/>
              </w:rPr>
              <w:t>Area*</w:t>
            </w:r>
          </w:p>
        </w:tc>
        <w:tc>
          <w:tcPr>
            <w:tcW w:w="740" w:type="dxa"/>
            <w:vAlign w:val="bottom"/>
            <w:tcBorders>
              <w:right w:val="single" w:sz="8" w:color="auto"/>
            </w:tcBorders>
            <w:vMerge w:val="restart"/>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Borders>
              <w:top w:val="single" w:sz="8" w:color="auto"/>
            </w:tcBorders>
            <w:gridSpan w:val="3"/>
            <w:vMerge w:val="restart"/>
          </w:tcPr>
          <w:p>
            <w:pPr>
              <w:jc w:val="center"/>
              <w:spacing w:after="0" w:line="169" w:lineRule="exact"/>
              <w:rPr>
                <w:sz w:val="20"/>
                <w:szCs w:val="20"/>
                <w:color w:val="auto"/>
              </w:rPr>
            </w:pPr>
            <w:r>
              <w:rPr>
                <w:rFonts w:ascii="Arial" w:cs="Arial" w:eastAsia="Arial" w:hAnsi="Arial"/>
                <w:sz w:val="16"/>
                <w:szCs w:val="16"/>
                <w:b w:val="1"/>
                <w:bCs w:val="1"/>
                <w:color w:val="auto"/>
                <w:w w:val="89"/>
              </w:rPr>
              <w:t>Rentable Area</w:t>
            </w:r>
          </w:p>
        </w:tc>
        <w:tc>
          <w:tcPr>
            <w:tcW w:w="660" w:type="dxa"/>
            <w:vAlign w:val="bottom"/>
            <w:tcBorders>
              <w:right w:val="single" w:sz="8" w:color="auto"/>
            </w:tcBorders>
            <w:vMerge w:val="restart"/>
          </w:tcPr>
          <w:p>
            <w:pPr>
              <w:spacing w:after="0"/>
              <w:rPr>
                <w:sz w:val="6"/>
                <w:szCs w:val="6"/>
                <w:color w:val="auto"/>
              </w:rPr>
            </w:pPr>
          </w:p>
        </w:tc>
        <w:tc>
          <w:tcPr>
            <w:tcW w:w="760" w:type="dxa"/>
            <w:vAlign w:val="bottom"/>
          </w:tcPr>
          <w:p>
            <w:pPr>
              <w:spacing w:after="0"/>
              <w:rPr>
                <w:sz w:val="6"/>
                <w:szCs w:val="6"/>
                <w:color w:val="auto"/>
              </w:rPr>
            </w:pPr>
          </w:p>
        </w:tc>
        <w:tc>
          <w:tcPr>
            <w:tcW w:w="1540" w:type="dxa"/>
            <w:vAlign w:val="bottom"/>
            <w:tcBorders>
              <w:right w:val="single" w:sz="8" w:color="auto"/>
            </w:tcBorders>
            <w:gridSpan w:val="4"/>
            <w:vMerge w:val="continue"/>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580" w:type="dxa"/>
            <w:vAlign w:val="bottom"/>
            <w:tcBorders>
              <w:left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gridSpan w:val="3"/>
            <w:vMerge w:val="restart"/>
          </w:tcPr>
          <w:p>
            <w:pPr>
              <w:jc w:val="center"/>
              <w:ind w:right="360"/>
              <w:spacing w:after="0" w:line="169" w:lineRule="exact"/>
              <w:rPr>
                <w:sz w:val="20"/>
                <w:szCs w:val="20"/>
                <w:color w:val="auto"/>
              </w:rPr>
            </w:pPr>
            <w:r>
              <w:rPr>
                <w:rFonts w:ascii="Arial" w:cs="Arial" w:eastAsia="Arial" w:hAnsi="Arial"/>
                <w:sz w:val="16"/>
                <w:szCs w:val="16"/>
                <w:b w:val="1"/>
                <w:bCs w:val="1"/>
                <w:color w:val="auto"/>
                <w:w w:val="89"/>
              </w:rPr>
              <w:t>Date)</w:t>
            </w:r>
          </w:p>
        </w:tc>
        <w:tc>
          <w:tcPr>
            <w:tcW w:w="600" w:type="dxa"/>
            <w:vAlign w:val="bottom"/>
            <w:tcBorders>
              <w:right w:val="single" w:sz="8" w:color="auto"/>
            </w:tcBorders>
            <w:vMerge w:val="restart"/>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top w:val="single" w:sz="8" w:color="auto"/>
            </w:tcBorders>
            <w:gridSpan w:val="3"/>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Borders>
              <w:top w:val="single" w:sz="8" w:color="auto"/>
            </w:tcBorders>
            <w:gridSpan w:val="3"/>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58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Borders>
              <w:top w:val="single" w:sz="8" w:color="auto"/>
            </w:tcBorders>
            <w:gridSpan w:val="3"/>
            <w:vMerge w:val="continue"/>
          </w:tcPr>
          <w:p>
            <w:pPr>
              <w:spacing w:after="0"/>
              <w:rPr>
                <w:sz w:val="6"/>
                <w:szCs w:val="6"/>
                <w:color w:val="auto"/>
              </w:rPr>
            </w:pPr>
          </w:p>
        </w:tc>
        <w:tc>
          <w:tcPr>
            <w:tcW w:w="600" w:type="dxa"/>
            <w:vAlign w:val="bottom"/>
            <w:tcBorders>
              <w:right w:val="single" w:sz="8" w:color="auto"/>
            </w:tcBorders>
            <w:vMerge w:val="continue"/>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8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tcBorders>
              <w:left w:val="single" w:sz="8" w:color="auto"/>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right w:val="single" w:sz="8" w:color="auto"/>
            </w:tcBorders>
            <w:gridSpan w:val="5"/>
            <w:shd w:val="clear" w:color="auto" w:fill="CCEEFF"/>
          </w:tcPr>
          <w:p>
            <w:pPr>
              <w:jc w:val="center"/>
              <w:ind w:right="620"/>
              <w:spacing w:after="0"/>
              <w:rPr>
                <w:sz w:val="20"/>
                <w:szCs w:val="20"/>
                <w:color w:val="auto"/>
              </w:rPr>
            </w:pPr>
            <w:r>
              <w:rPr>
                <w:rFonts w:ascii="Arial" w:cs="Arial" w:eastAsia="Arial" w:hAnsi="Arial"/>
                <w:sz w:val="16"/>
                <w:szCs w:val="16"/>
                <w:color w:val="auto"/>
                <w:w w:val="89"/>
              </w:rPr>
              <w:t>Months 1-12</w:t>
            </w:r>
          </w:p>
        </w:tc>
        <w:tc>
          <w:tcPr>
            <w:tcW w:w="1540" w:type="dxa"/>
            <w:vAlign w:val="bottom"/>
            <w:tcBorders>
              <w:bottom w:val="single" w:sz="8" w:color="auto"/>
            </w:tcBorders>
            <w:gridSpan w:val="4"/>
            <w:shd w:val="clear" w:color="auto" w:fill="CCEEFF"/>
          </w:tcPr>
          <w:p>
            <w:pPr>
              <w:jc w:val="center"/>
              <w:ind w:left="641"/>
              <w:spacing w:after="0"/>
              <w:rPr>
                <w:sz w:val="20"/>
                <w:szCs w:val="20"/>
                <w:color w:val="auto"/>
              </w:rPr>
            </w:pPr>
            <w:r>
              <w:rPr>
                <w:rFonts w:ascii="Arial" w:cs="Arial" w:eastAsia="Arial" w:hAnsi="Arial"/>
                <w:sz w:val="16"/>
                <w:szCs w:val="16"/>
                <w:color w:val="auto"/>
                <w:w w:val="85"/>
              </w:rPr>
              <w:t>44,000</w:t>
            </w:r>
          </w:p>
        </w:tc>
        <w:tc>
          <w:tcPr>
            <w:tcW w:w="740" w:type="dxa"/>
            <w:vAlign w:val="bottom"/>
            <w:tcBorders>
              <w:bottom w:val="single" w:sz="8" w:color="auto"/>
              <w:right w:val="single" w:sz="8" w:color="auto"/>
            </w:tcBorders>
            <w:shd w:val="clear" w:color="auto" w:fill="CCEEFF"/>
          </w:tcPr>
          <w:p>
            <w:pPr>
              <w:spacing w:after="0"/>
              <w:rPr>
                <w:sz w:val="16"/>
                <w:szCs w:val="16"/>
                <w:color w:val="auto"/>
              </w:rPr>
            </w:pPr>
          </w:p>
        </w:tc>
        <w:tc>
          <w:tcPr>
            <w:tcW w:w="1620" w:type="dxa"/>
            <w:vAlign w:val="bottom"/>
            <w:tcBorders>
              <w:bottom w:val="single" w:sz="8" w:color="auto"/>
            </w:tcBorders>
            <w:gridSpan w:val="3"/>
            <w:shd w:val="clear" w:color="auto" w:fill="CCEEFF"/>
          </w:tcPr>
          <w:p>
            <w:pPr>
              <w:jc w:val="center"/>
              <w:ind w:left="581"/>
              <w:spacing w:after="0"/>
              <w:rPr>
                <w:sz w:val="20"/>
                <w:szCs w:val="20"/>
                <w:color w:val="auto"/>
              </w:rPr>
            </w:pPr>
            <w:r>
              <w:rPr>
                <w:rFonts w:ascii="Arial" w:cs="Arial" w:eastAsia="Arial" w:hAnsi="Arial"/>
                <w:sz w:val="16"/>
                <w:szCs w:val="16"/>
                <w:color w:val="auto"/>
                <w:w w:val="89"/>
              </w:rPr>
              <w:t>$2.25</w:t>
            </w:r>
          </w:p>
        </w:tc>
        <w:tc>
          <w:tcPr>
            <w:tcW w:w="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right w:val="single" w:sz="8" w:color="auto"/>
            </w:tcBorders>
            <w:shd w:val="clear" w:color="auto" w:fill="CCEEFF"/>
          </w:tcPr>
          <w:p>
            <w:pPr>
              <w:spacing w:after="0"/>
              <w:rPr>
                <w:sz w:val="16"/>
                <w:szCs w:val="16"/>
                <w:color w:val="auto"/>
              </w:rPr>
            </w:pPr>
          </w:p>
        </w:tc>
        <w:tc>
          <w:tcPr>
            <w:tcW w:w="1520" w:type="dxa"/>
            <w:vAlign w:val="bottom"/>
            <w:tcBorders>
              <w:bottom w:val="single" w:sz="8" w:color="auto"/>
            </w:tcBorders>
            <w:gridSpan w:val="4"/>
            <w:shd w:val="clear" w:color="auto" w:fill="CCEEFF"/>
          </w:tcPr>
          <w:p>
            <w:pPr>
              <w:jc w:val="center"/>
              <w:ind w:left="661"/>
              <w:spacing w:after="0"/>
              <w:rPr>
                <w:sz w:val="20"/>
                <w:szCs w:val="20"/>
                <w:color w:val="auto"/>
              </w:rPr>
            </w:pPr>
            <w:r>
              <w:rPr>
                <w:rFonts w:ascii="Arial" w:cs="Arial" w:eastAsia="Arial" w:hAnsi="Arial"/>
                <w:sz w:val="16"/>
                <w:szCs w:val="16"/>
                <w:color w:val="auto"/>
                <w:w w:val="87"/>
              </w:rPr>
              <w:t>$99,000.00</w:t>
            </w:r>
          </w:p>
        </w:tc>
        <w:tc>
          <w:tcPr>
            <w:tcW w:w="780" w:type="dxa"/>
            <w:vAlign w:val="bottom"/>
            <w:tcBorders>
              <w:bottom w:val="single" w:sz="8" w:color="auto"/>
              <w:right w:val="single" w:sz="8" w:color="auto"/>
            </w:tcBorders>
            <w:shd w:val="clear" w:color="auto" w:fill="CCEEFF"/>
          </w:tcPr>
          <w:p>
            <w:pPr>
              <w:spacing w:after="0"/>
              <w:rPr>
                <w:sz w:val="16"/>
                <w:szCs w:val="16"/>
                <w:color w:val="auto"/>
              </w:rPr>
            </w:pPr>
          </w:p>
        </w:tc>
        <w:tc>
          <w:tcPr>
            <w:tcW w:w="1760" w:type="dxa"/>
            <w:vAlign w:val="bottom"/>
            <w:tcBorders>
              <w:bottom w:val="single" w:sz="8" w:color="auto"/>
            </w:tcBorders>
            <w:gridSpan w:val="2"/>
            <w:shd w:val="clear" w:color="auto" w:fill="CCEEFF"/>
          </w:tcPr>
          <w:p>
            <w:pPr>
              <w:jc w:val="center"/>
              <w:ind w:left="401"/>
              <w:spacing w:after="0"/>
              <w:rPr>
                <w:sz w:val="20"/>
                <w:szCs w:val="20"/>
                <w:color w:val="auto"/>
              </w:rPr>
            </w:pPr>
            <w:r>
              <w:rPr>
                <w:rFonts w:ascii="Arial" w:cs="Arial" w:eastAsia="Arial" w:hAnsi="Arial"/>
                <w:sz w:val="16"/>
                <w:szCs w:val="16"/>
                <w:color w:val="auto"/>
                <w:w w:val="89"/>
              </w:rPr>
              <w:t>$1,188,000.00</w:t>
            </w:r>
          </w:p>
        </w:tc>
        <w:tc>
          <w:tcPr>
            <w:tcW w:w="52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0" w:type="dxa"/>
            <w:vAlign w:val="bottom"/>
            <w:tcBorders>
              <w:left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60" w:type="dxa"/>
            <w:vAlign w:val="bottom"/>
            <w:tcBorders>
              <w:bottom w:val="single" w:sz="8" w:color="auto"/>
              <w:right w:val="single" w:sz="8" w:color="auto"/>
            </w:tcBorders>
            <w:gridSpan w:val="5"/>
          </w:tcPr>
          <w:p>
            <w:pPr>
              <w:jc w:val="center"/>
              <w:ind w:right="620"/>
              <w:spacing w:after="0"/>
              <w:rPr>
                <w:sz w:val="20"/>
                <w:szCs w:val="20"/>
                <w:color w:val="auto"/>
              </w:rPr>
            </w:pPr>
            <w:r>
              <w:rPr>
                <w:rFonts w:ascii="Arial" w:cs="Arial" w:eastAsia="Arial" w:hAnsi="Arial"/>
                <w:sz w:val="16"/>
                <w:szCs w:val="16"/>
                <w:color w:val="auto"/>
                <w:w w:val="89"/>
              </w:rPr>
              <w:t>Months 13-24</w:t>
            </w:r>
          </w:p>
        </w:tc>
        <w:tc>
          <w:tcPr>
            <w:tcW w:w="1540" w:type="dxa"/>
            <w:vAlign w:val="bottom"/>
            <w:tcBorders>
              <w:bottom w:val="single" w:sz="8" w:color="auto"/>
            </w:tcBorders>
            <w:gridSpan w:val="4"/>
          </w:tcPr>
          <w:p>
            <w:pPr>
              <w:jc w:val="center"/>
              <w:ind w:left="641"/>
              <w:spacing w:after="0"/>
              <w:rPr>
                <w:sz w:val="20"/>
                <w:szCs w:val="20"/>
                <w:color w:val="auto"/>
              </w:rPr>
            </w:pPr>
            <w:r>
              <w:rPr>
                <w:rFonts w:ascii="Arial" w:cs="Arial" w:eastAsia="Arial" w:hAnsi="Arial"/>
                <w:sz w:val="16"/>
                <w:szCs w:val="16"/>
                <w:color w:val="auto"/>
                <w:w w:val="85"/>
              </w:rPr>
              <w:t>44,000</w:t>
            </w:r>
          </w:p>
        </w:tc>
        <w:tc>
          <w:tcPr>
            <w:tcW w:w="74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16"/>
                <w:szCs w:val="16"/>
                <w:color w:val="auto"/>
                <w:w w:val="89"/>
              </w:rPr>
              <w:t>$2.32</w:t>
            </w: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gridSpan w:val="5"/>
          </w:tcPr>
          <w:p>
            <w:pPr>
              <w:jc w:val="center"/>
              <w:ind w:right="40"/>
              <w:spacing w:after="0"/>
              <w:rPr>
                <w:sz w:val="20"/>
                <w:szCs w:val="20"/>
                <w:color w:val="auto"/>
              </w:rPr>
            </w:pPr>
            <w:r>
              <w:rPr>
                <w:rFonts w:ascii="Arial" w:cs="Arial" w:eastAsia="Arial" w:hAnsi="Arial"/>
                <w:sz w:val="16"/>
                <w:szCs w:val="16"/>
                <w:color w:val="auto"/>
                <w:w w:val="87"/>
              </w:rPr>
              <w:t>$102,080.00</w:t>
            </w:r>
          </w:p>
        </w:tc>
        <w:tc>
          <w:tcPr>
            <w:tcW w:w="176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6"/>
                <w:szCs w:val="16"/>
                <w:color w:val="auto"/>
                <w:w w:val="89"/>
              </w:rPr>
              <w:t>$1,224,960.00</w:t>
            </w: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0" w:type="dxa"/>
            <w:vAlign w:val="bottom"/>
            <w:tcBorders>
              <w:left w:val="single" w:sz="8" w:color="auto"/>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right w:val="single" w:sz="8" w:color="auto"/>
            </w:tcBorders>
            <w:gridSpan w:val="5"/>
            <w:shd w:val="clear" w:color="auto" w:fill="CCEEFF"/>
          </w:tcPr>
          <w:p>
            <w:pPr>
              <w:jc w:val="center"/>
              <w:ind w:right="620"/>
              <w:spacing w:after="0"/>
              <w:rPr>
                <w:sz w:val="20"/>
                <w:szCs w:val="20"/>
                <w:color w:val="auto"/>
              </w:rPr>
            </w:pPr>
            <w:r>
              <w:rPr>
                <w:rFonts w:ascii="Arial" w:cs="Arial" w:eastAsia="Arial" w:hAnsi="Arial"/>
                <w:sz w:val="16"/>
                <w:szCs w:val="16"/>
                <w:color w:val="auto"/>
                <w:w w:val="89"/>
              </w:rPr>
              <w:t>Months 25-36</w:t>
            </w:r>
          </w:p>
        </w:tc>
        <w:tc>
          <w:tcPr>
            <w:tcW w:w="1540" w:type="dxa"/>
            <w:vAlign w:val="bottom"/>
            <w:tcBorders>
              <w:bottom w:val="single" w:sz="8" w:color="auto"/>
            </w:tcBorders>
            <w:gridSpan w:val="4"/>
            <w:shd w:val="clear" w:color="auto" w:fill="CCEEFF"/>
          </w:tcPr>
          <w:p>
            <w:pPr>
              <w:jc w:val="center"/>
              <w:ind w:left="641"/>
              <w:spacing w:after="0"/>
              <w:rPr>
                <w:sz w:val="20"/>
                <w:szCs w:val="20"/>
                <w:color w:val="auto"/>
              </w:rPr>
            </w:pPr>
            <w:r>
              <w:rPr>
                <w:rFonts w:ascii="Arial" w:cs="Arial" w:eastAsia="Arial" w:hAnsi="Arial"/>
                <w:sz w:val="16"/>
                <w:szCs w:val="16"/>
                <w:color w:val="auto"/>
                <w:w w:val="85"/>
              </w:rPr>
              <w:t>44,000</w:t>
            </w:r>
          </w:p>
        </w:tc>
        <w:tc>
          <w:tcPr>
            <w:tcW w:w="740" w:type="dxa"/>
            <w:vAlign w:val="bottom"/>
            <w:tcBorders>
              <w:bottom w:val="single" w:sz="8" w:color="auto"/>
              <w:right w:val="single" w:sz="8" w:color="auto"/>
            </w:tcBorders>
            <w:shd w:val="clear" w:color="auto" w:fill="CCEEFF"/>
          </w:tcPr>
          <w:p>
            <w:pPr>
              <w:spacing w:after="0"/>
              <w:rPr>
                <w:sz w:val="16"/>
                <w:szCs w:val="16"/>
                <w:color w:val="auto"/>
              </w:rPr>
            </w:pPr>
          </w:p>
        </w:tc>
        <w:tc>
          <w:tcPr>
            <w:tcW w:w="1620" w:type="dxa"/>
            <w:vAlign w:val="bottom"/>
            <w:tcBorders>
              <w:bottom w:val="single" w:sz="8" w:color="auto"/>
            </w:tcBorders>
            <w:gridSpan w:val="3"/>
            <w:shd w:val="clear" w:color="auto" w:fill="CCEEFF"/>
          </w:tcPr>
          <w:p>
            <w:pPr>
              <w:jc w:val="center"/>
              <w:ind w:left="581"/>
              <w:spacing w:after="0"/>
              <w:rPr>
                <w:sz w:val="20"/>
                <w:szCs w:val="20"/>
                <w:color w:val="auto"/>
              </w:rPr>
            </w:pPr>
            <w:r>
              <w:rPr>
                <w:rFonts w:ascii="Arial" w:cs="Arial" w:eastAsia="Arial" w:hAnsi="Arial"/>
                <w:sz w:val="16"/>
                <w:szCs w:val="16"/>
                <w:color w:val="auto"/>
                <w:w w:val="89"/>
              </w:rPr>
              <w:t>$2.39</w:t>
            </w:r>
          </w:p>
        </w:tc>
        <w:tc>
          <w:tcPr>
            <w:tcW w:w="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right w:val="single" w:sz="8" w:color="auto"/>
            </w:tcBorders>
            <w:shd w:val="clear" w:color="auto" w:fill="CCEEFF"/>
          </w:tcPr>
          <w:p>
            <w:pPr>
              <w:spacing w:after="0"/>
              <w:rPr>
                <w:sz w:val="16"/>
                <w:szCs w:val="16"/>
                <w:color w:val="auto"/>
              </w:rPr>
            </w:pPr>
          </w:p>
        </w:tc>
        <w:tc>
          <w:tcPr>
            <w:tcW w:w="2300" w:type="dxa"/>
            <w:vAlign w:val="bottom"/>
            <w:tcBorders>
              <w:bottom w:val="single" w:sz="8" w:color="auto"/>
              <w:right w:val="single" w:sz="8" w:color="auto"/>
            </w:tcBorders>
            <w:gridSpan w:val="5"/>
            <w:shd w:val="clear" w:color="auto" w:fill="CCEEFF"/>
          </w:tcPr>
          <w:p>
            <w:pPr>
              <w:jc w:val="center"/>
              <w:ind w:right="40"/>
              <w:spacing w:after="0"/>
              <w:rPr>
                <w:sz w:val="20"/>
                <w:szCs w:val="20"/>
                <w:color w:val="auto"/>
              </w:rPr>
            </w:pPr>
            <w:r>
              <w:rPr>
                <w:rFonts w:ascii="Arial" w:cs="Arial" w:eastAsia="Arial" w:hAnsi="Arial"/>
                <w:sz w:val="16"/>
                <w:szCs w:val="16"/>
                <w:color w:val="auto"/>
                <w:w w:val="87"/>
              </w:rPr>
              <w:t>$105,160.00</w:t>
            </w:r>
          </w:p>
        </w:tc>
        <w:tc>
          <w:tcPr>
            <w:tcW w:w="1760" w:type="dxa"/>
            <w:vAlign w:val="bottom"/>
            <w:tcBorders>
              <w:bottom w:val="single" w:sz="8" w:color="auto"/>
            </w:tcBorders>
            <w:gridSpan w:val="2"/>
            <w:shd w:val="clear" w:color="auto" w:fill="CCEEFF"/>
          </w:tcPr>
          <w:p>
            <w:pPr>
              <w:jc w:val="center"/>
              <w:ind w:left="401"/>
              <w:spacing w:after="0"/>
              <w:rPr>
                <w:sz w:val="20"/>
                <w:szCs w:val="20"/>
                <w:color w:val="auto"/>
              </w:rPr>
            </w:pPr>
            <w:r>
              <w:rPr>
                <w:rFonts w:ascii="Arial" w:cs="Arial" w:eastAsia="Arial" w:hAnsi="Arial"/>
                <w:sz w:val="16"/>
                <w:szCs w:val="16"/>
                <w:color w:val="auto"/>
                <w:w w:val="89"/>
              </w:rPr>
              <w:t>$1,261,920.00</w:t>
            </w:r>
          </w:p>
        </w:tc>
        <w:tc>
          <w:tcPr>
            <w:tcW w:w="52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0" w:type="dxa"/>
            <w:vAlign w:val="bottom"/>
            <w:tcBorders>
              <w:left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60" w:type="dxa"/>
            <w:vAlign w:val="bottom"/>
            <w:tcBorders>
              <w:bottom w:val="single" w:sz="8" w:color="auto"/>
              <w:right w:val="single" w:sz="8" w:color="auto"/>
            </w:tcBorders>
            <w:gridSpan w:val="5"/>
          </w:tcPr>
          <w:p>
            <w:pPr>
              <w:jc w:val="center"/>
              <w:ind w:right="620"/>
              <w:spacing w:after="0"/>
              <w:rPr>
                <w:sz w:val="20"/>
                <w:szCs w:val="20"/>
                <w:color w:val="auto"/>
              </w:rPr>
            </w:pPr>
            <w:r>
              <w:rPr>
                <w:rFonts w:ascii="Arial" w:cs="Arial" w:eastAsia="Arial" w:hAnsi="Arial"/>
                <w:sz w:val="16"/>
                <w:szCs w:val="16"/>
                <w:color w:val="auto"/>
                <w:w w:val="89"/>
              </w:rPr>
              <w:t>Months 37-48</w:t>
            </w:r>
          </w:p>
        </w:tc>
        <w:tc>
          <w:tcPr>
            <w:tcW w:w="1540" w:type="dxa"/>
            <w:vAlign w:val="bottom"/>
            <w:tcBorders>
              <w:bottom w:val="single" w:sz="8" w:color="auto"/>
            </w:tcBorders>
            <w:gridSpan w:val="4"/>
          </w:tcPr>
          <w:p>
            <w:pPr>
              <w:jc w:val="center"/>
              <w:ind w:left="641"/>
              <w:spacing w:after="0"/>
              <w:rPr>
                <w:sz w:val="20"/>
                <w:szCs w:val="20"/>
                <w:color w:val="auto"/>
              </w:rPr>
            </w:pPr>
            <w:r>
              <w:rPr>
                <w:rFonts w:ascii="Arial" w:cs="Arial" w:eastAsia="Arial" w:hAnsi="Arial"/>
                <w:sz w:val="16"/>
                <w:szCs w:val="16"/>
                <w:color w:val="auto"/>
                <w:w w:val="85"/>
              </w:rPr>
              <w:t>44,000</w:t>
            </w:r>
          </w:p>
        </w:tc>
        <w:tc>
          <w:tcPr>
            <w:tcW w:w="74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16"/>
                <w:szCs w:val="16"/>
                <w:color w:val="auto"/>
                <w:w w:val="89"/>
              </w:rPr>
              <w:t>$2.46</w:t>
            </w: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gridSpan w:val="5"/>
          </w:tcPr>
          <w:p>
            <w:pPr>
              <w:jc w:val="center"/>
              <w:ind w:right="40"/>
              <w:spacing w:after="0"/>
              <w:rPr>
                <w:sz w:val="20"/>
                <w:szCs w:val="20"/>
                <w:color w:val="auto"/>
              </w:rPr>
            </w:pPr>
            <w:r>
              <w:rPr>
                <w:rFonts w:ascii="Arial" w:cs="Arial" w:eastAsia="Arial" w:hAnsi="Arial"/>
                <w:sz w:val="16"/>
                <w:szCs w:val="16"/>
                <w:color w:val="auto"/>
                <w:w w:val="87"/>
              </w:rPr>
              <w:t>$108,240.00</w:t>
            </w:r>
          </w:p>
        </w:tc>
        <w:tc>
          <w:tcPr>
            <w:tcW w:w="176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6"/>
                <w:szCs w:val="16"/>
                <w:color w:val="auto"/>
                <w:w w:val="89"/>
              </w:rPr>
              <w:t>$1,298,880.00</w:t>
            </w: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0" w:type="dxa"/>
            <w:vAlign w:val="bottom"/>
            <w:tcBorders>
              <w:left w:val="single" w:sz="8" w:color="auto"/>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right w:val="single" w:sz="8" w:color="auto"/>
            </w:tcBorders>
            <w:gridSpan w:val="5"/>
            <w:shd w:val="clear" w:color="auto" w:fill="CCEEFF"/>
          </w:tcPr>
          <w:p>
            <w:pPr>
              <w:jc w:val="center"/>
              <w:ind w:right="620"/>
              <w:spacing w:after="0"/>
              <w:rPr>
                <w:sz w:val="20"/>
                <w:szCs w:val="20"/>
                <w:color w:val="auto"/>
              </w:rPr>
            </w:pPr>
            <w:r>
              <w:rPr>
                <w:rFonts w:ascii="Arial" w:cs="Arial" w:eastAsia="Arial" w:hAnsi="Arial"/>
                <w:sz w:val="16"/>
                <w:szCs w:val="16"/>
                <w:color w:val="auto"/>
                <w:w w:val="89"/>
              </w:rPr>
              <w:t>Months 49-60</w:t>
            </w:r>
          </w:p>
        </w:tc>
        <w:tc>
          <w:tcPr>
            <w:tcW w:w="1540" w:type="dxa"/>
            <w:vAlign w:val="bottom"/>
            <w:tcBorders>
              <w:bottom w:val="single" w:sz="8" w:color="auto"/>
            </w:tcBorders>
            <w:gridSpan w:val="4"/>
            <w:shd w:val="clear" w:color="auto" w:fill="CCEEFF"/>
          </w:tcPr>
          <w:p>
            <w:pPr>
              <w:jc w:val="center"/>
              <w:ind w:left="641"/>
              <w:spacing w:after="0"/>
              <w:rPr>
                <w:sz w:val="20"/>
                <w:szCs w:val="20"/>
                <w:color w:val="auto"/>
              </w:rPr>
            </w:pPr>
            <w:r>
              <w:rPr>
                <w:rFonts w:ascii="Arial" w:cs="Arial" w:eastAsia="Arial" w:hAnsi="Arial"/>
                <w:sz w:val="16"/>
                <w:szCs w:val="16"/>
                <w:color w:val="auto"/>
                <w:w w:val="85"/>
              </w:rPr>
              <w:t>44,000</w:t>
            </w:r>
          </w:p>
        </w:tc>
        <w:tc>
          <w:tcPr>
            <w:tcW w:w="740" w:type="dxa"/>
            <w:vAlign w:val="bottom"/>
            <w:tcBorders>
              <w:bottom w:val="single" w:sz="8" w:color="auto"/>
              <w:right w:val="single" w:sz="8" w:color="auto"/>
            </w:tcBorders>
            <w:shd w:val="clear" w:color="auto" w:fill="CCEEFF"/>
          </w:tcPr>
          <w:p>
            <w:pPr>
              <w:spacing w:after="0"/>
              <w:rPr>
                <w:sz w:val="16"/>
                <w:szCs w:val="16"/>
                <w:color w:val="auto"/>
              </w:rPr>
            </w:pPr>
          </w:p>
        </w:tc>
        <w:tc>
          <w:tcPr>
            <w:tcW w:w="1620" w:type="dxa"/>
            <w:vAlign w:val="bottom"/>
            <w:tcBorders>
              <w:bottom w:val="single" w:sz="8" w:color="auto"/>
            </w:tcBorders>
            <w:gridSpan w:val="3"/>
            <w:shd w:val="clear" w:color="auto" w:fill="CCEEFF"/>
          </w:tcPr>
          <w:p>
            <w:pPr>
              <w:jc w:val="center"/>
              <w:ind w:left="581"/>
              <w:spacing w:after="0"/>
              <w:rPr>
                <w:sz w:val="20"/>
                <w:szCs w:val="20"/>
                <w:color w:val="auto"/>
              </w:rPr>
            </w:pPr>
            <w:r>
              <w:rPr>
                <w:rFonts w:ascii="Arial" w:cs="Arial" w:eastAsia="Arial" w:hAnsi="Arial"/>
                <w:sz w:val="16"/>
                <w:szCs w:val="16"/>
                <w:color w:val="auto"/>
                <w:w w:val="89"/>
              </w:rPr>
              <w:t>$2.53</w:t>
            </w:r>
          </w:p>
        </w:tc>
        <w:tc>
          <w:tcPr>
            <w:tcW w:w="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right w:val="single" w:sz="8" w:color="auto"/>
            </w:tcBorders>
            <w:shd w:val="clear" w:color="auto" w:fill="CCEEFF"/>
          </w:tcPr>
          <w:p>
            <w:pPr>
              <w:spacing w:after="0"/>
              <w:rPr>
                <w:sz w:val="16"/>
                <w:szCs w:val="16"/>
                <w:color w:val="auto"/>
              </w:rPr>
            </w:pPr>
          </w:p>
        </w:tc>
        <w:tc>
          <w:tcPr>
            <w:tcW w:w="2300" w:type="dxa"/>
            <w:vAlign w:val="bottom"/>
            <w:tcBorders>
              <w:bottom w:val="single" w:sz="8" w:color="auto"/>
              <w:right w:val="single" w:sz="8" w:color="auto"/>
            </w:tcBorders>
            <w:gridSpan w:val="5"/>
            <w:shd w:val="clear" w:color="auto" w:fill="CCEEFF"/>
          </w:tcPr>
          <w:p>
            <w:pPr>
              <w:jc w:val="center"/>
              <w:ind w:right="40"/>
              <w:spacing w:after="0"/>
              <w:rPr>
                <w:sz w:val="20"/>
                <w:szCs w:val="20"/>
                <w:color w:val="auto"/>
              </w:rPr>
            </w:pPr>
            <w:r>
              <w:rPr>
                <w:rFonts w:ascii="Arial" w:cs="Arial" w:eastAsia="Arial" w:hAnsi="Arial"/>
                <w:sz w:val="16"/>
                <w:szCs w:val="16"/>
                <w:color w:val="auto"/>
                <w:w w:val="87"/>
              </w:rPr>
              <w:t>$111,320.00</w:t>
            </w:r>
          </w:p>
        </w:tc>
        <w:tc>
          <w:tcPr>
            <w:tcW w:w="1760" w:type="dxa"/>
            <w:vAlign w:val="bottom"/>
            <w:tcBorders>
              <w:bottom w:val="single" w:sz="8" w:color="auto"/>
            </w:tcBorders>
            <w:gridSpan w:val="2"/>
            <w:shd w:val="clear" w:color="auto" w:fill="CCEEFF"/>
          </w:tcPr>
          <w:p>
            <w:pPr>
              <w:jc w:val="center"/>
              <w:ind w:left="401"/>
              <w:spacing w:after="0"/>
              <w:rPr>
                <w:sz w:val="20"/>
                <w:szCs w:val="20"/>
                <w:color w:val="auto"/>
              </w:rPr>
            </w:pPr>
            <w:r>
              <w:rPr>
                <w:rFonts w:ascii="Arial" w:cs="Arial" w:eastAsia="Arial" w:hAnsi="Arial"/>
                <w:sz w:val="16"/>
                <w:szCs w:val="16"/>
                <w:color w:val="auto"/>
                <w:w w:val="89"/>
              </w:rPr>
              <w:t>$1,335,840.00</w:t>
            </w:r>
          </w:p>
        </w:tc>
        <w:tc>
          <w:tcPr>
            <w:tcW w:w="52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80" w:type="dxa"/>
            <w:vAlign w:val="bottom"/>
            <w:tcBorders>
              <w:left w:val="single" w:sz="8" w:color="auto"/>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60" w:type="dxa"/>
            <w:vAlign w:val="bottom"/>
            <w:tcBorders>
              <w:bottom w:val="single" w:sz="8" w:color="auto"/>
              <w:right w:val="single" w:sz="8" w:color="auto"/>
            </w:tcBorders>
            <w:gridSpan w:val="5"/>
          </w:tcPr>
          <w:p>
            <w:pPr>
              <w:jc w:val="center"/>
              <w:ind w:right="620"/>
              <w:spacing w:after="0"/>
              <w:rPr>
                <w:sz w:val="20"/>
                <w:szCs w:val="20"/>
                <w:color w:val="auto"/>
              </w:rPr>
            </w:pPr>
            <w:r>
              <w:rPr>
                <w:rFonts w:ascii="Arial" w:cs="Arial" w:eastAsia="Arial" w:hAnsi="Arial"/>
                <w:sz w:val="16"/>
                <w:szCs w:val="16"/>
                <w:color w:val="auto"/>
                <w:w w:val="89"/>
              </w:rPr>
              <w:t>Months 61-72</w:t>
            </w:r>
          </w:p>
        </w:tc>
        <w:tc>
          <w:tcPr>
            <w:tcW w:w="1540" w:type="dxa"/>
            <w:vAlign w:val="bottom"/>
            <w:tcBorders>
              <w:bottom w:val="single" w:sz="8" w:color="auto"/>
            </w:tcBorders>
            <w:gridSpan w:val="4"/>
          </w:tcPr>
          <w:p>
            <w:pPr>
              <w:jc w:val="center"/>
              <w:ind w:left="641"/>
              <w:spacing w:after="0"/>
              <w:rPr>
                <w:sz w:val="20"/>
                <w:szCs w:val="20"/>
                <w:color w:val="auto"/>
              </w:rPr>
            </w:pPr>
            <w:r>
              <w:rPr>
                <w:rFonts w:ascii="Arial" w:cs="Arial" w:eastAsia="Arial" w:hAnsi="Arial"/>
                <w:sz w:val="16"/>
                <w:szCs w:val="16"/>
                <w:color w:val="auto"/>
                <w:w w:val="85"/>
              </w:rPr>
              <w:t>44,000</w:t>
            </w:r>
          </w:p>
        </w:tc>
        <w:tc>
          <w:tcPr>
            <w:tcW w:w="740" w:type="dxa"/>
            <w:vAlign w:val="bottom"/>
            <w:tcBorders>
              <w:bottom w:val="single" w:sz="8" w:color="auto"/>
              <w:right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81"/>
              <w:spacing w:after="0"/>
              <w:rPr>
                <w:sz w:val="20"/>
                <w:szCs w:val="20"/>
                <w:color w:val="auto"/>
              </w:rPr>
            </w:pPr>
            <w:r>
              <w:rPr>
                <w:rFonts w:ascii="Arial" w:cs="Arial" w:eastAsia="Arial" w:hAnsi="Arial"/>
                <w:sz w:val="16"/>
                <w:szCs w:val="16"/>
                <w:color w:val="auto"/>
                <w:w w:val="89"/>
              </w:rPr>
              <w:t>$2.61</w:t>
            </w: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right w:val="single" w:sz="8" w:color="auto"/>
            </w:tcBorders>
            <w:gridSpan w:val="5"/>
          </w:tcPr>
          <w:p>
            <w:pPr>
              <w:jc w:val="center"/>
              <w:ind w:right="40"/>
              <w:spacing w:after="0"/>
              <w:rPr>
                <w:sz w:val="20"/>
                <w:szCs w:val="20"/>
                <w:color w:val="auto"/>
              </w:rPr>
            </w:pPr>
            <w:r>
              <w:rPr>
                <w:rFonts w:ascii="Arial" w:cs="Arial" w:eastAsia="Arial" w:hAnsi="Arial"/>
                <w:sz w:val="16"/>
                <w:szCs w:val="16"/>
                <w:color w:val="auto"/>
                <w:w w:val="87"/>
              </w:rPr>
              <w:t>$114,840.00</w:t>
            </w:r>
          </w:p>
        </w:tc>
        <w:tc>
          <w:tcPr>
            <w:tcW w:w="176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6"/>
                <w:szCs w:val="16"/>
                <w:color w:val="auto"/>
                <w:w w:val="89"/>
              </w:rPr>
              <w:t>$1,378,080.00</w:t>
            </w: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80" w:type="dxa"/>
            <w:vAlign w:val="bottom"/>
            <w:tcBorders>
              <w:left w:val="single" w:sz="8" w:color="auto"/>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right w:val="single" w:sz="8" w:color="auto"/>
            </w:tcBorders>
            <w:gridSpan w:val="5"/>
            <w:shd w:val="clear" w:color="auto" w:fill="CCEEFF"/>
          </w:tcPr>
          <w:p>
            <w:pPr>
              <w:jc w:val="center"/>
              <w:ind w:right="620"/>
              <w:spacing w:after="0"/>
              <w:rPr>
                <w:sz w:val="20"/>
                <w:szCs w:val="20"/>
                <w:color w:val="auto"/>
              </w:rPr>
            </w:pPr>
            <w:r>
              <w:rPr>
                <w:rFonts w:ascii="Arial" w:cs="Arial" w:eastAsia="Arial" w:hAnsi="Arial"/>
                <w:sz w:val="16"/>
                <w:szCs w:val="16"/>
                <w:color w:val="auto"/>
                <w:w w:val="89"/>
              </w:rPr>
              <w:t>Months 73-84</w:t>
            </w:r>
          </w:p>
        </w:tc>
        <w:tc>
          <w:tcPr>
            <w:tcW w:w="1540" w:type="dxa"/>
            <w:vAlign w:val="bottom"/>
            <w:tcBorders>
              <w:bottom w:val="single" w:sz="8" w:color="auto"/>
            </w:tcBorders>
            <w:gridSpan w:val="4"/>
            <w:shd w:val="clear" w:color="auto" w:fill="CCEEFF"/>
          </w:tcPr>
          <w:p>
            <w:pPr>
              <w:jc w:val="center"/>
              <w:ind w:left="641"/>
              <w:spacing w:after="0"/>
              <w:rPr>
                <w:sz w:val="20"/>
                <w:szCs w:val="20"/>
                <w:color w:val="auto"/>
              </w:rPr>
            </w:pPr>
            <w:r>
              <w:rPr>
                <w:rFonts w:ascii="Arial" w:cs="Arial" w:eastAsia="Arial" w:hAnsi="Arial"/>
                <w:sz w:val="16"/>
                <w:szCs w:val="16"/>
                <w:color w:val="auto"/>
                <w:w w:val="85"/>
              </w:rPr>
              <w:t>44,000</w:t>
            </w: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center"/>
              <w:ind w:left="581"/>
              <w:spacing w:after="0"/>
              <w:rPr>
                <w:sz w:val="20"/>
                <w:szCs w:val="20"/>
                <w:color w:val="auto"/>
              </w:rPr>
            </w:pPr>
            <w:r>
              <w:rPr>
                <w:rFonts w:ascii="Arial" w:cs="Arial" w:eastAsia="Arial" w:hAnsi="Arial"/>
                <w:sz w:val="16"/>
                <w:szCs w:val="16"/>
                <w:color w:val="auto"/>
                <w:w w:val="89"/>
              </w:rPr>
              <w:t>$2.69</w:t>
            </w:r>
          </w:p>
        </w:tc>
        <w:tc>
          <w:tcPr>
            <w:tcW w:w="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2300" w:type="dxa"/>
            <w:vAlign w:val="bottom"/>
            <w:tcBorders>
              <w:bottom w:val="single" w:sz="8" w:color="auto"/>
              <w:right w:val="single" w:sz="8" w:color="auto"/>
            </w:tcBorders>
            <w:gridSpan w:val="5"/>
            <w:shd w:val="clear" w:color="auto" w:fill="CCEEFF"/>
          </w:tcPr>
          <w:p>
            <w:pPr>
              <w:jc w:val="center"/>
              <w:ind w:right="40"/>
              <w:spacing w:after="0"/>
              <w:rPr>
                <w:sz w:val="20"/>
                <w:szCs w:val="20"/>
                <w:color w:val="auto"/>
              </w:rPr>
            </w:pPr>
            <w:r>
              <w:rPr>
                <w:rFonts w:ascii="Arial" w:cs="Arial" w:eastAsia="Arial" w:hAnsi="Arial"/>
                <w:sz w:val="16"/>
                <w:szCs w:val="16"/>
                <w:color w:val="auto"/>
                <w:w w:val="87"/>
              </w:rPr>
              <w:t>$118,360.00</w:t>
            </w:r>
          </w:p>
        </w:tc>
        <w:tc>
          <w:tcPr>
            <w:tcW w:w="1760" w:type="dxa"/>
            <w:vAlign w:val="bottom"/>
            <w:tcBorders>
              <w:bottom w:val="single" w:sz="8" w:color="auto"/>
            </w:tcBorders>
            <w:gridSpan w:val="2"/>
            <w:shd w:val="clear" w:color="auto" w:fill="CCEEFF"/>
          </w:tcPr>
          <w:p>
            <w:pPr>
              <w:jc w:val="center"/>
              <w:ind w:left="401"/>
              <w:spacing w:after="0"/>
              <w:rPr>
                <w:sz w:val="20"/>
                <w:szCs w:val="20"/>
                <w:color w:val="auto"/>
              </w:rPr>
            </w:pPr>
            <w:r>
              <w:rPr>
                <w:rFonts w:ascii="Arial" w:cs="Arial" w:eastAsia="Arial" w:hAnsi="Arial"/>
                <w:sz w:val="16"/>
                <w:szCs w:val="16"/>
                <w:color w:val="auto"/>
                <w:w w:val="89"/>
              </w:rPr>
              <w:t>$1,420,320.00</w:t>
            </w:r>
          </w:p>
        </w:tc>
        <w:tc>
          <w:tcPr>
            <w:tcW w:w="5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tcBorders>
              <w:left w:val="single" w:sz="8" w:color="auto"/>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60" w:type="dxa"/>
            <w:vAlign w:val="bottom"/>
            <w:tcBorders>
              <w:bottom w:val="single" w:sz="8" w:color="auto"/>
              <w:right w:val="single" w:sz="8" w:color="auto"/>
            </w:tcBorders>
            <w:gridSpan w:val="5"/>
          </w:tcPr>
          <w:p>
            <w:pPr>
              <w:jc w:val="center"/>
              <w:ind w:right="620"/>
              <w:spacing w:after="0" w:line="171" w:lineRule="exact"/>
              <w:rPr>
                <w:sz w:val="20"/>
                <w:szCs w:val="20"/>
                <w:color w:val="auto"/>
              </w:rPr>
            </w:pPr>
            <w:r>
              <w:rPr>
                <w:rFonts w:ascii="Arial" w:cs="Arial" w:eastAsia="Arial" w:hAnsi="Arial"/>
                <w:sz w:val="16"/>
                <w:szCs w:val="16"/>
                <w:color w:val="auto"/>
                <w:w w:val="89"/>
              </w:rPr>
              <w:t>Months 85-96</w:t>
            </w:r>
          </w:p>
        </w:tc>
        <w:tc>
          <w:tcPr>
            <w:tcW w:w="1540" w:type="dxa"/>
            <w:vAlign w:val="bottom"/>
            <w:tcBorders>
              <w:bottom w:val="single" w:sz="8" w:color="auto"/>
            </w:tcBorders>
            <w:gridSpan w:val="4"/>
          </w:tcPr>
          <w:p>
            <w:pPr>
              <w:jc w:val="center"/>
              <w:ind w:left="641"/>
              <w:spacing w:after="0" w:line="171" w:lineRule="exact"/>
              <w:rPr>
                <w:sz w:val="20"/>
                <w:szCs w:val="20"/>
                <w:color w:val="auto"/>
              </w:rPr>
            </w:pPr>
            <w:r>
              <w:rPr>
                <w:rFonts w:ascii="Arial" w:cs="Arial" w:eastAsia="Arial" w:hAnsi="Arial"/>
                <w:sz w:val="16"/>
                <w:szCs w:val="16"/>
                <w:color w:val="auto"/>
                <w:w w:val="85"/>
              </w:rPr>
              <w:t>44,000</w:t>
            </w:r>
          </w:p>
        </w:tc>
        <w:tc>
          <w:tcPr>
            <w:tcW w:w="74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581"/>
              <w:spacing w:after="0" w:line="171" w:lineRule="exact"/>
              <w:rPr>
                <w:sz w:val="20"/>
                <w:szCs w:val="20"/>
                <w:color w:val="auto"/>
              </w:rPr>
            </w:pPr>
            <w:r>
              <w:rPr>
                <w:rFonts w:ascii="Arial" w:cs="Arial" w:eastAsia="Arial" w:hAnsi="Arial"/>
                <w:sz w:val="16"/>
                <w:szCs w:val="16"/>
                <w:color w:val="auto"/>
                <w:w w:val="89"/>
              </w:rPr>
              <w:t>$2.77</w:t>
            </w: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2300" w:type="dxa"/>
            <w:vAlign w:val="bottom"/>
            <w:tcBorders>
              <w:bottom w:val="single" w:sz="8" w:color="auto"/>
              <w:right w:val="single" w:sz="8" w:color="auto"/>
            </w:tcBorders>
            <w:gridSpan w:val="5"/>
          </w:tcPr>
          <w:p>
            <w:pPr>
              <w:jc w:val="center"/>
              <w:ind w:right="40"/>
              <w:spacing w:after="0" w:line="171" w:lineRule="exact"/>
              <w:rPr>
                <w:sz w:val="20"/>
                <w:szCs w:val="20"/>
                <w:color w:val="auto"/>
              </w:rPr>
            </w:pPr>
            <w:r>
              <w:rPr>
                <w:rFonts w:ascii="Arial" w:cs="Arial" w:eastAsia="Arial" w:hAnsi="Arial"/>
                <w:sz w:val="16"/>
                <w:szCs w:val="16"/>
                <w:color w:val="auto"/>
                <w:w w:val="87"/>
              </w:rPr>
              <w:t>$121,880.00</w:t>
            </w:r>
          </w:p>
        </w:tc>
        <w:tc>
          <w:tcPr>
            <w:tcW w:w="1760" w:type="dxa"/>
            <w:vAlign w:val="bottom"/>
            <w:tcBorders>
              <w:bottom w:val="single" w:sz="8" w:color="auto"/>
            </w:tcBorders>
            <w:gridSpan w:val="2"/>
          </w:tcPr>
          <w:p>
            <w:pPr>
              <w:jc w:val="center"/>
              <w:ind w:left="401"/>
              <w:spacing w:after="0" w:line="171" w:lineRule="exact"/>
              <w:rPr>
                <w:sz w:val="20"/>
                <w:szCs w:val="20"/>
                <w:color w:val="auto"/>
              </w:rPr>
            </w:pPr>
            <w:r>
              <w:rPr>
                <w:rFonts w:ascii="Arial" w:cs="Arial" w:eastAsia="Arial" w:hAnsi="Arial"/>
                <w:sz w:val="16"/>
                <w:szCs w:val="16"/>
                <w:color w:val="auto"/>
                <w:w w:val="89"/>
              </w:rPr>
              <w:t>$1,462,560.00</w:t>
            </w:r>
          </w:p>
        </w:tc>
        <w:tc>
          <w:tcPr>
            <w:tcW w:w="5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80" w:type="dxa"/>
            <w:vAlign w:val="bottom"/>
          </w:tcPr>
          <w:p>
            <w:pPr>
              <w:spacing w:after="0"/>
              <w:rPr>
                <w:sz w:val="20"/>
                <w:szCs w:val="20"/>
                <w:color w:val="auto"/>
              </w:rPr>
            </w:pPr>
            <w:r>
              <w:rPr>
                <w:rFonts w:ascii="Arial" w:cs="Arial" w:eastAsia="Arial" w:hAnsi="Arial"/>
                <w:sz w:val="16"/>
                <w:szCs w:val="16"/>
                <w:i w:val="1"/>
                <w:iCs w:val="1"/>
                <w:color w:val="auto"/>
              </w:rPr>
              <w:t>* Note:</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0" w:type="dxa"/>
            <w:vAlign w:val="bottom"/>
            <w:gridSpan w:val="19"/>
          </w:tcPr>
          <w:p>
            <w:pPr>
              <w:ind w:left="20"/>
              <w:spacing w:after="0"/>
              <w:rPr>
                <w:sz w:val="20"/>
                <w:szCs w:val="20"/>
                <w:color w:val="auto"/>
              </w:rPr>
            </w:pPr>
            <w:r>
              <w:rPr>
                <w:rFonts w:ascii="Arial" w:cs="Arial" w:eastAsia="Arial" w:hAnsi="Arial"/>
                <w:sz w:val="16"/>
                <w:szCs w:val="16"/>
                <w:i w:val="1"/>
                <w:iCs w:val="1"/>
                <w:color w:val="auto"/>
              </w:rPr>
              <w:t>Subject to adjustment based upon the Rentable Area of the Premises as of the Term Commencement Date.</w:t>
            </w: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 xml:space="preserve">Notwithstanding anything to the contrary in the above chart, during the first fifteen (15) months of the Term (and provided that Tenant is not then in default (beyond any applicable notice and cure periods) of any of its obligations under this Lease), Tenant’s Base Rent shall be calculated based upon twenty-two thousand (22,000) square feet of Rentable Area; </w:t>
      </w:r>
      <w:r>
        <w:rPr>
          <w:rFonts w:ascii="Arial" w:cs="Arial" w:eastAsia="Arial" w:hAnsi="Arial"/>
          <w:sz w:val="14"/>
          <w:szCs w:val="14"/>
          <w:u w:val="single" w:color="auto"/>
          <w:color w:val="auto"/>
        </w:rPr>
        <w:t>provided</w:t>
      </w:r>
      <w:r>
        <w:rPr>
          <w:rFonts w:ascii="Arial" w:cs="Arial" w:eastAsia="Arial" w:hAnsi="Arial"/>
          <w:sz w:val="14"/>
          <w:szCs w:val="14"/>
          <w:color w:val="auto"/>
        </w:rPr>
        <w:t>, however, that Tenant shall have access to and use of the entire Premises subject to and in accordance with the terms and provisions of the Lease.</w:t>
      </w:r>
    </w:p>
    <w:p>
      <w:pPr>
        <w:spacing w:after="0" w:line="154" w:lineRule="exact"/>
        <w:rPr>
          <w:sz w:val="20"/>
          <w:szCs w:val="20"/>
          <w:color w:val="auto"/>
        </w:rPr>
      </w:pPr>
    </w:p>
    <w:p>
      <w:pPr>
        <w:ind w:right="20" w:firstLine="562"/>
        <w:spacing w:after="0" w:line="267" w:lineRule="auto"/>
        <w:tabs>
          <w:tab w:leader="none" w:pos="99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undersigned Tenant has not made any prior assignment, transfer, hypothecation or pledge of the Lease or of the rents thereunder or sublease of the Premises or any portion thereof.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THIS PAGE INTENTIONALLY LEFT BLANK]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42" w:name="page243"/>
    <w:bookmarkEnd w:id="242"/>
    <w:p>
      <w:pPr>
        <w:ind w:left="620"/>
        <w:spacing w:after="0"/>
        <w:rPr>
          <w:sz w:val="20"/>
          <w:szCs w:val="20"/>
          <w:color w:val="auto"/>
        </w:rPr>
      </w:pPr>
      <w:r>
        <w:rPr>
          <w:rFonts w:ascii="Arial" w:cs="Arial" w:eastAsia="Arial" w:hAnsi="Arial"/>
          <w:sz w:val="14"/>
          <w:szCs w:val="14"/>
          <w:color w:val="auto"/>
        </w:rPr>
        <w:t>IN WITNESS WHEREOF, Tenant has executed this Acknowledgment of Term Commencement Date and Term Expiration Date as of the date first written above.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TENANT: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ASTERIAS BIOTHERAPEUTICS,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2543810" cy="152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54381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2543810" cy="152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54381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2543810" cy="152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43810" cy="15240"/>
                    </a:xfrm>
                    <a:prstGeom prst="rect">
                      <a:avLst/>
                    </a:prstGeom>
                    <a:noFill/>
                  </pic:spPr>
                </pic:pic>
              </a:graphicData>
            </a:graphic>
          </wp:anchor>
        </w:drawing>
      </w:r>
    </w:p>
    <w:p>
      <w:pPr>
        <w:spacing w:after="0" w:line="3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800"/>
          </w:cols>
          <w:pgMar w:left="240" w:top="127" w:right="859" w:bottom="1440" w:gutter="0" w:footer="0" w:header="0"/>
        </w:sectPr>
      </w:pPr>
    </w:p>
    <w:bookmarkStart w:id="243" w:name="page244"/>
    <w:bookmarkEnd w:id="243"/>
    <w:p>
      <w:pPr>
        <w:jc w:val="center"/>
        <w:ind w:right="-20"/>
        <w:spacing w:after="0"/>
        <w:rPr>
          <w:sz w:val="20"/>
          <w:szCs w:val="20"/>
          <w:color w:val="auto"/>
        </w:rPr>
      </w:pPr>
      <w:r>
        <w:rPr>
          <w:rFonts w:ascii="Arial" w:cs="Arial" w:eastAsia="Arial" w:hAnsi="Arial"/>
          <w:sz w:val="16"/>
          <w:szCs w:val="16"/>
          <w:b w:val="1"/>
          <w:bCs w:val="1"/>
          <w:color w:val="auto"/>
        </w:rPr>
        <w:t>EXHIBIT D</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Intentionally omitted</w:t>
      </w:r>
      <w:r>
        <w:rPr>
          <w:rFonts w:ascii="Arial" w:cs="Arial" w:eastAsia="Arial" w:hAnsi="Arial"/>
          <w:sz w:val="14"/>
          <w:szCs w:val="14"/>
          <w:b w:val="1"/>
          <w:bCs w:val="1"/>
          <w:color w:val="auto"/>
        </w:rPr>
        <w:t>]</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27940</wp:posOffset>
            </wp:positionV>
            <wp:extent cx="7263765" cy="152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4" w:name="page245"/>
    <w:bookmarkEnd w:id="244"/>
    <w:p>
      <w:pPr>
        <w:jc w:val="center"/>
        <w:spacing w:after="0"/>
        <w:rPr>
          <w:sz w:val="20"/>
          <w:szCs w:val="20"/>
          <w:color w:val="auto"/>
        </w:rPr>
      </w:pPr>
      <w:r>
        <w:rPr>
          <w:rFonts w:ascii="Arial" w:cs="Arial" w:eastAsia="Arial" w:hAnsi="Arial"/>
          <w:sz w:val="16"/>
          <w:szCs w:val="16"/>
          <w:b w:val="1"/>
          <w:bCs w:val="1"/>
          <w:color w:val="auto"/>
        </w:rPr>
        <w:t>EXHIBIT 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FORM OF LETTER OF CREDIT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[On letterhead or L/C letterhead of Issuer.]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LETTER OF CREDIT</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Date: _______, 20__</w:t>
      </w:r>
    </w:p>
    <w:p>
      <w:pPr>
        <w:spacing w:after="0" w:line="194"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(the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2483485" cy="152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48348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146050</wp:posOffset>
            </wp:positionV>
            <wp:extent cx="2483485" cy="152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48348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281305</wp:posOffset>
            </wp:positionV>
            <wp:extent cx="2483485" cy="152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483485" cy="1524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11430</wp:posOffset>
            </wp:positionV>
            <wp:extent cx="1755775" cy="152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755775"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L/C.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11430</wp:posOffset>
            </wp:positionV>
            <wp:extent cx="1755775" cy="152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755775"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Loan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11430</wp:posOffset>
            </wp:positionV>
            <wp:extent cx="1755775" cy="152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755775" cy="1524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1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We establish in favor of Beneficiary our irrevocable and unconditional Letter of Credit numbered as identified above (the “</w:t>
      </w:r>
      <w:r>
        <w:rPr>
          <w:rFonts w:ascii="Arial" w:cs="Arial" w:eastAsia="Arial" w:hAnsi="Arial"/>
          <w:sz w:val="14"/>
          <w:szCs w:val="14"/>
          <w:u w:val="single" w:color="auto"/>
          <w:color w:val="auto"/>
        </w:rPr>
        <w:t>L/C</w:t>
      </w:r>
      <w:r>
        <w:rPr>
          <w:rFonts w:ascii="Arial" w:cs="Arial" w:eastAsia="Arial" w:hAnsi="Arial"/>
          <w:sz w:val="14"/>
          <w:szCs w:val="14"/>
          <w:color w:val="auto"/>
        </w:rPr>
        <w:t>”) for an aggregate amount of $_______,</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expiring at __:00 p.m. on _______ or, if such day is not a Banking Day, then the next succeeding Banking Day (such date, as extended from time to time, the “</w:t>
      </w:r>
      <w:r>
        <w:rPr>
          <w:rFonts w:ascii="Arial" w:cs="Arial" w:eastAsia="Arial" w:hAnsi="Arial"/>
          <w:sz w:val="15"/>
          <w:szCs w:val="15"/>
          <w:u w:val="single" w:color="auto"/>
          <w:color w:val="auto"/>
        </w:rPr>
        <w:t>Expiry Date</w:t>
      </w:r>
      <w:r>
        <w:rPr>
          <w:rFonts w:ascii="Arial" w:cs="Arial" w:eastAsia="Arial" w:hAnsi="Arial"/>
          <w:sz w:val="15"/>
          <w:szCs w:val="15"/>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Day</w:t>
      </w:r>
      <w:r>
        <w:rPr>
          <w:rFonts w:ascii="Arial" w:cs="Arial" w:eastAsia="Arial" w:hAnsi="Arial"/>
          <w:sz w:val="16"/>
          <w:szCs w:val="16"/>
          <w:color w:val="auto"/>
        </w:rPr>
        <w:t>” means a weekday except a weekday when commercial banks in _____________ are authorized or required to close.</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authorize Beneficiary to draw on us (the “</w:t>
      </w:r>
      <w:r>
        <w:rPr>
          <w:rFonts w:ascii="Arial" w:cs="Arial" w:eastAsia="Arial" w:hAnsi="Arial"/>
          <w:sz w:val="16"/>
          <w:szCs w:val="16"/>
          <w:u w:val="single" w:color="auto"/>
          <w:color w:val="auto"/>
        </w:rPr>
        <w:t>Issuer</w:t>
      </w:r>
      <w:r>
        <w:rPr>
          <w:rFonts w:ascii="Arial" w:cs="Arial" w:eastAsia="Arial" w:hAnsi="Arial"/>
          <w:sz w:val="16"/>
          <w:szCs w:val="16"/>
          <w:color w:val="auto"/>
        </w:rPr>
        <w:t>”) for the account of _______ (the “</w:t>
      </w:r>
      <w:r>
        <w:rPr>
          <w:rFonts w:ascii="Arial" w:cs="Arial" w:eastAsia="Arial" w:hAnsi="Arial"/>
          <w:sz w:val="16"/>
          <w:szCs w:val="16"/>
          <w:u w:val="single" w:color="auto"/>
          <w:color w:val="auto"/>
        </w:rPr>
        <w:t>Account Party</w:t>
      </w:r>
      <w:r>
        <w:rPr>
          <w:rFonts w:ascii="Arial" w:cs="Arial" w:eastAsia="Arial" w:hAnsi="Arial"/>
          <w:sz w:val="16"/>
          <w:szCs w:val="16"/>
          <w:color w:val="auto"/>
        </w:rPr>
        <w:t>”), under the terms and conditions of this L/C.</w:t>
      </w:r>
    </w:p>
    <w:p>
      <w:pPr>
        <w:spacing w:after="0" w:line="218"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5"/>
          <w:szCs w:val="15"/>
          <w:color w:val="auto"/>
        </w:rPr>
        <w:t>Funds under this L/C are available by presenting the following documentation (the “</w:t>
      </w:r>
      <w:r>
        <w:rPr>
          <w:rFonts w:ascii="Arial" w:cs="Arial" w:eastAsia="Arial" w:hAnsi="Arial"/>
          <w:sz w:val="15"/>
          <w:szCs w:val="15"/>
          <w:u w:val="single" w:color="auto"/>
          <w:color w:val="auto"/>
        </w:rPr>
        <w:t>Drawing Documentation</w:t>
      </w:r>
      <w:r>
        <w:rPr>
          <w:rFonts w:ascii="Arial" w:cs="Arial" w:eastAsia="Arial" w:hAnsi="Arial"/>
          <w:sz w:val="15"/>
          <w:szCs w:val="15"/>
          <w:color w:val="auto"/>
        </w:rPr>
        <w:t xml:space="preserve">”): (a) the original L/C and (b) a sight draft substantially in the form of </w:t>
      </w:r>
      <w:r>
        <w:rPr>
          <w:rFonts w:ascii="Arial" w:cs="Arial" w:eastAsia="Arial" w:hAnsi="Arial"/>
          <w:sz w:val="15"/>
          <w:szCs w:val="15"/>
          <w:u w:val="single" w:color="auto"/>
          <w:color w:val="auto"/>
        </w:rPr>
        <w:t>Attachment 1</w:t>
      </w:r>
      <w:r>
        <w:rPr>
          <w:rFonts w:ascii="Arial" w:cs="Arial" w:eastAsia="Arial" w:hAnsi="Arial"/>
          <w:sz w:val="15"/>
          <w:szCs w:val="15"/>
          <w:color w:val="auto"/>
        </w:rPr>
        <w:t>, with blanks filled in and bracketed items provided as appropriate. No other evidence of authority, certificate, or documentation is required.</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Drawing Documentation must be presented at Issuer’s office at ____________ on or before the Expiry Date by personal presentation, courier or messenger service, or fax.</w:t>
      </w:r>
    </w:p>
    <w:p>
      <w:pPr>
        <w:spacing w:after="0" w:line="3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Presentation by fax shall be effective upon electronic confirmation of transmission as evidenced by a printed report from the sender’s fax machine. After any fax presentation, but not as a condition to its effectiveness, Beneficiary shall with reasonable promptness deliver the original Drawing Documentation by any other means. Issuer will on request issue a receipt for Drawing Documentation.</w:t>
      </w:r>
    </w:p>
    <w:p>
      <w:pPr>
        <w:spacing w:after="0" w:line="196" w:lineRule="exact"/>
        <w:rPr>
          <w:sz w:val="20"/>
          <w:szCs w:val="20"/>
          <w:color w:val="auto"/>
        </w:rPr>
      </w:pPr>
    </w:p>
    <w:p>
      <w:pPr>
        <w:jc w:val="both"/>
        <w:ind w:firstLine="567"/>
        <w:spacing w:after="0" w:line="301" w:lineRule="auto"/>
        <w:rPr>
          <w:sz w:val="20"/>
          <w:szCs w:val="20"/>
          <w:color w:val="auto"/>
        </w:rPr>
      </w:pPr>
      <w:r>
        <w:rPr>
          <w:rFonts w:ascii="Arial" w:cs="Arial" w:eastAsia="Arial" w:hAnsi="Arial"/>
          <w:sz w:val="15"/>
          <w:szCs w:val="15"/>
          <w:color w:val="auto"/>
        </w:rPr>
        <w:t xml:space="preserve">We agree, irrevocably, and irrespective of any claim by any other person, to honor drafts drawn under and in conformity with this L/C, within the maximum amount of this L/C, presented to us on or before the Expiry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we also receive (on or before the Expiry Date) any other Drawing Documentation this L/C requires.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45" w:name="page246"/>
    <w:bookmarkEnd w:id="245"/>
    <w:p>
      <w:pPr>
        <w:ind w:left="560"/>
        <w:spacing w:after="0"/>
        <w:rPr>
          <w:sz w:val="20"/>
          <w:szCs w:val="20"/>
          <w:color w:val="auto"/>
        </w:rPr>
      </w:pPr>
      <w:r>
        <w:rPr>
          <w:rFonts w:ascii="Arial" w:cs="Arial" w:eastAsia="Arial" w:hAnsi="Arial"/>
          <w:sz w:val="16"/>
          <w:szCs w:val="16"/>
          <w:color w:val="auto"/>
        </w:rPr>
        <w:t>We shall pay this L/C only from our own funds by check or wire transfer, in compliance with the Drawing Documentation.</w:t>
      </w:r>
    </w:p>
    <w:p>
      <w:pPr>
        <w:spacing w:after="0" w:line="194"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16"/>
          <w:szCs w:val="16"/>
          <w:color w:val="auto"/>
        </w:rPr>
        <w:t>If Beneficiary presents proper Drawing Documentation to us on or before the Expiry Date, then we shall pay under this L/C at or before the following time (the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Deadline</w:t>
      </w:r>
      <w:r>
        <w:rPr>
          <w:rFonts w:ascii="Arial" w:cs="Arial" w:eastAsia="Arial" w:hAnsi="Arial"/>
          <w:sz w:val="16"/>
          <w:szCs w:val="16"/>
          <w:color w:val="auto"/>
        </w:rPr>
        <w:t>”): (a) if presentment is made at or before noon of any Banking Day, then the close of such Banking Day; and (b) otherwise, the close of the next Banking Day. We waive any right to delay payment beyond the Payment Deadline. If we determine that Drawing Documentation is not proper, then we shall so advise Beneficiary in writing, specifying all grounds for our determination, within one Banking Day after the Payment Deadline.</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Partial drawings are permitted. This L/C shall, except to the extent reduced thereby, survive any partial drawings.</w:t>
      </w:r>
    </w:p>
    <w:p>
      <w:pPr>
        <w:spacing w:after="0" w:line="218" w:lineRule="exact"/>
        <w:rPr>
          <w:sz w:val="20"/>
          <w:szCs w:val="20"/>
          <w:color w:val="auto"/>
        </w:rPr>
      </w:pPr>
    </w:p>
    <w:p>
      <w:pPr>
        <w:jc w:val="both"/>
        <w:ind w:right="20" w:firstLine="567"/>
        <w:spacing w:after="0" w:line="267" w:lineRule="auto"/>
        <w:rPr>
          <w:sz w:val="20"/>
          <w:szCs w:val="20"/>
          <w:color w:val="auto"/>
        </w:rPr>
      </w:pPr>
      <w:r>
        <w:rPr>
          <w:rFonts w:ascii="Arial" w:cs="Arial" w:eastAsia="Arial" w:hAnsi="Arial"/>
          <w:sz w:val="16"/>
          <w:szCs w:val="16"/>
          <w:color w:val="auto"/>
        </w:rPr>
        <w:t>We shall have no duty or right to inquire into the validity of or basis for any draw under this L/C or any Drawing Documentation. We waive any defense based on fraud or any claim of fraud.</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Expiry Date shall automatically be extended by one year (but never beyond _____ (the “</w:t>
      </w:r>
      <w:r>
        <w:rPr>
          <w:rFonts w:ascii="Arial" w:cs="Arial" w:eastAsia="Arial" w:hAnsi="Arial"/>
          <w:sz w:val="14"/>
          <w:szCs w:val="14"/>
          <w:u w:val="single" w:color="auto"/>
          <w:color w:val="auto"/>
        </w:rPr>
        <w:t>Outside Date</w:t>
      </w:r>
      <w:r>
        <w:rPr>
          <w:rFonts w:ascii="Arial" w:cs="Arial" w:eastAsia="Arial" w:hAnsi="Arial"/>
          <w:sz w:val="14"/>
          <w:szCs w:val="14"/>
          <w:color w:val="auto"/>
        </w:rPr>
        <w:t>”)) unless, on or before the date 90 days before any Expiry Date,</w:t>
      </w:r>
    </w:p>
    <w:p>
      <w:pPr>
        <w:spacing w:after="0" w:line="3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given Beneficiary notice that the Expiry Date shall not be so extended (a “</w:t>
      </w:r>
      <w:r>
        <w:rPr>
          <w:rFonts w:ascii="Arial" w:cs="Arial" w:eastAsia="Arial" w:hAnsi="Arial"/>
          <w:sz w:val="16"/>
          <w:szCs w:val="16"/>
          <w:u w:val="single" w:color="auto"/>
          <w:color w:val="auto"/>
        </w:rPr>
        <w:t>Nonrenewal Notice</w:t>
      </w:r>
      <w:r>
        <w:rPr>
          <w:rFonts w:ascii="Arial" w:cs="Arial" w:eastAsia="Arial" w:hAnsi="Arial"/>
          <w:sz w:val="16"/>
          <w:szCs w:val="16"/>
          <w:color w:val="auto"/>
        </w:rPr>
        <w:t>”). We shall promptly upon request confirm any extension of the Expiry Date under the preceding sentence by issuing an amendment to this L/C, but such an amendment is not required for the extension to be effective. We need not give any notice of the Outside Date.</w:t>
      </w:r>
    </w:p>
    <w:p>
      <w:pPr>
        <w:spacing w:after="0" w:line="196" w:lineRule="exact"/>
        <w:rPr>
          <w:sz w:val="20"/>
          <w:szCs w:val="20"/>
          <w:color w:val="auto"/>
        </w:rPr>
      </w:pPr>
    </w:p>
    <w:p>
      <w:pPr>
        <w:jc w:val="both"/>
        <w:ind w:firstLine="567"/>
        <w:spacing w:after="0" w:line="272" w:lineRule="auto"/>
        <w:rPr>
          <w:sz w:val="20"/>
          <w:szCs w:val="20"/>
          <w:color w:val="auto"/>
        </w:rPr>
      </w:pPr>
      <w:r>
        <w:rPr>
          <w:rFonts w:ascii="Arial" w:cs="Arial" w:eastAsia="Arial" w:hAnsi="Arial"/>
          <w:sz w:val="15"/>
          <w:szCs w:val="15"/>
          <w:color w:val="auto"/>
        </w:rPr>
        <w:t>Beneficiary may from time to time without charge transfer this L/C, in whole but not in part, to any transferee (the “</w:t>
      </w:r>
      <w:r>
        <w:rPr>
          <w:rFonts w:ascii="Arial" w:cs="Arial" w:eastAsia="Arial" w:hAnsi="Arial"/>
          <w:sz w:val="15"/>
          <w:szCs w:val="15"/>
          <w:u w:val="single" w:color="auto"/>
          <w:color w:val="auto"/>
        </w:rPr>
        <w:t>Transferee</w:t>
      </w:r>
      <w:r>
        <w:rPr>
          <w:rFonts w:ascii="Arial" w:cs="Arial" w:eastAsia="Arial" w:hAnsi="Arial"/>
          <w:sz w:val="15"/>
          <w:szCs w:val="15"/>
          <w:color w:val="auto"/>
        </w:rPr>
        <w:t xml:space="preserve">”). Issuer shall look solely to Account Party for payment of any fee for any transfer of this L/C. Such payment is not a condition to any such transfer. Beneficiary or Transferee shall consummate such transfer by delivering to Issuer the original of this L/C and a Transfer Notice substantially in the form of </w:t>
      </w:r>
      <w:r>
        <w:rPr>
          <w:rFonts w:ascii="Arial" w:cs="Arial" w:eastAsia="Arial" w:hAnsi="Arial"/>
          <w:sz w:val="15"/>
          <w:szCs w:val="15"/>
          <w:u w:val="single" w:color="auto"/>
          <w:color w:val="auto"/>
        </w:rPr>
        <w:t>Attachment 2</w:t>
      </w:r>
      <w:r>
        <w:rPr>
          <w:rFonts w:ascii="Arial" w:cs="Arial" w:eastAsia="Arial" w:hAnsi="Arial"/>
          <w:sz w:val="15"/>
          <w:szCs w:val="15"/>
          <w:color w:val="auto"/>
        </w:rPr>
        <w:t>, purportedly signed by Beneficiary, and designating Transferee. Issuer shall promptly reissue or amend this L/C in favor of Transferee as Beneficiary. Upon any transfer, all references to Beneficiary shall automatically refer to Transferee, who may then exercise all rights of Beneficiary. Issuer expressly consents to any transfers made from time to time in compliance with this paragraph.</w:t>
      </w:r>
    </w:p>
    <w:p>
      <w:pPr>
        <w:spacing w:after="0" w:line="181"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6"/>
          <w:szCs w:val="16"/>
          <w:color w:val="auto"/>
        </w:rPr>
        <w:t>Any notice to Beneficiary shall be in writing and delivered by hand with receipt acknowledged or by overnight delivery service such as FedEx (with proof of delivery) at the above address, or such other address as Beneficiary may specify by written notice to Issuer. A copy of any such notice shall also be delivered, as a condition to the effectiveness of such notice, to: ___________ (or such replacement as Beneficiary designates from time to time by written notice).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46" w:name="page247"/>
    <w:bookmarkEnd w:id="246"/>
    <w:p>
      <w:pPr>
        <w:ind w:left="560"/>
        <w:spacing w:after="0"/>
        <w:rPr>
          <w:sz w:val="20"/>
          <w:szCs w:val="20"/>
          <w:color w:val="auto"/>
        </w:rPr>
      </w:pPr>
      <w:r>
        <w:rPr>
          <w:rFonts w:ascii="Arial" w:cs="Arial" w:eastAsia="Arial" w:hAnsi="Arial"/>
          <w:sz w:val="16"/>
          <w:szCs w:val="16"/>
          <w:color w:val="auto"/>
        </w:rPr>
        <w:t>No amendment that adversely affects Beneficiary shall be effective without Beneficiary’s written consent.</w:t>
      </w:r>
    </w:p>
    <w:p>
      <w:pPr>
        <w:spacing w:after="0" w:line="194"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This L/C is subject to and incorporates by reference: (a) the International Standby Practices 98 (“</w:t>
      </w:r>
      <w:r>
        <w:rPr>
          <w:rFonts w:ascii="Arial" w:cs="Arial" w:eastAsia="Arial" w:hAnsi="Arial"/>
          <w:sz w:val="16"/>
          <w:szCs w:val="16"/>
          <w:u w:val="single" w:color="auto"/>
          <w:color w:val="auto"/>
        </w:rPr>
        <w:t>ISP 98</w:t>
      </w:r>
      <w:r>
        <w:rPr>
          <w:rFonts w:ascii="Arial" w:cs="Arial" w:eastAsia="Arial" w:hAnsi="Arial"/>
          <w:sz w:val="16"/>
          <w:szCs w:val="16"/>
          <w:color w:val="auto"/>
        </w:rPr>
        <w:t>”); and (b) to the extent not inconsistent with ISP 98, Article 5 of the Uniform Commercial Code of the State of New York.</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Very truly yours,</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[Issuer Signature]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6"/>
          <w:szCs w:val="16"/>
          <w:b w:val="1"/>
          <w:bCs w:val="1"/>
          <w:color w:val="auto"/>
        </w:rPr>
        <w:t>ATTACHMENT 1 TO EXHIBIT 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SIGHT DRAFT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[BENEFICIARY LETTERHEAD]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[Name and Address of Issuer]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SIGHT DRAFT</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AT SIGHT, pay to the Order of ______________, the sum of ______________ United States Dollars ($______________). Drawn under [Issuer] Letter of Credit No.</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 dated ______________.</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[Issuer is hereby directed to pay the proceeds of this Sight Draft solely to the following account: _________________________.]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[Name and signature block, with signature or purported signature of Beneficiary]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6"/>
          <w:szCs w:val="16"/>
          <w:b w:val="1"/>
          <w:bCs w:val="1"/>
          <w:color w:val="auto"/>
        </w:rPr>
        <w:t>ATTACHMENT 2 TO EXHIBIT 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TRANSFER NOTICE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[BENEFICIARY LETTERHEAD]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and Address of Issuer] (the “</w:t>
      </w:r>
      <w:r>
        <w:rPr>
          <w:rFonts w:ascii="Arial" w:cs="Arial" w:eastAsia="Arial" w:hAnsi="Arial"/>
          <w:sz w:val="16"/>
          <w:szCs w:val="16"/>
          <w:u w:val="single" w:color="auto"/>
          <w:color w:val="auto"/>
        </w:rPr>
        <w:t>Issuer</w:t>
      </w:r>
      <w:r>
        <w:rPr>
          <w:rFonts w:ascii="Arial" w:cs="Arial" w:eastAsia="Arial" w:hAnsi="Arial"/>
          <w:sz w:val="16"/>
          <w:szCs w:val="16"/>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TRANSFER NOTICE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By signing below, the undersigned, Beneficiary (the “</w:t>
      </w:r>
      <w:r>
        <w:rPr>
          <w:rFonts w:ascii="Arial" w:cs="Arial" w:eastAsia="Arial" w:hAnsi="Arial"/>
          <w:sz w:val="14"/>
          <w:szCs w:val="14"/>
          <w:u w:val="single" w:color="auto"/>
          <w:color w:val="auto"/>
        </w:rPr>
        <w:t>Beneficiary</w:t>
      </w:r>
      <w:r>
        <w:rPr>
          <w:rFonts w:ascii="Arial" w:cs="Arial" w:eastAsia="Arial" w:hAnsi="Arial"/>
          <w:sz w:val="14"/>
          <w:szCs w:val="14"/>
          <w:color w:val="auto"/>
        </w:rPr>
        <w:t>”) under Issuer’s Letter of Credit No. ______________ dated ______________ (the “</w:t>
      </w:r>
      <w:r>
        <w:rPr>
          <w:rFonts w:ascii="Arial" w:cs="Arial" w:eastAsia="Arial" w:hAnsi="Arial"/>
          <w:sz w:val="14"/>
          <w:szCs w:val="14"/>
          <w:u w:val="single" w:color="auto"/>
          <w:color w:val="auto"/>
        </w:rPr>
        <w:t>L/C</w:t>
      </w:r>
      <w:r>
        <w:rPr>
          <w:rFonts w:ascii="Arial" w:cs="Arial" w:eastAsia="Arial" w:hAnsi="Arial"/>
          <w:sz w:val="14"/>
          <w:szCs w:val="14"/>
          <w:color w:val="auto"/>
        </w:rPr>
        <w:t>”), transfers the L/C to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following transferee (the “</w:t>
      </w:r>
      <w:r>
        <w:rPr>
          <w:rFonts w:ascii="Arial" w:cs="Arial" w:eastAsia="Arial" w:hAnsi="Arial"/>
          <w:sz w:val="16"/>
          <w:szCs w:val="16"/>
          <w:u w:val="single" w:color="auto"/>
          <w:color w:val="auto"/>
        </w:rPr>
        <w:t>Transferee</w:t>
      </w:r>
      <w:r>
        <w:rPr>
          <w:rFonts w:ascii="Arial" w:cs="Arial" w:eastAsia="Arial" w:hAnsi="Arial"/>
          <w:sz w:val="16"/>
          <w:szCs w:val="16"/>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[Transferee Name and Address]</w:t>
      </w:r>
    </w:p>
    <w:p>
      <w:pPr>
        <w:spacing w:after="0" w:line="21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original L/C is enclosed. Beneficiary directs Issuer to reissue or amend the L/C in favor of Transferee as Beneficiary. Beneficiary represents and warrants that Beneficiary has not transferred, assigned, or encumbered the L/C or any interest in the L/C, which transfer, assignment, or encumbrance remains in effect.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[Name and signature block, with signature or purported signature of Beneficiary]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49" w:name="page250"/>
    <w:bookmarkEnd w:id="249"/>
    <w:p>
      <w:pPr>
        <w:jc w:val="center"/>
        <w:ind w:right="-4"/>
        <w:spacing w:after="0"/>
        <w:rPr>
          <w:sz w:val="20"/>
          <w:szCs w:val="20"/>
          <w:color w:val="auto"/>
        </w:rPr>
      </w:pPr>
      <w:r>
        <w:rPr>
          <w:rFonts w:ascii="Arial" w:cs="Arial" w:eastAsia="Arial" w:hAnsi="Arial"/>
          <w:sz w:val="16"/>
          <w:szCs w:val="16"/>
          <w:b w:val="1"/>
          <w:bCs w:val="1"/>
          <w:color w:val="auto"/>
        </w:rPr>
        <w:t>EXHIBIT F</w:t>
      </w:r>
    </w:p>
    <w:p>
      <w:pPr>
        <w:spacing w:after="0" w:line="21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u w:val="single" w:color="auto"/>
          <w:color w:val="auto"/>
        </w:rPr>
        <w:t>RULES AND REGULATIONS</w:t>
      </w:r>
    </w:p>
    <w:p>
      <w:pPr>
        <w:spacing w:after="0" w:line="222" w:lineRule="exact"/>
        <w:rPr>
          <w:sz w:val="20"/>
          <w:szCs w:val="20"/>
          <w:color w:val="auto"/>
        </w:rPr>
      </w:pPr>
    </w:p>
    <w:p>
      <w:pPr>
        <w:ind w:left="5" w:firstLine="567"/>
        <w:spacing w:after="0" w:line="267" w:lineRule="auto"/>
        <w:rPr>
          <w:sz w:val="20"/>
          <w:szCs w:val="20"/>
          <w:color w:val="auto"/>
        </w:rPr>
      </w:pPr>
      <w:r>
        <w:rPr>
          <w:rFonts w:ascii="Arial" w:cs="Arial" w:eastAsia="Arial" w:hAnsi="Arial"/>
          <w:sz w:val="16"/>
          <w:szCs w:val="16"/>
          <w:color w:val="auto"/>
        </w:rPr>
        <w:t>NOTHING IN THESE RULES AND REGULATIONS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SHALL SUPPLANT ANY PROVISION OF THE LEASE. IN THE EVENT OF A CONFLICT OR INCONSISTENCY BETWEEN THESE RULES AND REGULATIONS AND THE LEASE, THE LEASE SHALL PREVAIL.</w:t>
      </w:r>
    </w:p>
    <w:p>
      <w:pPr>
        <w:spacing w:after="0" w:line="181" w:lineRule="exact"/>
        <w:rPr>
          <w:sz w:val="20"/>
          <w:szCs w:val="20"/>
          <w:color w:val="auto"/>
        </w:rPr>
      </w:pPr>
    </w:p>
    <w:p>
      <w:pPr>
        <w:jc w:val="both"/>
        <w:ind w:left="5" w:hanging="5"/>
        <w:spacing w:after="0" w:line="257" w:lineRule="auto"/>
        <w:tabs>
          <w:tab w:leader="none" w:pos="49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Except as specifically provided in the Lease, no sign, placard, picture, advertisement, name or notice shall be installed or displayed on any part of the outside of the Premises without Landlord’s prior written consent. Landlord shall have the right to remove, at Tenant’s sole cost and expense and without notice, any sign installed or displayed in violation of this rule.</w:t>
      </w:r>
    </w:p>
    <w:p>
      <w:pPr>
        <w:spacing w:after="0" w:line="188" w:lineRule="exact"/>
        <w:rPr>
          <w:rFonts w:ascii="Arial" w:cs="Arial" w:eastAsia="Arial" w:hAnsi="Arial"/>
          <w:sz w:val="16"/>
          <w:szCs w:val="16"/>
          <w:color w:val="auto"/>
        </w:rPr>
      </w:pPr>
    </w:p>
    <w:p>
      <w:pPr>
        <w:jc w:val="both"/>
        <w:ind w:left="5" w:hanging="5"/>
        <w:spacing w:after="0" w:line="253" w:lineRule="auto"/>
        <w:tabs>
          <w:tab w:leader="none" w:pos="58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If Landlord objects in writing to any curtains, blinds, shades, screens, hanging plants or other similar objects attached to or used in connection with any window or door of the Premises or placed on any windowsill, and (a) such window, door or windowsill is visible from the exterior of the Premises and (b) such curtain, blind, shade, screen, hanging plant or other object is not included in plans approved by Landlord, then Tenant shall promptly remove such curtains, blinds, shades, screens, hanging plants or other similar objects at its sole cost and expense.</w:t>
      </w:r>
    </w:p>
    <w:p>
      <w:pPr>
        <w:spacing w:after="0" w:line="193" w:lineRule="exact"/>
        <w:rPr>
          <w:rFonts w:ascii="Arial" w:cs="Arial" w:eastAsia="Arial" w:hAnsi="Arial"/>
          <w:sz w:val="16"/>
          <w:szCs w:val="16"/>
          <w:color w:val="auto"/>
        </w:rPr>
      </w:pPr>
    </w:p>
    <w:p>
      <w:pPr>
        <w:ind w:left="585" w:hanging="585"/>
        <w:spacing w:after="0"/>
        <w:tabs>
          <w:tab w:leader="none" w:pos="585"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Tenant shall not place a load upon any floor of the Premises that exceeds the load per square foot that (a) such floor was designed to carry or (b) is allowed by Applicable</w:t>
      </w:r>
    </w:p>
    <w:p>
      <w:pPr>
        <w:spacing w:after="0" w:line="39" w:lineRule="exact"/>
        <w:rPr>
          <w:rFonts w:ascii="Arial" w:cs="Arial" w:eastAsia="Arial" w:hAnsi="Arial"/>
          <w:sz w:val="14"/>
          <w:szCs w:val="14"/>
          <w:color w:val="auto"/>
        </w:rPr>
      </w:pPr>
    </w:p>
    <w:p>
      <w:pPr>
        <w:ind w:left="5"/>
        <w:spacing w:after="0"/>
        <w:rPr>
          <w:rFonts w:ascii="Arial" w:cs="Arial" w:eastAsia="Arial" w:hAnsi="Arial"/>
          <w:sz w:val="14"/>
          <w:szCs w:val="14"/>
          <w:color w:val="auto"/>
        </w:rPr>
      </w:pPr>
      <w:r>
        <w:rPr>
          <w:rFonts w:ascii="Arial" w:cs="Arial" w:eastAsia="Arial" w:hAnsi="Arial"/>
          <w:sz w:val="16"/>
          <w:szCs w:val="16"/>
          <w:color w:val="auto"/>
        </w:rPr>
        <w:t>Laws.</w:t>
      </w:r>
    </w:p>
    <w:p>
      <w:pPr>
        <w:spacing w:after="0" w:line="206" w:lineRule="exact"/>
        <w:rPr>
          <w:rFonts w:ascii="Arial" w:cs="Arial" w:eastAsia="Arial" w:hAnsi="Arial"/>
          <w:sz w:val="14"/>
          <w:szCs w:val="14"/>
          <w:color w:val="auto"/>
        </w:rPr>
      </w:pPr>
    </w:p>
    <w:p>
      <w:pPr>
        <w:ind w:left="525" w:hanging="525"/>
        <w:spacing w:after="0"/>
        <w:tabs>
          <w:tab w:leader="none" w:pos="52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Tenant shall not use any method of heating or air conditioning other than that approved in writing by Landlord.</w:t>
      </w:r>
    </w:p>
    <w:p>
      <w:pPr>
        <w:spacing w:after="0" w:line="217" w:lineRule="exact"/>
        <w:rPr>
          <w:rFonts w:ascii="Arial" w:cs="Arial" w:eastAsia="Arial" w:hAnsi="Arial"/>
          <w:sz w:val="16"/>
          <w:szCs w:val="16"/>
          <w:color w:val="auto"/>
        </w:rPr>
      </w:pPr>
    </w:p>
    <w:p>
      <w:pPr>
        <w:ind w:left="5" w:right="20" w:hanging="5"/>
        <w:spacing w:after="0" w:line="267" w:lineRule="auto"/>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Tenant shall not install any radio, television or other antennae; cell or other communications equipment; or other devices on the roof or exterior walls of the Premises except in accordance with the Lease.</w:t>
      </w:r>
    </w:p>
    <w:p>
      <w:pPr>
        <w:spacing w:after="0" w:line="181" w:lineRule="exact"/>
        <w:rPr>
          <w:rFonts w:ascii="Arial" w:cs="Arial" w:eastAsia="Arial" w:hAnsi="Arial"/>
          <w:sz w:val="16"/>
          <w:szCs w:val="16"/>
          <w:color w:val="auto"/>
        </w:rPr>
      </w:pPr>
    </w:p>
    <w:p>
      <w:pPr>
        <w:jc w:val="both"/>
        <w:ind w:left="5" w:right="60" w:hanging="5"/>
        <w:spacing w:after="0" w:line="282" w:lineRule="auto"/>
        <w:tabs>
          <w:tab w:leader="none" w:pos="693"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Tenant shall store all of its trash, garbage and Hazardous Materials in receptacles within its Premises or in receptacles designated by Landlord outside of the Premises. Tenant shall not place in any such receptacle any material that cannot be disposed of in the ordinary and customary manner of trash, garbage and Hazardous Materials disposal. Tenant shall be responsible, at its sole cost and expense, for Tenant’s removal of its trash, garbage and Hazardous Materials.</w:t>
      </w:r>
    </w:p>
    <w:p>
      <w:pPr>
        <w:spacing w:after="0" w:line="171" w:lineRule="exact"/>
        <w:rPr>
          <w:rFonts w:ascii="Arial" w:cs="Arial" w:eastAsia="Arial" w:hAnsi="Arial"/>
          <w:sz w:val="15"/>
          <w:szCs w:val="15"/>
          <w:color w:val="auto"/>
        </w:rPr>
      </w:pPr>
    </w:p>
    <w:p>
      <w:pPr>
        <w:jc w:val="both"/>
        <w:ind w:left="5" w:right="20" w:hanging="5"/>
        <w:spacing w:after="0" w:line="253" w:lineRule="auto"/>
        <w:tabs>
          <w:tab w:leader="none" w:pos="54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The Premises shall not be used for lodging or for any unlawful purpose. No cooking shall be done or permitted in the Premises;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Tenant may use (a) equipment approved in accordance with the requirements of insurance policies that Landlord or Tenant is required to purchase and maintain pursuant to the Lease for brewing coffee, tea, hot chocolate and similar beverages, (b) microwave ovens for employees’ use and (c) equipment shown on Tenant Improvement plans approved by Landlord;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any such equipment and microwave ovens are used in accordance with Applicable Laws.</w:t>
      </w:r>
    </w:p>
    <w:p>
      <w:pPr>
        <w:spacing w:after="0" w:line="343"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3" w:right="219" w:bottom="1440" w:gutter="0" w:footer="0" w:header="0"/>
        </w:sectPr>
      </w:pPr>
    </w:p>
    <w:bookmarkStart w:id="250" w:name="page251"/>
    <w:bookmarkEnd w:id="250"/>
    <w:p>
      <w:pPr>
        <w:ind w:left="5" w:hanging="5"/>
        <w:spacing w:after="0" w:line="267" w:lineRule="auto"/>
        <w:tabs>
          <w:tab w:leader="none" w:pos="50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Tenant shall not, without Landlord’s prior written consent, use the name of the Premises, if any, in connection with or in promoting or advertising Tenant’s business except as Tenant’s address.</w:t>
      </w:r>
    </w:p>
    <w:p>
      <w:pPr>
        <w:spacing w:after="0" w:line="181" w:lineRule="exact"/>
        <w:rPr>
          <w:rFonts w:ascii="Arial" w:cs="Arial" w:eastAsia="Arial" w:hAnsi="Arial"/>
          <w:sz w:val="16"/>
          <w:szCs w:val="16"/>
          <w:color w:val="auto"/>
        </w:rPr>
      </w:pPr>
    </w:p>
    <w:p>
      <w:pPr>
        <w:ind w:left="525" w:hanging="525"/>
        <w:spacing w:after="0"/>
        <w:tabs>
          <w:tab w:leader="none" w:pos="52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Tenant shall comply with all safety, fire protection and evacuation procedures and regulations established by Landlord or any Governmental Authority.</w:t>
      </w:r>
    </w:p>
    <w:p>
      <w:pPr>
        <w:spacing w:after="0" w:line="217" w:lineRule="exact"/>
        <w:rPr>
          <w:rFonts w:ascii="Arial" w:cs="Arial" w:eastAsia="Arial" w:hAnsi="Arial"/>
          <w:sz w:val="16"/>
          <w:szCs w:val="16"/>
          <w:color w:val="auto"/>
        </w:rPr>
      </w:pPr>
    </w:p>
    <w:p>
      <w:pPr>
        <w:ind w:left="5" w:hanging="5"/>
        <w:spacing w:after="0" w:line="267" w:lineRule="auto"/>
        <w:tabs>
          <w:tab w:leader="none" w:pos="558"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Tenant assumes any and all responsibility for protecting the Premises from theft, robbery and pilferage, which responsibility includes keeping doors locked and other means of entry to the Premises closed.</w:t>
      </w:r>
    </w:p>
    <w:p>
      <w:pPr>
        <w:spacing w:after="0" w:line="181" w:lineRule="exact"/>
        <w:rPr>
          <w:rFonts w:ascii="Arial" w:cs="Arial" w:eastAsia="Arial" w:hAnsi="Arial"/>
          <w:sz w:val="16"/>
          <w:szCs w:val="16"/>
          <w:color w:val="auto"/>
        </w:rPr>
      </w:pPr>
    </w:p>
    <w:p>
      <w:pPr>
        <w:ind w:left="5" w:hanging="5"/>
        <w:spacing w:after="0" w:line="267" w:lineRule="auto"/>
        <w:tabs>
          <w:tab w:leader="none" w:pos="59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Tenant shall not modify any exterior locks to the Premises without Landlord’s prior written consent, which consent Landlord shall not unreasonably withhold, condition or delay. Tenant shall furnish Landlord with copies of keys, pass cards or similar devices for exterior locks to the Premises.</w:t>
      </w:r>
    </w:p>
    <w:p>
      <w:pPr>
        <w:spacing w:after="0" w:line="181" w:lineRule="exact"/>
        <w:rPr>
          <w:rFonts w:ascii="Arial" w:cs="Arial" w:eastAsia="Arial" w:hAnsi="Arial"/>
          <w:sz w:val="16"/>
          <w:szCs w:val="16"/>
          <w:color w:val="auto"/>
        </w:rPr>
      </w:pPr>
    </w:p>
    <w:p>
      <w:pPr>
        <w:ind w:left="545" w:hanging="545"/>
        <w:spacing w:after="0"/>
        <w:tabs>
          <w:tab w:leader="none" w:pos="54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Tenant shall cooperate and participate in all reasonable security programs implemented by Landlord affecting the Premises.</w:t>
      </w:r>
    </w:p>
    <w:p>
      <w:pPr>
        <w:spacing w:after="0" w:line="217" w:lineRule="exact"/>
        <w:rPr>
          <w:rFonts w:ascii="Arial" w:cs="Arial" w:eastAsia="Arial" w:hAnsi="Arial"/>
          <w:sz w:val="16"/>
          <w:szCs w:val="16"/>
          <w:color w:val="auto"/>
        </w:rPr>
      </w:pPr>
    </w:p>
    <w:p>
      <w:pPr>
        <w:ind w:left="545" w:hanging="545"/>
        <w:spacing w:after="0"/>
        <w:tabs>
          <w:tab w:leader="none" w:pos="54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Tenant shall not permit any animals in the Premises, other than for guide and service animals or for use in laboratory experiments.</w:t>
      </w:r>
    </w:p>
    <w:p>
      <w:pPr>
        <w:spacing w:after="0" w:line="217" w:lineRule="exact"/>
        <w:rPr>
          <w:rFonts w:ascii="Arial" w:cs="Arial" w:eastAsia="Arial" w:hAnsi="Arial"/>
          <w:sz w:val="16"/>
          <w:szCs w:val="16"/>
          <w:color w:val="auto"/>
        </w:rPr>
      </w:pPr>
    </w:p>
    <w:p>
      <w:pPr>
        <w:ind w:left="5" w:right="20" w:hanging="5"/>
        <w:spacing w:after="0" w:line="267" w:lineRule="auto"/>
        <w:tabs>
          <w:tab w:leader="none" w:pos="65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water and wash closets and other plumbing fixtures shall not be used for any purposes other than those for which they were constructed, and no sweepings, rubbish, rags or other substances shall be deposited therein.</w:t>
      </w:r>
    </w:p>
    <w:p>
      <w:pPr>
        <w:spacing w:after="0" w:line="181" w:lineRule="exact"/>
        <w:rPr>
          <w:rFonts w:ascii="Arial" w:cs="Arial" w:eastAsia="Arial" w:hAnsi="Arial"/>
          <w:sz w:val="16"/>
          <w:szCs w:val="16"/>
          <w:color w:val="auto"/>
        </w:rPr>
      </w:pPr>
    </w:p>
    <w:p>
      <w:pPr>
        <w:ind w:left="5" w:right="20" w:hanging="5"/>
        <w:spacing w:after="0" w:line="267" w:lineRule="auto"/>
        <w:tabs>
          <w:tab w:leader="none" w:pos="8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Discharge of industrial sewage shall only be permitted if Tenant, at its sole expense, first obtains all necessary permits and licenses therefor from all applicable Governmental Authorities.</w:t>
      </w:r>
    </w:p>
    <w:p>
      <w:pPr>
        <w:spacing w:after="0" w:line="181" w:lineRule="exact"/>
        <w:rPr>
          <w:rFonts w:ascii="Arial" w:cs="Arial" w:eastAsia="Arial" w:hAnsi="Arial"/>
          <w:sz w:val="16"/>
          <w:szCs w:val="16"/>
          <w:color w:val="auto"/>
        </w:rPr>
      </w:pPr>
    </w:p>
    <w:p>
      <w:pPr>
        <w:ind w:left="525" w:hanging="525"/>
        <w:spacing w:after="0"/>
        <w:tabs>
          <w:tab w:leader="none" w:pos="52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Smoking is prohibited inside the Building, but is permitted in outdoor areas of the Premises designated by Tenant.</w:t>
      </w:r>
    </w:p>
    <w:p>
      <w:pPr>
        <w:spacing w:after="0" w:line="217" w:lineRule="exact"/>
        <w:rPr>
          <w:rFonts w:ascii="Arial" w:cs="Arial" w:eastAsia="Arial" w:hAnsi="Arial"/>
          <w:sz w:val="16"/>
          <w:szCs w:val="16"/>
          <w:color w:val="auto"/>
        </w:rPr>
      </w:pPr>
    </w:p>
    <w:p>
      <w:pPr>
        <w:jc w:val="both"/>
        <w:ind w:left="5" w:hanging="5"/>
        <w:spacing w:after="0" w:line="282" w:lineRule="auto"/>
        <w:tabs>
          <w:tab w:leader="none" w:pos="656" w:val="left"/>
        </w:tabs>
        <w:numPr>
          <w:ilvl w:val="0"/>
          <w:numId w:val="140"/>
        </w:numPr>
        <w:rPr>
          <w:rFonts w:ascii="Arial" w:cs="Arial" w:eastAsia="Arial" w:hAnsi="Arial"/>
          <w:sz w:val="15"/>
          <w:szCs w:val="15"/>
          <w:color w:val="auto"/>
        </w:rPr>
      </w:pPr>
      <w:r>
        <w:rPr>
          <w:rFonts w:ascii="Arial" w:cs="Arial" w:eastAsia="Arial" w:hAnsi="Arial"/>
          <w:sz w:val="15"/>
          <w:szCs w:val="15"/>
          <w:color w:val="auto"/>
        </w:rPr>
        <w:t>Tenant shall comply with all orders, requirements and conditions now or hereafter imposed by Applicable Laws (“</w:t>
      </w:r>
      <w:r>
        <w:rPr>
          <w:rFonts w:ascii="Arial" w:cs="Arial" w:eastAsia="Arial" w:hAnsi="Arial"/>
          <w:sz w:val="15"/>
          <w:szCs w:val="15"/>
          <w:u w:val="single" w:color="auto"/>
          <w:color w:val="auto"/>
        </w:rPr>
        <w:t>Waste Regulations</w:t>
      </w:r>
      <w:r>
        <w:rPr>
          <w:rFonts w:ascii="Arial" w:cs="Arial" w:eastAsia="Arial" w:hAnsi="Arial"/>
          <w:sz w:val="15"/>
          <w:szCs w:val="15"/>
          <w:color w:val="auto"/>
        </w:rPr>
        <w:t>”) regarding the collection, sorting, separation and recycling of waste products, garbage, refuse and trash generated by Tenant (collectively, “</w:t>
      </w:r>
      <w:r>
        <w:rPr>
          <w:rFonts w:ascii="Arial" w:cs="Arial" w:eastAsia="Arial" w:hAnsi="Arial"/>
          <w:sz w:val="15"/>
          <w:szCs w:val="15"/>
          <w:u w:val="single" w:color="auto"/>
          <w:color w:val="auto"/>
        </w:rPr>
        <w:t>Waste Products</w:t>
      </w:r>
      <w:r>
        <w:rPr>
          <w:rFonts w:ascii="Arial" w:cs="Arial" w:eastAsia="Arial" w:hAnsi="Arial"/>
          <w:sz w:val="15"/>
          <w:szCs w:val="15"/>
          <w:color w:val="auto"/>
        </w:rPr>
        <w:t>”), including (without limitation) the separation of Waste Products into receptacles and the removal of such receptacles in accordance with any collection schedules prescribed by Waste Regulations.</w:t>
      </w:r>
    </w:p>
    <w:p>
      <w:pPr>
        <w:spacing w:after="0" w:line="171" w:lineRule="exact"/>
        <w:rPr>
          <w:rFonts w:ascii="Arial" w:cs="Arial" w:eastAsia="Arial" w:hAnsi="Arial"/>
          <w:sz w:val="15"/>
          <w:szCs w:val="15"/>
          <w:color w:val="auto"/>
        </w:rPr>
      </w:pPr>
    </w:p>
    <w:p>
      <w:pPr>
        <w:jc w:val="both"/>
        <w:ind w:left="5" w:right="20" w:hanging="5"/>
        <w:spacing w:after="0" w:line="311" w:lineRule="auto"/>
        <w:tabs>
          <w:tab w:leader="none" w:pos="617"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Tenant, at Tenant’s sole cost and expense, shall cause the Premises to be exterminated by a licensed and insured exterminator on a monthly basis to Landlord’s reasonable satisfaction and shall cause all portions of the Premises used for the storage, preparation, service or consumption of food or beverages to be cleaned daily in a manner reasonably satisfactory to Landlord, and to be treated against infestation by insects, rodents and other vermin and pests whenever there is evidence of any infestation.</w:t>
      </w:r>
    </w:p>
    <w:p>
      <w:pPr>
        <w:spacing w:after="0" w:line="304"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51" w:name="page252"/>
    <w:bookmarkEnd w:id="251"/>
    <w:p>
      <w:pPr>
        <w:jc w:val="both"/>
        <w:ind w:firstLine="567"/>
        <w:spacing w:after="0" w:line="269" w:lineRule="auto"/>
        <w:rPr>
          <w:sz w:val="20"/>
          <w:szCs w:val="20"/>
          <w:color w:val="auto"/>
        </w:rPr>
      </w:pPr>
      <w:r>
        <w:rPr>
          <w:rFonts w:ascii="Arial" w:cs="Arial" w:eastAsia="Arial" w:hAnsi="Arial"/>
          <w:sz w:val="15"/>
          <w:szCs w:val="15"/>
          <w:color w:val="auto"/>
        </w:rPr>
        <w:t xml:space="preserve">Landlord may waive any one or more of these Rules and Regulations for the benefit of Tenant, but no such waiver by Landlord shall be construed as a waiver of such Rules and Regulations in favor of Tenant, nor prevent Landlord from thereafter enforcing any such Rules and Regulations against Tenant. These Rules and Regulations are in addition to, and shall not be construed to in any way modify or amend, in whole or in part, the terms covenants, agreements and conditions of the Lease. Landlord reserves the right to make such other and reasonable rules and regulations as, in its judgment, may from time to time be needed for safety and security, the care and cleanliness of the Premises, or the preservation of good order therein;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Tenant shall not be obligated to adhere to such additional rules or regulations until Landlord has provided Tenant with written notice thereof. Tenant agrees to abide by these Rules and Regulations and any additional rules and regulations issued or adopted by Landlord. Tenant shall be responsible for the observance of these Rules and Regulations by all Tenant Parties.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52" w:name="page253"/>
    <w:bookmarkEnd w:id="252"/>
    <w:p>
      <w:pPr>
        <w:jc w:val="center"/>
        <w:ind w:right="-1220"/>
        <w:spacing w:after="0"/>
        <w:rPr>
          <w:sz w:val="20"/>
          <w:szCs w:val="20"/>
          <w:color w:val="auto"/>
        </w:rPr>
      </w:pPr>
      <w:r>
        <w:rPr>
          <w:rFonts w:ascii="Arial" w:cs="Arial" w:eastAsia="Arial" w:hAnsi="Arial"/>
          <w:sz w:val="16"/>
          <w:szCs w:val="16"/>
          <w:b w:val="1"/>
          <w:bCs w:val="1"/>
          <w:color w:val="auto"/>
        </w:rPr>
        <w:t>EXHIBIT G</w:t>
      </w:r>
    </w:p>
    <w:p>
      <w:pPr>
        <w:spacing w:after="0" w:line="218" w:lineRule="exact"/>
        <w:rPr>
          <w:sz w:val="20"/>
          <w:szCs w:val="20"/>
          <w:color w:val="auto"/>
        </w:rPr>
      </w:pPr>
    </w:p>
    <w:p>
      <w:pPr>
        <w:jc w:val="right"/>
        <w:ind w:right="3199"/>
        <w:spacing w:after="0"/>
        <w:rPr>
          <w:sz w:val="20"/>
          <w:szCs w:val="20"/>
          <w:color w:val="auto"/>
        </w:rPr>
      </w:pPr>
      <w:r>
        <w:rPr>
          <w:rFonts w:ascii="Arial" w:cs="Arial" w:eastAsia="Arial" w:hAnsi="Arial"/>
          <w:sz w:val="16"/>
          <w:szCs w:val="16"/>
          <w:b w:val="1"/>
          <w:bCs w:val="1"/>
          <w:u w:val="single" w:color="auto"/>
          <w:color w:val="auto"/>
        </w:rPr>
        <w:t>TENANT’S PERSONAL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None as of Execution Date.</w:t>
      </w:r>
    </w:p>
    <w:p>
      <w:pPr>
        <w:spacing w:after="0" w:line="1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EXHIBIT H</w:t>
            </w:r>
          </w:p>
        </w:tc>
      </w:tr>
      <w:tr>
        <w:trPr>
          <w:trHeight w:val="368"/>
        </w:trPr>
        <w:tc>
          <w:tcPr>
            <w:tcW w:w="360" w:type="dxa"/>
            <w:vAlign w:val="bottom"/>
          </w:tcPr>
          <w:p>
            <w:pPr>
              <w:spacing w:after="0"/>
              <w:rPr>
                <w:sz w:val="24"/>
                <w:szCs w:val="24"/>
                <w:color w:val="auto"/>
              </w:rPr>
            </w:pPr>
          </w:p>
        </w:tc>
        <w:tc>
          <w:tcPr>
            <w:tcW w:w="6720" w:type="dxa"/>
            <w:vAlign w:val="bottom"/>
            <w:gridSpan w:val="4"/>
          </w:tcPr>
          <w:p>
            <w:pPr>
              <w:jc w:val="center"/>
              <w:ind w:left="3921"/>
              <w:spacing w:after="0"/>
              <w:rPr>
                <w:sz w:val="20"/>
                <w:szCs w:val="20"/>
                <w:color w:val="auto"/>
              </w:rPr>
            </w:pPr>
            <w:r>
              <w:rPr>
                <w:rFonts w:ascii="Arial" w:cs="Arial" w:eastAsia="Arial" w:hAnsi="Arial"/>
                <w:sz w:val="16"/>
                <w:szCs w:val="16"/>
                <w:b w:val="1"/>
                <w:bCs w:val="1"/>
                <w:color w:val="auto"/>
                <w:w w:val="99"/>
              </w:rPr>
              <w:t>FORM OF ESTOPPEL CERTIFICATE</w:t>
            </w:r>
          </w:p>
        </w:tc>
      </w:tr>
      <w:tr>
        <w:trPr>
          <w:trHeight w:val="405"/>
        </w:trPr>
        <w:tc>
          <w:tcPr>
            <w:tcW w:w="360" w:type="dxa"/>
            <w:vAlign w:val="bottom"/>
          </w:tcPr>
          <w:p>
            <w:pPr>
              <w:spacing w:after="0"/>
              <w:rPr>
                <w:sz w:val="20"/>
                <w:szCs w:val="20"/>
                <w:color w:val="auto"/>
              </w:rPr>
            </w:pPr>
            <w:r>
              <w:rPr>
                <w:rFonts w:ascii="Arial" w:cs="Arial" w:eastAsia="Arial" w:hAnsi="Arial"/>
                <w:sz w:val="16"/>
                <w:szCs w:val="16"/>
                <w:color w:val="auto"/>
              </w:rPr>
              <w:t>To:</w:t>
            </w:r>
          </w:p>
        </w:tc>
        <w:tc>
          <w:tcPr>
            <w:tcW w:w="4000" w:type="dxa"/>
            <w:vAlign w:val="bottom"/>
          </w:tcPr>
          <w:p>
            <w:pPr>
              <w:ind w:left="140"/>
              <w:spacing w:after="0"/>
              <w:rPr>
                <w:sz w:val="20"/>
                <w:szCs w:val="20"/>
                <w:color w:val="auto"/>
              </w:rPr>
            </w:pPr>
            <w:r>
              <w:rPr>
                <w:rFonts w:ascii="Arial" w:cs="Arial" w:eastAsia="Arial" w:hAnsi="Arial"/>
                <w:sz w:val="16"/>
                <w:szCs w:val="16"/>
                <w:color w:val="auto"/>
              </w:rPr>
              <w:t>BMR-6300 Dumbarton Circle LP</w:t>
            </w:r>
          </w:p>
        </w:tc>
        <w:tc>
          <w:tcPr>
            <w:tcW w:w="2720" w:type="dxa"/>
            <w:vAlign w:val="bottom"/>
            <w:tcBorders>
              <w:top w:val="single" w:sz="8" w:color="auto"/>
            </w:tcBorders>
            <w:gridSpan w:val="3"/>
          </w:tcPr>
          <w:p>
            <w:pPr>
              <w:spacing w:after="0"/>
              <w:rPr>
                <w:sz w:val="24"/>
                <w:szCs w:val="24"/>
                <w:color w:val="auto"/>
              </w:rPr>
            </w:pPr>
          </w:p>
        </w:tc>
      </w:tr>
      <w:tr>
        <w:trPr>
          <w:trHeight w:val="189"/>
        </w:trPr>
        <w:tc>
          <w:tcPr>
            <w:tcW w:w="360" w:type="dxa"/>
            <w:vAlign w:val="bottom"/>
          </w:tcPr>
          <w:p>
            <w:pPr>
              <w:spacing w:after="0"/>
              <w:rPr>
                <w:sz w:val="16"/>
                <w:szCs w:val="16"/>
                <w:color w:val="auto"/>
              </w:rPr>
            </w:pPr>
          </w:p>
        </w:tc>
        <w:tc>
          <w:tcPr>
            <w:tcW w:w="6720" w:type="dxa"/>
            <w:vAlign w:val="bottom"/>
            <w:gridSpan w:val="4"/>
          </w:tcPr>
          <w:p>
            <w:pPr>
              <w:ind w:left="200"/>
              <w:spacing w:after="0"/>
              <w:rPr>
                <w:sz w:val="20"/>
                <w:szCs w:val="20"/>
                <w:color w:val="auto"/>
              </w:rPr>
            </w:pPr>
            <w:r>
              <w:rPr>
                <w:rFonts w:ascii="Arial" w:cs="Arial" w:eastAsia="Arial" w:hAnsi="Arial"/>
                <w:sz w:val="16"/>
                <w:szCs w:val="16"/>
                <w:color w:val="auto"/>
              </w:rPr>
              <w:t>17190 Bernardo Center Drive</w:t>
            </w:r>
          </w:p>
        </w:tc>
      </w:tr>
      <w:tr>
        <w:trPr>
          <w:trHeight w:val="189"/>
        </w:trPr>
        <w:tc>
          <w:tcPr>
            <w:tcW w:w="360" w:type="dxa"/>
            <w:vAlign w:val="bottom"/>
          </w:tcPr>
          <w:p>
            <w:pPr>
              <w:spacing w:after="0"/>
              <w:rPr>
                <w:sz w:val="16"/>
                <w:szCs w:val="16"/>
                <w:color w:val="auto"/>
              </w:rPr>
            </w:pPr>
          </w:p>
        </w:tc>
        <w:tc>
          <w:tcPr>
            <w:tcW w:w="6720" w:type="dxa"/>
            <w:vAlign w:val="bottom"/>
            <w:gridSpan w:val="4"/>
          </w:tcPr>
          <w:p>
            <w:pPr>
              <w:ind w:left="200"/>
              <w:spacing w:after="0"/>
              <w:rPr>
                <w:sz w:val="20"/>
                <w:szCs w:val="20"/>
                <w:color w:val="auto"/>
              </w:rPr>
            </w:pPr>
            <w:r>
              <w:rPr>
                <w:rFonts w:ascii="Arial" w:cs="Arial" w:eastAsia="Arial" w:hAnsi="Arial"/>
                <w:sz w:val="16"/>
                <w:szCs w:val="16"/>
                <w:color w:val="auto"/>
              </w:rPr>
              <w:t>San Diego, California 92128</w:t>
            </w:r>
          </w:p>
        </w:tc>
      </w:tr>
      <w:tr>
        <w:trPr>
          <w:trHeight w:val="200"/>
        </w:trPr>
        <w:tc>
          <w:tcPr>
            <w:tcW w:w="360" w:type="dxa"/>
            <w:vAlign w:val="bottom"/>
          </w:tcPr>
          <w:p>
            <w:pPr>
              <w:spacing w:after="0"/>
              <w:rPr>
                <w:sz w:val="17"/>
                <w:szCs w:val="17"/>
                <w:color w:val="auto"/>
              </w:rPr>
            </w:pPr>
          </w:p>
        </w:tc>
        <w:tc>
          <w:tcPr>
            <w:tcW w:w="6720" w:type="dxa"/>
            <w:vAlign w:val="bottom"/>
            <w:gridSpan w:val="4"/>
          </w:tcPr>
          <w:p>
            <w:pPr>
              <w:ind w:left="200"/>
              <w:spacing w:after="0"/>
              <w:rPr>
                <w:sz w:val="20"/>
                <w:szCs w:val="20"/>
                <w:color w:val="auto"/>
              </w:rPr>
            </w:pPr>
            <w:r>
              <w:rPr>
                <w:rFonts w:ascii="Arial" w:cs="Arial" w:eastAsia="Arial" w:hAnsi="Arial"/>
                <w:sz w:val="16"/>
                <w:szCs w:val="16"/>
                <w:color w:val="auto"/>
              </w:rPr>
              <w:t>Attention: Vice President, Real Estate Legal</w:t>
            </w:r>
          </w:p>
        </w:tc>
      </w:tr>
      <w:tr>
        <w:trPr>
          <w:trHeight w:val="367"/>
        </w:trPr>
        <w:tc>
          <w:tcPr>
            <w:tcW w:w="360" w:type="dxa"/>
            <w:vAlign w:val="bottom"/>
          </w:tcPr>
          <w:p>
            <w:pPr>
              <w:spacing w:after="0"/>
              <w:rPr>
                <w:sz w:val="24"/>
                <w:szCs w:val="24"/>
                <w:color w:val="auto"/>
              </w:rPr>
            </w:pPr>
          </w:p>
        </w:tc>
        <w:tc>
          <w:tcPr>
            <w:tcW w:w="6720" w:type="dxa"/>
            <w:vAlign w:val="bottom"/>
            <w:gridSpan w:val="4"/>
          </w:tcPr>
          <w:p>
            <w:pPr>
              <w:ind w:left="200"/>
              <w:spacing w:after="0"/>
              <w:rPr>
                <w:sz w:val="20"/>
                <w:szCs w:val="20"/>
                <w:color w:val="auto"/>
              </w:rPr>
            </w:pPr>
            <w:r>
              <w:rPr>
                <w:rFonts w:ascii="Arial" w:cs="Arial" w:eastAsia="Arial" w:hAnsi="Arial"/>
                <w:sz w:val="16"/>
                <w:szCs w:val="16"/>
                <w:color w:val="auto"/>
              </w:rPr>
              <w:t>BioMed Realty, L.P.</w:t>
            </w:r>
          </w:p>
        </w:tc>
      </w:tr>
      <w:tr>
        <w:trPr>
          <w:trHeight w:val="189"/>
        </w:trPr>
        <w:tc>
          <w:tcPr>
            <w:tcW w:w="360" w:type="dxa"/>
            <w:vAlign w:val="bottom"/>
          </w:tcPr>
          <w:p>
            <w:pPr>
              <w:spacing w:after="0"/>
              <w:rPr>
                <w:sz w:val="16"/>
                <w:szCs w:val="16"/>
                <w:color w:val="auto"/>
              </w:rPr>
            </w:pPr>
          </w:p>
        </w:tc>
        <w:tc>
          <w:tcPr>
            <w:tcW w:w="6720" w:type="dxa"/>
            <w:vAlign w:val="bottom"/>
            <w:gridSpan w:val="4"/>
          </w:tcPr>
          <w:p>
            <w:pPr>
              <w:ind w:left="200"/>
              <w:spacing w:after="0"/>
              <w:rPr>
                <w:sz w:val="20"/>
                <w:szCs w:val="20"/>
                <w:color w:val="auto"/>
              </w:rPr>
            </w:pPr>
            <w:r>
              <w:rPr>
                <w:rFonts w:ascii="Arial" w:cs="Arial" w:eastAsia="Arial" w:hAnsi="Arial"/>
                <w:sz w:val="16"/>
                <w:szCs w:val="16"/>
                <w:color w:val="auto"/>
              </w:rPr>
              <w:t>17190 Bernardo Center Drive</w:t>
            </w:r>
          </w:p>
        </w:tc>
      </w:tr>
      <w:tr>
        <w:trPr>
          <w:trHeight w:val="200"/>
        </w:trPr>
        <w:tc>
          <w:tcPr>
            <w:tcW w:w="360" w:type="dxa"/>
            <w:vAlign w:val="bottom"/>
          </w:tcPr>
          <w:p>
            <w:pPr>
              <w:spacing w:after="0"/>
              <w:rPr>
                <w:sz w:val="17"/>
                <w:szCs w:val="17"/>
                <w:color w:val="auto"/>
              </w:rPr>
            </w:pPr>
          </w:p>
        </w:tc>
        <w:tc>
          <w:tcPr>
            <w:tcW w:w="6720" w:type="dxa"/>
            <w:vAlign w:val="bottom"/>
            <w:gridSpan w:val="4"/>
          </w:tcPr>
          <w:p>
            <w:pPr>
              <w:ind w:left="200"/>
              <w:spacing w:after="0"/>
              <w:rPr>
                <w:sz w:val="20"/>
                <w:szCs w:val="20"/>
                <w:color w:val="auto"/>
              </w:rPr>
            </w:pPr>
            <w:r>
              <w:rPr>
                <w:rFonts w:ascii="Arial" w:cs="Arial" w:eastAsia="Arial" w:hAnsi="Arial"/>
                <w:sz w:val="16"/>
                <w:szCs w:val="16"/>
                <w:color w:val="auto"/>
              </w:rPr>
              <w:t>San Diego, California 92128</w:t>
            </w:r>
          </w:p>
        </w:tc>
      </w:tr>
      <w:tr>
        <w:trPr>
          <w:trHeight w:val="368"/>
        </w:trPr>
        <w:tc>
          <w:tcPr>
            <w:tcW w:w="360" w:type="dxa"/>
            <w:vAlign w:val="bottom"/>
          </w:tcPr>
          <w:p>
            <w:pPr>
              <w:spacing w:after="0"/>
              <w:rPr>
                <w:sz w:val="20"/>
                <w:szCs w:val="20"/>
                <w:color w:val="auto"/>
              </w:rPr>
            </w:pPr>
            <w:r>
              <w:rPr>
                <w:rFonts w:ascii="Arial" w:cs="Arial" w:eastAsia="Arial" w:hAnsi="Arial"/>
                <w:sz w:val="16"/>
                <w:szCs w:val="16"/>
                <w:color w:val="auto"/>
              </w:rPr>
              <w:t>Re:</w:t>
            </w:r>
          </w:p>
        </w:tc>
        <w:tc>
          <w:tcPr>
            <w:tcW w:w="6720" w:type="dxa"/>
            <w:vAlign w:val="bottom"/>
            <w:gridSpan w:val="4"/>
          </w:tcPr>
          <w:p>
            <w:pPr>
              <w:ind w:left="200"/>
              <w:spacing w:after="0"/>
              <w:rPr>
                <w:sz w:val="20"/>
                <w:szCs w:val="20"/>
                <w:color w:val="auto"/>
              </w:rPr>
            </w:pPr>
            <w:r>
              <w:rPr>
                <w:rFonts w:ascii="Arial" w:cs="Arial" w:eastAsia="Arial" w:hAnsi="Arial"/>
                <w:sz w:val="16"/>
                <w:szCs w:val="16"/>
                <w:color w:val="auto"/>
              </w:rPr>
              <w:t>The Premises at 6300 Dumbarton Circle, Fremont, California (the “Property”)</w:t>
            </w:r>
          </w:p>
        </w:tc>
      </w:tr>
      <w:tr>
        <w:trPr>
          <w:trHeight w:val="20"/>
        </w:trPr>
        <w:tc>
          <w:tcPr>
            <w:tcW w:w="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tenant (“</w:t>
      </w:r>
      <w:r>
        <w:rPr>
          <w:rFonts w:ascii="Arial" w:cs="Arial" w:eastAsia="Arial" w:hAnsi="Arial"/>
          <w:sz w:val="16"/>
          <w:szCs w:val="16"/>
          <w:u w:val="single" w:color="auto"/>
          <w:color w:val="auto"/>
        </w:rPr>
        <w:t>Tenant</w:t>
      </w:r>
      <w:r>
        <w:rPr>
          <w:rFonts w:ascii="Arial" w:cs="Arial" w:eastAsia="Arial" w:hAnsi="Arial"/>
          <w:sz w:val="16"/>
          <w:szCs w:val="16"/>
          <w:color w:val="auto"/>
        </w:rPr>
        <w:t>”) hereby certifies to you as follows:</w:t>
      </w:r>
    </w:p>
    <w:p>
      <w:pPr>
        <w:spacing w:after="0" w:line="218" w:lineRule="exact"/>
        <w:rPr>
          <w:sz w:val="20"/>
          <w:szCs w:val="20"/>
          <w:color w:val="auto"/>
        </w:rPr>
      </w:pPr>
    </w:p>
    <w:p>
      <w:pPr>
        <w:jc w:val="both"/>
        <w:ind w:firstLine="562"/>
        <w:spacing w:after="0" w:line="257" w:lineRule="auto"/>
        <w:tabs>
          <w:tab w:leader="none" w:pos="1081"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Tenant is a tenant at the Property under a lease (the “</w:t>
      </w:r>
      <w:r>
        <w:rPr>
          <w:rFonts w:ascii="Arial" w:cs="Arial" w:eastAsia="Arial" w:hAnsi="Arial"/>
          <w:sz w:val="16"/>
          <w:szCs w:val="16"/>
          <w:u w:val="single" w:color="auto"/>
          <w:color w:val="auto"/>
        </w:rPr>
        <w:t>Lease</w:t>
      </w:r>
      <w:r>
        <w:rPr>
          <w:rFonts w:ascii="Arial" w:cs="Arial" w:eastAsia="Arial" w:hAnsi="Arial"/>
          <w:sz w:val="16"/>
          <w:szCs w:val="16"/>
          <w:color w:val="auto"/>
        </w:rPr>
        <w:t>”) for the Premises dated as of [_______], 20[__]. The Lease has not been cancelled, modified, assigned, extended or amended [except as follows: [_______]], and there are no other agreements, written or oral, affecting or relating to Tenant’s lease of the Premises or any other space at the Property. The lease term expires on [_______], 20[__].</w:t>
      </w:r>
    </w:p>
    <w:p>
      <w:pPr>
        <w:spacing w:after="0" w:line="188" w:lineRule="exact"/>
        <w:rPr>
          <w:rFonts w:ascii="Arial" w:cs="Arial" w:eastAsia="Arial" w:hAnsi="Arial"/>
          <w:sz w:val="16"/>
          <w:szCs w:val="16"/>
          <w:color w:val="auto"/>
        </w:rPr>
      </w:pPr>
    </w:p>
    <w:p>
      <w:pPr>
        <w:jc w:val="both"/>
        <w:ind w:firstLine="562"/>
        <w:spacing w:after="0" w:line="257" w:lineRule="auto"/>
        <w:tabs>
          <w:tab w:leader="none" w:pos="119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Tenant took possession of the Premises, currently consisting of [_______] square feet, on [_______], 20[__], and commenced to pay rent on [_______], 20[__]. Tenant has full possession of the Premises, has not assigned the Lease or sublet any part of the Premises, and does not hold the Premises under an assignment or sublease[, except as follows: [_______]].</w:t>
      </w:r>
    </w:p>
    <w:p>
      <w:pPr>
        <w:spacing w:after="0" w:line="188" w:lineRule="exact"/>
        <w:rPr>
          <w:rFonts w:ascii="Arial" w:cs="Arial" w:eastAsia="Arial" w:hAnsi="Arial"/>
          <w:sz w:val="16"/>
          <w:szCs w:val="16"/>
          <w:color w:val="auto"/>
        </w:rPr>
      </w:pPr>
    </w:p>
    <w:p>
      <w:pPr>
        <w:jc w:val="both"/>
        <w:ind w:right="20" w:firstLine="562"/>
        <w:spacing w:after="0" w:line="257" w:lineRule="auto"/>
        <w:tabs>
          <w:tab w:leader="none" w:pos="11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All base rent, rent escalations and additional rent under the Lease have been paid through [_______], 20[__]. There is no prepaid rent[, except $[_______]][, and the amount of security deposit is $[_______] [in cash][OR][in the form of a letter of credit]]. Tenant currently has no right to any future rent abatement under the Lease, except as may be applicable in the case of casualty or condemnation as set forth in the Lease.</w:t>
      </w:r>
    </w:p>
    <w:p>
      <w:pPr>
        <w:spacing w:after="0" w:line="188" w:lineRule="exact"/>
        <w:rPr>
          <w:rFonts w:ascii="Arial" w:cs="Arial" w:eastAsia="Arial" w:hAnsi="Arial"/>
          <w:sz w:val="16"/>
          <w:szCs w:val="16"/>
          <w:color w:val="auto"/>
        </w:rPr>
      </w:pPr>
    </w:p>
    <w:p>
      <w:pPr>
        <w:ind w:left="1080" w:hanging="518"/>
        <w:spacing w:after="0"/>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 rent is currently payable in the amount of $[_______] per month.</w:t>
      </w:r>
    </w:p>
    <w:p>
      <w:pPr>
        <w:spacing w:after="0" w:line="217" w:lineRule="exact"/>
        <w:rPr>
          <w:rFonts w:ascii="Arial" w:cs="Arial" w:eastAsia="Arial" w:hAnsi="Arial"/>
          <w:sz w:val="16"/>
          <w:szCs w:val="16"/>
          <w:color w:val="auto"/>
        </w:rPr>
      </w:pPr>
    </w:p>
    <w:p>
      <w:pPr>
        <w:ind w:right="20" w:firstLine="562"/>
        <w:spacing w:after="0" w:line="267" w:lineRule="auto"/>
        <w:tabs>
          <w:tab w:leader="none" w:pos="137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Tenant is currently paying estimated payments of additional rent of $[_______] per month on account of real estate taxes, insurance, management fees and maintenance expenses.</w:t>
      </w:r>
    </w:p>
    <w:p>
      <w:pPr>
        <w:spacing w:after="0" w:line="181" w:lineRule="exact"/>
        <w:rPr>
          <w:rFonts w:ascii="Arial" w:cs="Arial" w:eastAsia="Arial" w:hAnsi="Arial"/>
          <w:sz w:val="16"/>
          <w:szCs w:val="16"/>
          <w:color w:val="auto"/>
        </w:rPr>
      </w:pPr>
    </w:p>
    <w:p>
      <w:pPr>
        <w:ind w:right="20" w:firstLine="562"/>
        <w:spacing w:after="0" w:line="301" w:lineRule="auto"/>
        <w:tabs>
          <w:tab w:leader="none" w:pos="1113"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work to be performed for Tenant under the Lease has been performed as required under the Lease and has been accepted by Tenant[, except [_______]], and all allowances to be paid to Tenant, including allowances for tenant improvements, moving expenses or other items, have been paid[, except [______]].</w:t>
      </w:r>
    </w:p>
    <w:p>
      <w:pPr>
        <w:spacing w:after="0" w:line="158" w:lineRule="exact"/>
        <w:rPr>
          <w:rFonts w:ascii="Arial" w:cs="Arial" w:eastAsia="Arial" w:hAnsi="Arial"/>
          <w:sz w:val="15"/>
          <w:szCs w:val="15"/>
          <w:color w:val="auto"/>
        </w:rPr>
      </w:pPr>
    </w:p>
    <w:p>
      <w:pPr>
        <w:jc w:val="both"/>
        <w:ind w:firstLine="562"/>
        <w:spacing w:after="0" w:line="257" w:lineRule="auto"/>
        <w:tabs>
          <w:tab w:leader="none" w:pos="115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Lease is in full force and effect, free from default and free from any event that could become a default under the Lease, and Tenant has no claims against the landlord or offsets or defenses against rent, and there are no disputes with the landlord[, except [______]]. Tenant has received no notice of prior sale, transfer, assignment, hypothecation or pledge of the Lease or of the rents payable thereunder[, except [_______]].</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54" w:name="page255"/>
    <w:bookmarkEnd w:id="254"/>
    <w:p>
      <w:pPr>
        <w:ind w:left="1080" w:hanging="518"/>
        <w:spacing w:after="0"/>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Tenant has no rights or options to purchase the Property.</w:t>
      </w:r>
    </w:p>
    <w:p>
      <w:pPr>
        <w:spacing w:after="0" w:line="217" w:lineRule="exact"/>
        <w:rPr>
          <w:rFonts w:ascii="Arial" w:cs="Arial" w:eastAsia="Arial" w:hAnsi="Arial"/>
          <w:sz w:val="16"/>
          <w:szCs w:val="16"/>
          <w:color w:val="auto"/>
        </w:rPr>
      </w:pPr>
    </w:p>
    <w:p>
      <w:pPr>
        <w:ind w:firstLine="562"/>
        <w:spacing w:after="0" w:line="267" w:lineRule="auto"/>
        <w:tabs>
          <w:tab w:leader="none" w:pos="109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To Tenant’s knowledge, no hazardous wastes have been generated, treated, stored or disposed of by or on behalf of Tenant in, on or around the Premises in violation of any applicable environmental laws.</w:t>
      </w:r>
    </w:p>
    <w:p>
      <w:pPr>
        <w:spacing w:after="0" w:line="181" w:lineRule="exact"/>
        <w:rPr>
          <w:rFonts w:ascii="Arial" w:cs="Arial" w:eastAsia="Arial" w:hAnsi="Arial"/>
          <w:sz w:val="16"/>
          <w:szCs w:val="16"/>
          <w:color w:val="auto"/>
        </w:rPr>
      </w:pPr>
    </w:p>
    <w:p>
      <w:pPr>
        <w:jc w:val="both"/>
        <w:ind w:firstLine="562"/>
        <w:spacing w:after="0" w:line="253" w:lineRule="auto"/>
        <w:tabs>
          <w:tab w:leader="none" w:pos="137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undersigned has executed this Estoppel Certificate with the knowledge and understanding that [INSERT NAME OF LANDLORD, PURCHASER OR LENDER, AS APPROPRIATE] or its assignee is acquiring the Property in reliance on this certificate and that the undersigned shall be bound by this certificate. The statements contained herein may be relied upon by [INSERT NAME OF PURCHASER OR LENDER, AS APPROPRIATE], [LANDLORD], BioMed Realty, L.P., BioMed Realty Trust, Inc., and any [other] mortgagee of the Property and their respective successors and assigns.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capitalized terms not defined herein shall have the respective meanings given in the Lease.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Dated this [____] day of [_______], 20[__].</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ASTERIAS BIOTHERAPEUTICS,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2543810" cy="152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4381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2543810" cy="152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4381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2543810" cy="152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43810" cy="1524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55245</wp:posOffset>
            </wp:positionV>
            <wp:extent cx="7268845" cy="349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8845" cy="34925"/>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55" w:name="page256"/>
    <w:bookmarkEnd w:id="255"/>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68845" cy="476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8845" cy="47625"/>
                    </a:xfrm>
                    <a:prstGeom prst="rect">
                      <a:avLst/>
                    </a:prstGeom>
                    <a:noFill/>
                  </pic:spPr>
                </pic:pic>
              </a:graphicData>
            </a:graphic>
          </wp:anchor>
        </w:drawing>
        <w:t>EXHIBIT 10.58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SERIES A CONVERTIBLE PREFERRED STOCK PURCHASE AGREEMENT</w:t>
      </w:r>
    </w:p>
    <w:p>
      <w:pPr>
        <w:spacing w:after="0" w:line="222" w:lineRule="exact"/>
        <w:rPr>
          <w:sz w:val="20"/>
          <w:szCs w:val="20"/>
          <w:color w:val="auto"/>
        </w:rPr>
      </w:pPr>
    </w:p>
    <w:p>
      <w:pPr>
        <w:ind w:right="220" w:firstLine="567"/>
        <w:spacing w:after="0" w:line="257" w:lineRule="auto"/>
        <w:rPr>
          <w:sz w:val="20"/>
          <w:szCs w:val="20"/>
          <w:color w:val="auto"/>
        </w:rPr>
      </w:pPr>
      <w:r>
        <w:rPr>
          <w:rFonts w:ascii="Arial" w:cs="Arial" w:eastAsia="Arial" w:hAnsi="Arial"/>
          <w:sz w:val="16"/>
          <w:szCs w:val="16"/>
          <w:color w:val="auto"/>
        </w:rPr>
        <w:t>THIS SERIES A CONVERTIBLE PREFERRED STOCK PURCHASE AGREEMENT (this “Agreement”) is entered into as of March 4, 2014 (the “Effective Date”) by and between BioTime, Inc., a California corporation (the “Company”) and each of the undersigned identified on the signature page attached hereto (each such undersigned, individually and/or collectively, as applicable, a “Purchaser").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PURCHASE AND SALE OF SHARES AND WARRANTS</w:t>
      </w:r>
    </w:p>
    <w:p>
      <w:pPr>
        <w:spacing w:after="0" w:line="203" w:lineRule="exact"/>
        <w:rPr>
          <w:sz w:val="20"/>
          <w:szCs w:val="20"/>
          <w:color w:val="auto"/>
        </w:rPr>
      </w:pPr>
    </w:p>
    <w:p>
      <w:pPr>
        <w:ind w:right="20" w:firstLine="567"/>
        <w:spacing w:after="0" w:line="255" w:lineRule="auto"/>
        <w:rPr>
          <w:sz w:val="20"/>
          <w:szCs w:val="20"/>
          <w:color w:val="auto"/>
        </w:rPr>
      </w:pPr>
      <w:r>
        <w:rPr>
          <w:rFonts w:ascii="Arial" w:cs="Arial" w:eastAsia="Arial" w:hAnsi="Arial"/>
          <w:sz w:val="16"/>
          <w:szCs w:val="16"/>
          <w:b w:val="1"/>
          <w:bCs w:val="1"/>
          <w:color w:val="auto"/>
        </w:rPr>
        <w:t>1.1 Sale of Series A Shares</w:t>
      </w:r>
      <w:r>
        <w:rPr>
          <w:rFonts w:ascii="Arial" w:cs="Arial" w:eastAsia="Arial" w:hAnsi="Arial"/>
          <w:sz w:val="16"/>
          <w:szCs w:val="16"/>
          <w:color w:val="auto"/>
        </w:rPr>
        <w:t>. Each Purchaser hereby irrevocable agrees to purchase from the Company, and the Company agrees to sell to each Purchaser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Registration Statement (as defined below) the number of shares of Series A Convertible Preferred Stock (“Series A Shares”) shown beneath such Purchaser’s signature on the signature page of this Agreement, at the price of $50 per share (the “Purchase Price”). A copy of the Certificate of Determination of Preferences of the Series A Shares is attached to this Agreement as Exhibit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OF THE COMPANY</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represents and warrants to each Purchaser that:</w:t>
      </w:r>
    </w:p>
    <w:p>
      <w:pPr>
        <w:spacing w:after="0" w:line="214" w:lineRule="exact"/>
        <w:rPr>
          <w:sz w:val="20"/>
          <w:szCs w:val="20"/>
          <w:color w:val="auto"/>
        </w:rPr>
      </w:pPr>
    </w:p>
    <w:p>
      <w:pPr>
        <w:ind w:right="80" w:firstLine="567"/>
        <w:spacing w:after="0" w:line="285" w:lineRule="auto"/>
        <w:rPr>
          <w:sz w:val="20"/>
          <w:szCs w:val="20"/>
          <w:color w:val="auto"/>
        </w:rPr>
      </w:pPr>
      <w:r>
        <w:rPr>
          <w:rFonts w:ascii="Arial" w:cs="Arial" w:eastAsia="Arial" w:hAnsi="Arial"/>
          <w:sz w:val="15"/>
          <w:szCs w:val="15"/>
          <w:b w:val="1"/>
          <w:bCs w:val="1"/>
          <w:color w:val="auto"/>
        </w:rPr>
        <w:t>2.1 Organization</w:t>
      </w:r>
      <w:r>
        <w:rPr>
          <w:rFonts w:ascii="Arial" w:cs="Arial" w:eastAsia="Arial" w:hAnsi="Arial"/>
          <w:sz w:val="15"/>
          <w:szCs w:val="15"/>
          <w:color w:val="auto"/>
        </w:rPr>
        <w:t>. The Company is a corporation duly organized, validly existing and in good standing under the laws of the state of California. The Company is</w:t>
      </w:r>
      <w:r>
        <w:rPr>
          <w:rFonts w:ascii="Arial" w:cs="Arial" w:eastAsia="Arial" w:hAnsi="Arial"/>
          <w:sz w:val="15"/>
          <w:szCs w:val="15"/>
          <w:b w:val="1"/>
          <w:bCs w:val="1"/>
          <w:color w:val="auto"/>
        </w:rPr>
        <w:t xml:space="preserve"> </w:t>
      </w:r>
      <w:r>
        <w:rPr>
          <w:rFonts w:ascii="Arial" w:cs="Arial" w:eastAsia="Arial" w:hAnsi="Arial"/>
          <w:sz w:val="15"/>
          <w:szCs w:val="15"/>
          <w:color w:val="auto"/>
        </w:rPr>
        <w:t>duly qualified to do business in the state of California and in each other state in which it is doing business and where the failure to so qualify could have a material adverse effect on its business, operations, or properties, or could subject the Company to fines or penalties that are material to the Company’s financial condition.</w:t>
      </w:r>
    </w:p>
    <w:p>
      <w:pPr>
        <w:spacing w:after="0" w:line="165" w:lineRule="exact"/>
        <w:rPr>
          <w:sz w:val="20"/>
          <w:szCs w:val="20"/>
          <w:color w:val="auto"/>
        </w:rPr>
      </w:pPr>
    </w:p>
    <w:p>
      <w:pPr>
        <w:ind w:right="20" w:firstLine="567"/>
        <w:spacing w:after="0" w:line="285" w:lineRule="auto"/>
        <w:rPr>
          <w:sz w:val="20"/>
          <w:szCs w:val="20"/>
          <w:color w:val="auto"/>
        </w:rPr>
      </w:pPr>
      <w:r>
        <w:rPr>
          <w:rFonts w:ascii="Arial" w:cs="Arial" w:eastAsia="Arial" w:hAnsi="Arial"/>
          <w:sz w:val="15"/>
          <w:szCs w:val="15"/>
          <w:b w:val="1"/>
          <w:bCs w:val="1"/>
          <w:color w:val="auto"/>
        </w:rPr>
        <w:t>2.2 Authority; Enforceability</w:t>
      </w:r>
      <w:r>
        <w:rPr>
          <w:rFonts w:ascii="Arial" w:cs="Arial" w:eastAsia="Arial" w:hAnsi="Arial"/>
          <w:sz w:val="15"/>
          <w:szCs w:val="15"/>
          <w:color w:val="auto"/>
        </w:rPr>
        <w:t>. The Company has the power and authority to execute and deliver this Agreement and to perform all of its obligations hereunder.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has been duly authorized, executed and delivered by the Company and is the valid and binding agreement of the Company, enforceable in accordance with its terms subject to: (i) laws of general application relating to bankruptcy, insolvency and the relief of debtors; and (ii) general principles of equity.</w:t>
      </w:r>
    </w:p>
    <w:p>
      <w:pPr>
        <w:spacing w:after="0" w:line="165" w:lineRule="exact"/>
        <w:rPr>
          <w:sz w:val="20"/>
          <w:szCs w:val="20"/>
          <w:color w:val="auto"/>
        </w:rPr>
      </w:pPr>
    </w:p>
    <w:p>
      <w:pPr>
        <w:ind w:right="200" w:firstLine="567"/>
        <w:spacing w:after="0" w:line="277" w:lineRule="auto"/>
        <w:rPr>
          <w:sz w:val="20"/>
          <w:szCs w:val="20"/>
          <w:color w:val="auto"/>
        </w:rPr>
      </w:pPr>
      <w:r>
        <w:rPr>
          <w:rFonts w:ascii="Arial" w:cs="Arial" w:eastAsia="Arial" w:hAnsi="Arial"/>
          <w:sz w:val="15"/>
          <w:szCs w:val="15"/>
          <w:b w:val="1"/>
          <w:bCs w:val="1"/>
          <w:color w:val="auto"/>
        </w:rPr>
        <w:t>2.3 Valid Issuance of Series A Shares</w:t>
      </w:r>
      <w:r>
        <w:rPr>
          <w:rFonts w:ascii="Arial" w:cs="Arial" w:eastAsia="Arial" w:hAnsi="Arial"/>
          <w:sz w:val="15"/>
          <w:szCs w:val="15"/>
          <w:color w:val="auto"/>
        </w:rPr>
        <w:t>. The Series A Shares that are being purchased by such Purchaser hereunder, when issued, sold and delivered in accordance</w:t>
      </w:r>
      <w:r>
        <w:rPr>
          <w:rFonts w:ascii="Arial" w:cs="Arial" w:eastAsia="Arial" w:hAnsi="Arial"/>
          <w:sz w:val="15"/>
          <w:szCs w:val="15"/>
          <w:b w:val="1"/>
          <w:bCs w:val="1"/>
          <w:color w:val="auto"/>
        </w:rPr>
        <w:t xml:space="preserve"> </w:t>
      </w:r>
      <w:r>
        <w:rPr>
          <w:rFonts w:ascii="Arial" w:cs="Arial" w:eastAsia="Arial" w:hAnsi="Arial"/>
          <w:sz w:val="15"/>
          <w:szCs w:val="15"/>
          <w:color w:val="auto"/>
        </w:rPr>
        <w:t>with the terms of this Agreement, including payment of the Purchase Price, will be duly and validly issued, fully paid, and nonassessable. The common shares of the Company issuable upon conversion of the Series A Shares have been duly and validly authorized for issuance and, upon issuance upon conversion of the Series A Shares in accordance with the terms of the Series A Shares will be duly and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263765" cy="152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277" w:right="219" w:bottom="1440" w:gutter="0" w:footer="0" w:header="0"/>
        </w:sectPr>
      </w:pPr>
    </w:p>
    <w:bookmarkStart w:id="256" w:name="page257"/>
    <w:bookmarkEnd w:id="256"/>
    <w:p>
      <w:pPr>
        <w:ind w:firstLine="567"/>
        <w:spacing w:after="0" w:line="292" w:lineRule="auto"/>
        <w:rPr>
          <w:sz w:val="20"/>
          <w:szCs w:val="20"/>
          <w:color w:val="auto"/>
        </w:rPr>
      </w:pPr>
      <w:r>
        <w:rPr>
          <w:rFonts w:ascii="Arial" w:cs="Arial" w:eastAsia="Arial" w:hAnsi="Arial"/>
          <w:sz w:val="14"/>
          <w:szCs w:val="14"/>
          <w:b w:val="1"/>
          <w:bCs w:val="1"/>
          <w:color w:val="auto"/>
        </w:rPr>
        <w:t>2.4 Capitalization</w:t>
      </w:r>
      <w:r>
        <w:rPr>
          <w:rFonts w:ascii="Arial" w:cs="Arial" w:eastAsia="Arial" w:hAnsi="Arial"/>
          <w:sz w:val="14"/>
          <w:szCs w:val="14"/>
          <w:color w:val="auto"/>
        </w:rPr>
        <w:t>. The Company is authorized to issue the following shares of capital stock: 125,000,000 common shares, no par value, and 2,000,000 preferred</w:t>
      </w:r>
      <w:r>
        <w:rPr>
          <w:rFonts w:ascii="Arial" w:cs="Arial" w:eastAsia="Arial" w:hAnsi="Arial"/>
          <w:sz w:val="14"/>
          <w:szCs w:val="14"/>
          <w:b w:val="1"/>
          <w:bCs w:val="1"/>
          <w:color w:val="auto"/>
        </w:rPr>
        <w:t xml:space="preserve"> </w:t>
      </w:r>
      <w:r>
        <w:rPr>
          <w:rFonts w:ascii="Arial" w:cs="Arial" w:eastAsia="Arial" w:hAnsi="Arial"/>
          <w:sz w:val="14"/>
          <w:szCs w:val="14"/>
          <w:color w:val="auto"/>
        </w:rPr>
        <w:t>shares, no par value. As of February 21, 2014, there were: no preferred shares issued and outstanding; 68,810,880 common shares issued and 58,113,165 common shares outstanding excluding 10,697,715 common shares held by subsidiaries and treated as treasury shares; 4,567,135 common shares issuable upon exercise of outstanding options; 9,751,615 common shares of issuable upon exercise of outstanding warrants; and 2,315,000 additional common shares reserved for issuance under the Company’s 2012 Equity Incentive Plan. Except for stock options granted under the Company’s 2012 Equity Incentive Plan, 770,000 common shares sold in “at-the-market” transactions, and agreements of like tenor to this Agreement to sell Series A Shares to Purchasers, since February 21, 2014 the Company has not entered into any commitment, arrangement, or agreement obligating the Company to issue, sell, purchase, redeem, acquire any preferred shares or common shares or other equity securities of the Company.</w:t>
      </w:r>
    </w:p>
    <w:p>
      <w:pPr>
        <w:spacing w:after="0" w:line="141" w:lineRule="exact"/>
        <w:rPr>
          <w:sz w:val="20"/>
          <w:szCs w:val="20"/>
          <w:color w:val="auto"/>
        </w:rPr>
      </w:pPr>
    </w:p>
    <w:p>
      <w:pPr>
        <w:ind w:right="60" w:firstLine="567"/>
        <w:spacing w:after="0" w:line="289" w:lineRule="auto"/>
        <w:rPr>
          <w:sz w:val="20"/>
          <w:szCs w:val="20"/>
          <w:color w:val="auto"/>
        </w:rPr>
      </w:pPr>
      <w:r>
        <w:rPr>
          <w:rFonts w:ascii="Arial" w:cs="Arial" w:eastAsia="Arial" w:hAnsi="Arial"/>
          <w:sz w:val="14"/>
          <w:szCs w:val="14"/>
          <w:b w:val="1"/>
          <w:bCs w:val="1"/>
          <w:color w:val="auto"/>
        </w:rPr>
        <w:t>2.5 Disclosure Documents; Financial Statements</w:t>
      </w:r>
      <w:r>
        <w:rPr>
          <w:rFonts w:ascii="Arial" w:cs="Arial" w:eastAsia="Arial" w:hAnsi="Arial"/>
          <w:sz w:val="14"/>
          <w:szCs w:val="14"/>
          <w:color w:val="auto"/>
        </w:rPr>
        <w:t>. The Company has filed all reports required to be filed by it under the Securities Exchange Act of 1934, as</w:t>
      </w:r>
      <w:r>
        <w:rPr>
          <w:rFonts w:ascii="Arial" w:cs="Arial" w:eastAsia="Arial" w:hAnsi="Arial"/>
          <w:sz w:val="14"/>
          <w:szCs w:val="14"/>
          <w:b w:val="1"/>
          <w:bCs w:val="1"/>
          <w:color w:val="auto"/>
        </w:rPr>
        <w:t xml:space="preserve"> </w:t>
      </w:r>
      <w:r>
        <w:rPr>
          <w:rFonts w:ascii="Arial" w:cs="Arial" w:eastAsia="Arial" w:hAnsi="Arial"/>
          <w:sz w:val="14"/>
          <w:szCs w:val="14"/>
          <w:color w:val="auto"/>
        </w:rPr>
        <w:t>amended (the “Exchange Act”), including pursuant to Section 13(a) or 15(d) thereof (the foregoing materials being collectively referred to herein as the SEC Reports), during the twelve (12) months prior to the date hereof. None of the SEC Reports, when filed, contained any untrue statement of a material fact or omitted to state a material fact required to be stated therein or necessary in order to make the statements therein, in light of the circumstances under which they were made, not misleading. The financial statements of the Company included in the SEC Reports (i) have been prepared in accordance with United States generally accepted accounting principles (“GAAP”) applied on a consistent basis during the periods involved, except as may be otherwise specified in such financial statements or the notes thereto, or, in the case of unaudited statements, as permitted by Form 10-Q, and except that the unaudited financial statements may not contain footnotes and are subject to normal and recurring year-end adjustments that will not, individually or in the aggregate, be material in amount); and (ii) fairly present in all material respects the consolidated financial position of the Company and its subsidiaries on a consolidated basis as of the respective dates thereof and the consolidated results of operations and cash flows of the Company and its subsidiaries for the periods covered thereby.</w:t>
      </w:r>
    </w:p>
    <w:p>
      <w:pPr>
        <w:spacing w:after="0" w:line="146" w:lineRule="exact"/>
        <w:rPr>
          <w:sz w:val="20"/>
          <w:szCs w:val="20"/>
          <w:color w:val="auto"/>
        </w:rPr>
      </w:pPr>
    </w:p>
    <w:p>
      <w:pPr>
        <w:ind w:right="40" w:firstLine="567"/>
        <w:spacing w:after="0" w:line="270" w:lineRule="auto"/>
        <w:rPr>
          <w:sz w:val="20"/>
          <w:szCs w:val="20"/>
          <w:color w:val="auto"/>
        </w:rPr>
      </w:pPr>
      <w:r>
        <w:rPr>
          <w:rFonts w:ascii="Arial" w:cs="Arial" w:eastAsia="Arial" w:hAnsi="Arial"/>
          <w:sz w:val="15"/>
          <w:szCs w:val="15"/>
          <w:b w:val="1"/>
          <w:bCs w:val="1"/>
          <w:color w:val="auto"/>
        </w:rPr>
        <w:t>2.6 Absence of Certain Changes</w:t>
      </w:r>
      <w:r>
        <w:rPr>
          <w:rFonts w:ascii="Arial" w:cs="Arial" w:eastAsia="Arial" w:hAnsi="Arial"/>
          <w:sz w:val="15"/>
          <w:szCs w:val="15"/>
          <w:color w:val="auto"/>
        </w:rPr>
        <w:t>. Since September 30, 2013, except as specifically disclosed in SEC Reports, (i) there has not been any material adverse change in</w:t>
      </w:r>
      <w:r>
        <w:rPr>
          <w:rFonts w:ascii="Arial" w:cs="Arial" w:eastAsia="Arial" w:hAnsi="Arial"/>
          <w:sz w:val="15"/>
          <w:szCs w:val="15"/>
          <w:b w:val="1"/>
          <w:bCs w:val="1"/>
          <w:color w:val="auto"/>
        </w:rPr>
        <w:t xml:space="preserve"> </w:t>
      </w:r>
      <w:r>
        <w:rPr>
          <w:rFonts w:ascii="Arial" w:cs="Arial" w:eastAsia="Arial" w:hAnsi="Arial"/>
          <w:sz w:val="15"/>
          <w:szCs w:val="15"/>
          <w:color w:val="auto"/>
        </w:rPr>
        <w:t>the financial condition, assets, liabilities, revenues, or business of the Company and its subsidiaries, taken as a whole, (ii) the Company has not incurred any liabilities (contingent or otherwise) other than (A) trade payables, accrued expenses, licensing fees and similar expenses, and other liabilities incurred in the ordinary course of business consistent with past practice, (B) liabilities not required to be reflected in the Company’s financial statements pursuant to GAAP or not required to be disclosed in filings made with the Securities and Exchange Commission (“SEC”), and (C) liabilities arising under this Agreement and the Option Agreement (defined below), (iii) the Company has not altered its method of accounting or the identity of its auditors, and (iv) the Company has not declared or made any dividend or distribution of cash or other property to its stockholders or purchased, redeemed, or made any agreements to purchase or redeem any shares of its capital stock.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57" w:name="page258"/>
    <w:bookmarkEnd w:id="257"/>
    <w:p>
      <w:pPr>
        <w:ind w:right="80" w:firstLine="567"/>
        <w:spacing w:after="0" w:line="268" w:lineRule="auto"/>
        <w:rPr>
          <w:sz w:val="20"/>
          <w:szCs w:val="20"/>
          <w:color w:val="auto"/>
        </w:rPr>
      </w:pPr>
      <w:r>
        <w:rPr>
          <w:rFonts w:ascii="Arial" w:cs="Arial" w:eastAsia="Arial" w:hAnsi="Arial"/>
          <w:sz w:val="15"/>
          <w:szCs w:val="15"/>
          <w:b w:val="1"/>
          <w:bCs w:val="1"/>
          <w:color w:val="auto"/>
        </w:rPr>
        <w:t>2.7 Internal Controls</w:t>
      </w:r>
      <w:r>
        <w:rPr>
          <w:rFonts w:ascii="Arial" w:cs="Arial" w:eastAsia="Arial" w:hAnsi="Arial"/>
          <w:sz w:val="15"/>
          <w:szCs w:val="15"/>
          <w:color w:val="auto"/>
        </w:rPr>
        <w:t>. The Company maintains a process of “internal controls over financial reporting” (as defined in Rules 13a-15(f) and 15d-15(f) under the</w:t>
      </w:r>
      <w:r>
        <w:rPr>
          <w:rFonts w:ascii="Arial" w:cs="Arial" w:eastAsia="Arial" w:hAnsi="Arial"/>
          <w:sz w:val="15"/>
          <w:szCs w:val="15"/>
          <w:b w:val="1"/>
          <w:bCs w:val="1"/>
          <w:color w:val="auto"/>
        </w:rPr>
        <w:t xml:space="preserve"> </w:t>
      </w:r>
      <w:r>
        <w:rPr>
          <w:rFonts w:ascii="Arial" w:cs="Arial" w:eastAsia="Arial" w:hAnsi="Arial"/>
          <w:sz w:val="15"/>
          <w:szCs w:val="15"/>
          <w:color w:val="auto"/>
        </w:rPr>
        <w:t>Exchange Act) that is designed to provide reasonable assurances: (i) that transactions are recorded as necessary to permit preparation of financial statements in accordance with generally accepted accounting principles; (ii) that receipts and expenditures are being made only in accordance with the authorizations of management and directors; and (iii) regarding prevention or timely detection of the unauthorized acquisition, use or disposition of the assets of the Company and its subsidiaries that could have a material effect on the financial statements. The Company maintains a system of “disclosure controls and procedures” (as defined in Rules 13a-15(e) and 15d-15(e) under the Exchange Act) that is designed to provide reasonable assurances that all material information required to be disclosed by the Company in the reports that it files or submits under the Exchange Act is accumulated and communicated to the Company’s management, as appropriate, to allow timely decisions regarding required disclosure, and otherwise to ensure that information required to be disclosed by the Company in the reports that it files or submits under the Exchange Act is recorded, processed, summarized and reported within the time periods specified in the rules and regulations of the SEC.</w:t>
      </w:r>
    </w:p>
    <w:p>
      <w:pPr>
        <w:spacing w:after="0" w:line="157" w:lineRule="exact"/>
        <w:rPr>
          <w:sz w:val="20"/>
          <w:szCs w:val="20"/>
          <w:color w:val="auto"/>
        </w:rPr>
      </w:pPr>
    </w:p>
    <w:p>
      <w:pPr>
        <w:ind w:right="80" w:firstLine="567"/>
        <w:spacing w:after="0" w:line="273" w:lineRule="auto"/>
        <w:rPr>
          <w:sz w:val="20"/>
          <w:szCs w:val="20"/>
          <w:color w:val="auto"/>
        </w:rPr>
      </w:pPr>
      <w:r>
        <w:rPr>
          <w:rFonts w:ascii="Arial" w:cs="Arial" w:eastAsia="Arial" w:hAnsi="Arial"/>
          <w:sz w:val="16"/>
          <w:szCs w:val="16"/>
          <w:b w:val="1"/>
          <w:bCs w:val="1"/>
          <w:color w:val="auto"/>
        </w:rPr>
        <w:t>2.8 Listing and Maintenance Requirements</w:t>
      </w:r>
      <w:r>
        <w:rPr>
          <w:rFonts w:ascii="Arial" w:cs="Arial" w:eastAsia="Arial" w:hAnsi="Arial"/>
          <w:sz w:val="16"/>
          <w:szCs w:val="16"/>
          <w:color w:val="auto"/>
        </w:rPr>
        <w:t>. The Company has not, in the 12 months preceding the date hereof, received notice from the NYSE MKT to the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Company is not in compliance with the listing or maintenance requirements of the NYSE MKT.</w:t>
      </w:r>
    </w:p>
    <w:p>
      <w:pPr>
        <w:spacing w:after="0" w:line="149" w:lineRule="exact"/>
        <w:rPr>
          <w:sz w:val="20"/>
          <w:szCs w:val="20"/>
          <w:color w:val="auto"/>
        </w:rPr>
      </w:pPr>
    </w:p>
    <w:p>
      <w:pPr>
        <w:ind w:firstLine="567"/>
        <w:spacing w:after="0" w:line="259" w:lineRule="auto"/>
        <w:rPr>
          <w:sz w:val="20"/>
          <w:szCs w:val="20"/>
          <w:color w:val="auto"/>
        </w:rPr>
      </w:pPr>
      <w:r>
        <w:rPr>
          <w:rFonts w:ascii="Arial" w:cs="Arial" w:eastAsia="Arial" w:hAnsi="Arial"/>
          <w:sz w:val="16"/>
          <w:szCs w:val="16"/>
          <w:b w:val="1"/>
          <w:bCs w:val="1"/>
          <w:color w:val="auto"/>
        </w:rPr>
        <w:t>2.9 Taxes</w:t>
      </w:r>
      <w:r>
        <w:rPr>
          <w:rFonts w:ascii="Arial" w:cs="Arial" w:eastAsia="Arial" w:hAnsi="Arial"/>
          <w:sz w:val="16"/>
          <w:szCs w:val="16"/>
          <w:color w:val="auto"/>
        </w:rPr>
        <w:t>. Since January 1, 2010, the Company has filed when due all federal, state, and local income tax returns, and all other returns with respect to taxes which are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filed with the appropriate authorities of the jurisdictions where business is transacted by the Company, or where the Company owns any property, and any taxes due, as reflected on such tax returns, have been paid.</w:t>
      </w:r>
    </w:p>
    <w:p>
      <w:pPr>
        <w:spacing w:after="0" w:line="161" w:lineRule="exact"/>
        <w:rPr>
          <w:sz w:val="20"/>
          <w:szCs w:val="20"/>
          <w:color w:val="auto"/>
        </w:rPr>
      </w:pPr>
    </w:p>
    <w:p>
      <w:pPr>
        <w:ind w:right="140" w:firstLine="567"/>
        <w:spacing w:after="0" w:line="273" w:lineRule="auto"/>
        <w:rPr>
          <w:sz w:val="20"/>
          <w:szCs w:val="20"/>
          <w:color w:val="auto"/>
        </w:rPr>
      </w:pPr>
      <w:r>
        <w:rPr>
          <w:rFonts w:ascii="Arial" w:cs="Arial" w:eastAsia="Arial" w:hAnsi="Arial"/>
          <w:sz w:val="16"/>
          <w:szCs w:val="16"/>
          <w:b w:val="1"/>
          <w:bCs w:val="1"/>
          <w:color w:val="auto"/>
        </w:rPr>
        <w:t>2.10 Subsidiaries</w:t>
      </w:r>
      <w:r>
        <w:rPr>
          <w:rFonts w:ascii="Arial" w:cs="Arial" w:eastAsia="Arial" w:hAnsi="Arial"/>
          <w:sz w:val="16"/>
          <w:szCs w:val="16"/>
          <w:color w:val="auto"/>
        </w:rPr>
        <w:t>. The Company’s subsidiaries and its percentage ownership thereof is as shown in its Quarterly Report on Form 10-Q for the three and nine months</w:t>
      </w:r>
      <w:r>
        <w:rPr>
          <w:rFonts w:ascii="Arial" w:cs="Arial" w:eastAsia="Arial" w:hAnsi="Arial"/>
          <w:sz w:val="16"/>
          <w:szCs w:val="16"/>
          <w:b w:val="1"/>
          <w:bCs w:val="1"/>
          <w:color w:val="auto"/>
        </w:rPr>
        <w:t xml:space="preserve"> </w:t>
      </w:r>
      <w:r>
        <w:rPr>
          <w:rFonts w:ascii="Arial" w:cs="Arial" w:eastAsia="Arial" w:hAnsi="Arial"/>
          <w:sz w:val="16"/>
          <w:szCs w:val="16"/>
          <w:color w:val="auto"/>
        </w:rPr>
        <w:t>ended September 30, 2013.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258" w:name="page259"/>
    <w:bookmarkEnd w:id="258"/>
    <w:p>
      <w:pPr>
        <w:ind w:left="5" w:right="80" w:firstLine="567"/>
        <w:spacing w:after="0" w:line="289" w:lineRule="auto"/>
        <w:rPr>
          <w:sz w:val="20"/>
          <w:szCs w:val="20"/>
          <w:color w:val="auto"/>
        </w:rPr>
      </w:pPr>
      <w:r>
        <w:rPr>
          <w:rFonts w:ascii="Arial" w:cs="Arial" w:eastAsia="Arial" w:hAnsi="Arial"/>
          <w:sz w:val="14"/>
          <w:szCs w:val="14"/>
          <w:b w:val="1"/>
          <w:bCs w:val="1"/>
          <w:color w:val="auto"/>
        </w:rPr>
        <w:t>2.11 No Conflict</w:t>
      </w:r>
      <w:r>
        <w:rPr>
          <w:rFonts w:ascii="Arial" w:cs="Arial" w:eastAsia="Arial" w:hAnsi="Arial"/>
          <w:sz w:val="14"/>
          <w:szCs w:val="14"/>
          <w:color w:val="auto"/>
        </w:rPr>
        <w:t>. The Company is not in violation or default of any provision of its Articles of Incorporation or bylaws, and is not in violation or default in any</w:t>
      </w:r>
      <w:r>
        <w:rPr>
          <w:rFonts w:ascii="Arial" w:cs="Arial" w:eastAsia="Arial" w:hAnsi="Arial"/>
          <w:sz w:val="14"/>
          <w:szCs w:val="14"/>
          <w:b w:val="1"/>
          <w:bCs w:val="1"/>
          <w:color w:val="auto"/>
        </w:rPr>
        <w:t xml:space="preserve"> </w:t>
      </w:r>
      <w:r>
        <w:rPr>
          <w:rFonts w:ascii="Arial" w:cs="Arial" w:eastAsia="Arial" w:hAnsi="Arial"/>
          <w:sz w:val="14"/>
          <w:szCs w:val="14"/>
          <w:color w:val="auto"/>
        </w:rPr>
        <w:t>material respect of any instrument, judgment, order, writ, decree or contract to which it is a party or by which it is bound, or, to its knowledge, of any provision of any federal or state statute, rule or regulation applicable to it. The execution and delivery of this Agreement and consummation of the sale of the Series A Shares contemplated by this Agreement</w:t>
      </w:r>
    </w:p>
    <w:p>
      <w:pPr>
        <w:spacing w:after="0" w:line="1" w:lineRule="exact"/>
        <w:rPr>
          <w:sz w:val="20"/>
          <w:szCs w:val="20"/>
          <w:color w:val="auto"/>
        </w:rPr>
      </w:pPr>
    </w:p>
    <w:p>
      <w:pPr>
        <w:ind w:left="5" w:hanging="5"/>
        <w:spacing w:after="0" w:line="266" w:lineRule="auto"/>
        <w:tabs>
          <w:tab w:leader="none" w:pos="2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do not and will not violate any provisions of (i) any rule, regulation, statute, or law, (ii) the terms of any order, writ or decree of any court or judicial or regulatory authority or body, (iii) the Articles of Incorporation or bylaws of the Company, or (iv) the rules and regulations of the NYSE MKT applicable to the listing of the Company’s common shares, (b) will not conflict with or result in a breach of any condition or provision or constitute a default under or pursuant to the terms of any Material Contract (as defined below), and (c) will not result in the creation or imposition of any lien, charge or encumbrance upon any of the Series A Shares or upon any of the assets or properties of the Company. The term Material Contract means any contract, agreement, license, lease, deed of trust, mortgage, lien, debenture, promissory note, or instrument to which the Company is a party (i) the termination of or default under which could have a material adverse affect on the business, financial condition, assets or prospects of the Company, or (ii) that constitutes a lien or security interest on any real or personal property of the Company the loss of which through a foreclosure sale would have a material adverse affect on the business, financial condition, assets or prospects of the Company.</w:t>
      </w:r>
    </w:p>
    <w:p>
      <w:pPr>
        <w:spacing w:after="0" w:line="157" w:lineRule="exact"/>
        <w:rPr>
          <w:sz w:val="20"/>
          <w:szCs w:val="20"/>
          <w:color w:val="auto"/>
        </w:rPr>
      </w:pPr>
    </w:p>
    <w:p>
      <w:pPr>
        <w:jc w:val="both"/>
        <w:ind w:left="5" w:right="120" w:firstLine="567"/>
        <w:spacing w:after="0" w:line="255" w:lineRule="auto"/>
        <w:rPr>
          <w:sz w:val="20"/>
          <w:szCs w:val="20"/>
          <w:color w:val="auto"/>
        </w:rPr>
      </w:pPr>
      <w:r>
        <w:rPr>
          <w:rFonts w:ascii="Arial" w:cs="Arial" w:eastAsia="Arial" w:hAnsi="Arial"/>
          <w:sz w:val="16"/>
          <w:szCs w:val="16"/>
          <w:b w:val="1"/>
          <w:bCs w:val="1"/>
          <w:color w:val="auto"/>
        </w:rPr>
        <w:t>2.12 Litigation</w:t>
      </w:r>
      <w:r>
        <w:rPr>
          <w:rFonts w:ascii="Arial" w:cs="Arial" w:eastAsia="Arial" w:hAnsi="Arial"/>
          <w:sz w:val="16"/>
          <w:szCs w:val="16"/>
          <w:color w:val="auto"/>
        </w:rPr>
        <w:t>. Other than as disclosed in the SEC Reports, there is no lawsuit, arbitration proceeding, or administrative action or proceeding pending or threatened</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the Company which (a) questions the validity of this Agreement or any action taken or to be taken by the Company in connection with this Agreement or the issue and sale of the Series A Shares hereunder, (b) alleges any infringement of any trademark, service mark, or patent by the Company, or (c) if adversely decided would have a material adverse affect upon the business, financial condition, assets or prospects of the Company.</w:t>
      </w:r>
    </w:p>
    <w:p>
      <w:pPr>
        <w:spacing w:after="0" w:line="163" w:lineRule="exact"/>
        <w:rPr>
          <w:sz w:val="20"/>
          <w:szCs w:val="20"/>
          <w:color w:val="auto"/>
        </w:rPr>
      </w:pPr>
    </w:p>
    <w:p>
      <w:pPr>
        <w:ind w:left="5" w:right="20" w:firstLine="567"/>
        <w:spacing w:after="0" w:line="253" w:lineRule="auto"/>
        <w:rPr>
          <w:sz w:val="20"/>
          <w:szCs w:val="20"/>
          <w:color w:val="auto"/>
        </w:rPr>
      </w:pPr>
      <w:r>
        <w:rPr>
          <w:rFonts w:ascii="Arial" w:cs="Arial" w:eastAsia="Arial" w:hAnsi="Arial"/>
          <w:sz w:val="16"/>
          <w:szCs w:val="16"/>
          <w:b w:val="1"/>
          <w:bCs w:val="1"/>
          <w:color w:val="auto"/>
        </w:rPr>
        <w:t>2.13 Patents and Trademarks</w:t>
      </w:r>
      <w:r>
        <w:rPr>
          <w:rFonts w:ascii="Arial" w:cs="Arial" w:eastAsia="Arial" w:hAnsi="Arial"/>
          <w:sz w:val="16"/>
          <w:szCs w:val="16"/>
          <w:color w:val="auto"/>
        </w:rPr>
        <w:t>. The Company is the sole and exclusive owner of or has a valid license to use all patents, trademarks, service marks, trade names,</w:t>
      </w:r>
      <w:r>
        <w:rPr>
          <w:rFonts w:ascii="Arial" w:cs="Arial" w:eastAsia="Arial" w:hAnsi="Arial"/>
          <w:sz w:val="16"/>
          <w:szCs w:val="16"/>
          <w:b w:val="1"/>
          <w:bCs w:val="1"/>
          <w:color w:val="auto"/>
        </w:rPr>
        <w:t xml:space="preserve"> </w:t>
      </w:r>
      <w:r>
        <w:rPr>
          <w:rFonts w:ascii="Arial" w:cs="Arial" w:eastAsia="Arial" w:hAnsi="Arial"/>
          <w:sz w:val="16"/>
          <w:szCs w:val="16"/>
          <w:color w:val="auto"/>
        </w:rPr>
        <w:t>copyrights, trade secrets, information, proprietary rights and processes presently used by the Company in its business as now conducted, without any conflict with or, to the Company’s knowledge infringement of the rights of others, except as disclosed in the SEC Reports. The Company has not received any communications alleging that it has violated or, by conducting its business as presently conducted, violates any of the patents, trademarks, service marks, trade names, copyrights or trade secrets or other proprietary rights of any other person or entity.</w:t>
      </w:r>
    </w:p>
    <w:p>
      <w:pPr>
        <w:spacing w:after="0" w:line="130" w:lineRule="exact"/>
        <w:rPr>
          <w:sz w:val="20"/>
          <w:szCs w:val="20"/>
          <w:color w:val="auto"/>
        </w:rPr>
      </w:pPr>
    </w:p>
    <w:p>
      <w:pPr>
        <w:jc w:val="center"/>
        <w:ind w:right="-24"/>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5"/>
          </w:cols>
          <w:pgMar w:left="235" w:top="123" w:right="239" w:bottom="1440" w:gutter="0" w:footer="0" w:header="0"/>
        </w:sectPr>
      </w:pPr>
    </w:p>
    <w:bookmarkStart w:id="259" w:name="page260"/>
    <w:bookmarkEnd w:id="259"/>
    <w:p>
      <w:pPr>
        <w:ind w:right="60" w:firstLine="567"/>
        <w:spacing w:after="0" w:line="274" w:lineRule="auto"/>
        <w:rPr>
          <w:sz w:val="20"/>
          <w:szCs w:val="20"/>
          <w:color w:val="auto"/>
        </w:rPr>
      </w:pPr>
      <w:r>
        <w:rPr>
          <w:rFonts w:ascii="Arial" w:cs="Arial" w:eastAsia="Arial" w:hAnsi="Arial"/>
          <w:sz w:val="15"/>
          <w:szCs w:val="15"/>
          <w:b w:val="1"/>
          <w:bCs w:val="1"/>
          <w:color w:val="auto"/>
        </w:rPr>
        <w:t>2.14 Title to Property</w:t>
      </w:r>
      <w:r>
        <w:rPr>
          <w:rFonts w:ascii="Arial" w:cs="Arial" w:eastAsia="Arial" w:hAnsi="Arial"/>
          <w:sz w:val="15"/>
          <w:szCs w:val="15"/>
          <w:color w:val="auto"/>
        </w:rPr>
        <w:t>. The Company has good and marketable title to its property and assets free and clear of all mortgages, liens, loans and encumbrances. Title all</w:t>
      </w:r>
      <w:r>
        <w:rPr>
          <w:rFonts w:ascii="Arial" w:cs="Arial" w:eastAsia="Arial" w:hAnsi="Arial"/>
          <w:sz w:val="15"/>
          <w:szCs w:val="15"/>
          <w:b w:val="1"/>
          <w:bCs w:val="1"/>
          <w:color w:val="auto"/>
        </w:rPr>
        <w:t xml:space="preserve"> </w:t>
      </w:r>
      <w:r>
        <w:rPr>
          <w:rFonts w:ascii="Arial" w:cs="Arial" w:eastAsia="Arial" w:hAnsi="Arial"/>
          <w:sz w:val="15"/>
          <w:szCs w:val="15"/>
          <w:color w:val="auto"/>
        </w:rPr>
        <w:t>of the personal and real property used by the Company is held in the name of the Company or a subsidiary or is licensed or leased from a third party. With respect to the property leased or licensed from a third party, the Company is in compliance with such leases and licenses in all material respects and, to Company's knowledge, the Company holds a valid leasehold or license. All facilities, machinery, equipment, fixtures, vehicles and other properties owned, leased or used by the Company are in good operating condition and repair (subject to ordinary wear and tear) and are reasonably fit and usable for the purposes for which they are being used.</w:t>
      </w:r>
    </w:p>
    <w:p>
      <w:pPr>
        <w:spacing w:after="0" w:line="150" w:lineRule="exact"/>
        <w:rPr>
          <w:sz w:val="20"/>
          <w:szCs w:val="20"/>
          <w:color w:val="auto"/>
        </w:rPr>
      </w:pPr>
    </w:p>
    <w:p>
      <w:pPr>
        <w:ind w:right="80" w:firstLine="567"/>
        <w:spacing w:after="0" w:line="255" w:lineRule="auto"/>
        <w:rPr>
          <w:sz w:val="20"/>
          <w:szCs w:val="20"/>
          <w:color w:val="auto"/>
        </w:rPr>
      </w:pPr>
      <w:r>
        <w:rPr>
          <w:rFonts w:ascii="Arial" w:cs="Arial" w:eastAsia="Arial" w:hAnsi="Arial"/>
          <w:sz w:val="16"/>
          <w:szCs w:val="16"/>
          <w:b w:val="1"/>
          <w:bCs w:val="1"/>
          <w:color w:val="auto"/>
        </w:rPr>
        <w:t xml:space="preserve">2.15 Regulatory Permits. </w:t>
      </w:r>
      <w:r>
        <w:rPr>
          <w:rFonts w:ascii="Arial" w:cs="Arial" w:eastAsia="Arial" w:hAnsi="Arial"/>
          <w:sz w:val="16"/>
          <w:szCs w:val="16"/>
          <w:color w:val="auto"/>
        </w:rPr>
        <w:t>The Company possess all certificates, authorizations and permits issued by the appropriate federal, state, local or foreign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authorities necessary to conduct its businesses as described in the SEC Reports (“Permits”), except where the failure to possess such Permits would not result in a Material Adverse Effect, and the Company has not received any notice of proceedings relating to the revocation or modification of any Permit, the revocation or proposed modification of which would result in a Material Adverse Effect.</w:t>
      </w:r>
    </w:p>
    <w:p>
      <w:pPr>
        <w:spacing w:after="0" w:line="163" w:lineRule="exact"/>
        <w:rPr>
          <w:sz w:val="20"/>
          <w:szCs w:val="20"/>
          <w:color w:val="auto"/>
        </w:rPr>
      </w:pPr>
    </w:p>
    <w:p>
      <w:pPr>
        <w:ind w:firstLine="567"/>
        <w:spacing w:after="0" w:line="259" w:lineRule="auto"/>
        <w:rPr>
          <w:sz w:val="20"/>
          <w:szCs w:val="20"/>
          <w:color w:val="auto"/>
        </w:rPr>
      </w:pPr>
      <w:r>
        <w:rPr>
          <w:rFonts w:ascii="Arial" w:cs="Arial" w:eastAsia="Arial" w:hAnsi="Arial"/>
          <w:sz w:val="16"/>
          <w:szCs w:val="16"/>
          <w:b w:val="1"/>
          <w:bCs w:val="1"/>
          <w:color w:val="auto"/>
        </w:rPr>
        <w:t>2.16 Employee Benefit Plans</w:t>
      </w:r>
      <w:r>
        <w:rPr>
          <w:rFonts w:ascii="Arial" w:cs="Arial" w:eastAsia="Arial" w:hAnsi="Arial"/>
          <w:sz w:val="16"/>
          <w:szCs w:val="16"/>
          <w:color w:val="auto"/>
        </w:rPr>
        <w:t>. Other than the Company’s Equity Incentive Plan and stock option and similar equity incentive plans maintained by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the Company does not have and has never maintained or sponsored any Employee Benefit Plan as defined in the Employee Retirement Income Security Act of 1974, as amended.</w:t>
      </w:r>
    </w:p>
    <w:p>
      <w:pPr>
        <w:spacing w:after="0" w:line="161" w:lineRule="exact"/>
        <w:rPr>
          <w:sz w:val="20"/>
          <w:szCs w:val="20"/>
          <w:color w:val="auto"/>
        </w:rPr>
      </w:pPr>
    </w:p>
    <w:p>
      <w:pPr>
        <w:ind w:right="20" w:firstLine="567"/>
        <w:spacing w:after="0" w:line="269" w:lineRule="auto"/>
        <w:rPr>
          <w:sz w:val="20"/>
          <w:szCs w:val="20"/>
          <w:color w:val="auto"/>
        </w:rPr>
      </w:pPr>
      <w:r>
        <w:rPr>
          <w:rFonts w:ascii="Arial" w:cs="Arial" w:eastAsia="Arial" w:hAnsi="Arial"/>
          <w:sz w:val="15"/>
          <w:szCs w:val="15"/>
          <w:b w:val="1"/>
          <w:bCs w:val="1"/>
          <w:color w:val="auto"/>
        </w:rPr>
        <w:t>2.17 Labor Agreements and Actions; Employee Compensation</w:t>
      </w:r>
      <w:r>
        <w:rPr>
          <w:rFonts w:ascii="Arial" w:cs="Arial" w:eastAsia="Arial" w:hAnsi="Arial"/>
          <w:sz w:val="15"/>
          <w:szCs w:val="15"/>
          <w:color w:val="auto"/>
        </w:rPr>
        <w:t>. The Company is not be bound by or subject to (and none of its assets or properties is bound by or</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any written or oral contract, commitment or arrangement with any labor union, and no labor union has requested or, to the Company's knowledge, has sought to represent any of the employees, representatives or agents of the Company. There is no strike or other labor dispute involving the Company pending, nor to the Company's knowledge, threatened, that could have a material adverse effect on the assets, properties, financial condition, operating results or business of the Company, nor is the Company aware of any labor organization activity involving its employees. The Company is not aware that any officer or key employee, or that any group of key employees, intends to terminate their employment the Company, nor does the Company have a present intention to terminate the employment of any of the foregoing. The employment of each officer and employee of the Company is terminable at the will of the Company. To its knowledge, the Company has complied in all material respects with all applicable state and federal equal employment opportunity and other laws related to employment.</w:t>
      </w:r>
    </w:p>
    <w:p>
      <w:pPr>
        <w:spacing w:after="0" w:line="155" w:lineRule="exact"/>
        <w:rPr>
          <w:sz w:val="20"/>
          <w:szCs w:val="20"/>
          <w:color w:val="auto"/>
        </w:rPr>
      </w:pPr>
    </w:p>
    <w:p>
      <w:pPr>
        <w:jc w:val="both"/>
        <w:ind w:right="80" w:firstLine="567"/>
        <w:spacing w:after="0" w:line="303" w:lineRule="auto"/>
        <w:rPr>
          <w:sz w:val="20"/>
          <w:szCs w:val="20"/>
          <w:color w:val="auto"/>
        </w:rPr>
      </w:pPr>
      <w:r>
        <w:rPr>
          <w:rFonts w:ascii="Arial" w:cs="Arial" w:eastAsia="Arial" w:hAnsi="Arial"/>
          <w:sz w:val="14"/>
          <w:szCs w:val="14"/>
          <w:b w:val="1"/>
          <w:bCs w:val="1"/>
          <w:color w:val="auto"/>
        </w:rPr>
        <w:t>2.18 No Integrated Offering</w:t>
      </w:r>
      <w:r>
        <w:rPr>
          <w:rFonts w:ascii="Arial" w:cs="Arial" w:eastAsia="Arial" w:hAnsi="Arial"/>
          <w:sz w:val="14"/>
          <w:szCs w:val="14"/>
          <w:color w:val="auto"/>
        </w:rPr>
        <w:t>. Neither the Company, nor any of its Affiliates, nor any person acting on its or their behalf has, directly or indirectly, made any offers or</w:t>
      </w:r>
      <w:r>
        <w:rPr>
          <w:rFonts w:ascii="Arial" w:cs="Arial" w:eastAsia="Arial" w:hAnsi="Arial"/>
          <w:sz w:val="14"/>
          <w:szCs w:val="14"/>
          <w:b w:val="1"/>
          <w:bCs w:val="1"/>
          <w:color w:val="auto"/>
        </w:rPr>
        <w:t xml:space="preserve"> </w:t>
      </w:r>
      <w:r>
        <w:rPr>
          <w:rFonts w:ascii="Arial" w:cs="Arial" w:eastAsia="Arial" w:hAnsi="Arial"/>
          <w:sz w:val="14"/>
          <w:szCs w:val="14"/>
          <w:color w:val="auto"/>
        </w:rPr>
        <w:t>sales of any security or solicited any offers to buy any security, under circumstances that would cause the offering of the Series A Shares to be integrated with prior offerings by the Company for purposes of any applicable shareholder approval provisions of the NYSE MKT. As used in this Agreement, “Affiliate” means any Person controlled by, in control of, or under common control with another Person. “Person” includes any natural person, and any corporation, partnership, limited liability company, trust, or other entity.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260" w:name="page261"/>
    <w:bookmarkEnd w:id="260"/>
    <w:p>
      <w:pPr>
        <w:ind w:right="60" w:firstLine="567"/>
        <w:spacing w:after="0" w:line="255" w:lineRule="auto"/>
        <w:rPr>
          <w:sz w:val="20"/>
          <w:szCs w:val="20"/>
          <w:color w:val="auto"/>
        </w:rPr>
      </w:pPr>
      <w:r>
        <w:rPr>
          <w:rFonts w:ascii="Arial" w:cs="Arial" w:eastAsia="Arial" w:hAnsi="Arial"/>
          <w:sz w:val="16"/>
          <w:szCs w:val="16"/>
          <w:b w:val="1"/>
          <w:bCs w:val="1"/>
          <w:color w:val="auto"/>
        </w:rPr>
        <w:t xml:space="preserve">2.19 Anti-Dilution Provisions. </w:t>
      </w:r>
      <w:r>
        <w:rPr>
          <w:rFonts w:ascii="Arial" w:cs="Arial" w:eastAsia="Arial" w:hAnsi="Arial"/>
          <w:sz w:val="16"/>
          <w:szCs w:val="16"/>
          <w:color w:val="auto"/>
        </w:rPr>
        <w:t>The sale of the Series A Shares pursuant to this Agreement will not result in (a) an increase in the number of shares of any class of</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stock the Company issuable upon the exercise of any option, warrant or similar right to acquire capital stock of the Company, or upon conversion of any debt instrument or other security convertible into capital stock of the Company, or (b) a reduction in the purchase, exercise, or conversion price or an adjustment of the conversion ratio of any security of the Company.</w:t>
      </w:r>
    </w:p>
    <w:p>
      <w:pPr>
        <w:spacing w:after="0" w:line="163"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6"/>
          <w:szCs w:val="16"/>
          <w:b w:val="1"/>
          <w:bCs w:val="1"/>
          <w:color w:val="auto"/>
        </w:rPr>
        <w:t>2.20</w:t>
      </w:r>
      <w:r>
        <w:rPr>
          <w:sz w:val="20"/>
          <w:szCs w:val="20"/>
          <w:color w:val="auto"/>
        </w:rPr>
        <w:tab/>
      </w:r>
      <w:r>
        <w:rPr>
          <w:rFonts w:ascii="Arial" w:cs="Arial" w:eastAsia="Arial" w:hAnsi="Arial"/>
          <w:sz w:val="14"/>
          <w:szCs w:val="14"/>
          <w:b w:val="1"/>
          <w:bCs w:val="1"/>
          <w:color w:val="auto"/>
        </w:rPr>
        <w:t>Shell Company</w:t>
      </w:r>
      <w:r>
        <w:rPr>
          <w:rFonts w:ascii="Arial" w:cs="Arial" w:eastAsia="Arial" w:hAnsi="Arial"/>
          <w:sz w:val="14"/>
          <w:szCs w:val="14"/>
          <w:color w:val="auto"/>
        </w:rPr>
        <w:t>. The Company is not a company described in paragraph (i)(1) of SEC Rule 144.</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3.</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REPRESENTATIONS AND WARRANTIES OF PURCHASERS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Purchaser, severally and not jointly and severally, hereby represents and warrants with respect to only itself to the Company the following:</w:t>
      </w:r>
    </w:p>
    <w:p>
      <w:pPr>
        <w:spacing w:after="0" w:line="190" w:lineRule="exact"/>
        <w:rPr>
          <w:sz w:val="20"/>
          <w:szCs w:val="20"/>
          <w:color w:val="auto"/>
        </w:rPr>
      </w:pPr>
    </w:p>
    <w:p>
      <w:pPr>
        <w:ind w:right="60" w:firstLine="567"/>
        <w:spacing w:after="0" w:line="273" w:lineRule="auto"/>
        <w:rPr>
          <w:sz w:val="20"/>
          <w:szCs w:val="20"/>
          <w:color w:val="auto"/>
        </w:rPr>
      </w:pPr>
      <w:r>
        <w:rPr>
          <w:rFonts w:ascii="Arial" w:cs="Arial" w:eastAsia="Arial" w:hAnsi="Arial"/>
          <w:sz w:val="16"/>
          <w:szCs w:val="16"/>
          <w:b w:val="1"/>
          <w:bCs w:val="1"/>
          <w:color w:val="auto"/>
        </w:rPr>
        <w:t>3.1 Organization</w:t>
      </w:r>
      <w:r>
        <w:rPr>
          <w:rFonts w:ascii="Arial" w:cs="Arial" w:eastAsia="Arial" w:hAnsi="Arial"/>
          <w:sz w:val="16"/>
          <w:szCs w:val="16"/>
          <w:color w:val="auto"/>
        </w:rPr>
        <w:t>. Such Purchaser, if not a natural person, is a corporation, limited liability company, partnership, trust or other entity duly organized, validly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in good standing under the laws of the state or other jurisdiction in which it is incorporated or otherwise organized.</w:t>
      </w:r>
    </w:p>
    <w:p>
      <w:pPr>
        <w:spacing w:after="0" w:line="149" w:lineRule="exact"/>
        <w:rPr>
          <w:sz w:val="20"/>
          <w:szCs w:val="20"/>
          <w:color w:val="auto"/>
        </w:rPr>
      </w:pPr>
    </w:p>
    <w:p>
      <w:pPr>
        <w:ind w:right="20" w:firstLine="567"/>
        <w:spacing w:after="0" w:line="255" w:lineRule="auto"/>
        <w:rPr>
          <w:sz w:val="20"/>
          <w:szCs w:val="20"/>
          <w:color w:val="auto"/>
        </w:rPr>
      </w:pPr>
      <w:r>
        <w:rPr>
          <w:rFonts w:ascii="Arial" w:cs="Arial" w:eastAsia="Arial" w:hAnsi="Arial"/>
          <w:sz w:val="16"/>
          <w:szCs w:val="16"/>
          <w:b w:val="1"/>
          <w:bCs w:val="1"/>
          <w:color w:val="auto"/>
        </w:rPr>
        <w:t>3.2 Authority; Enforceability</w:t>
      </w:r>
      <w:r>
        <w:rPr>
          <w:rFonts w:ascii="Arial" w:cs="Arial" w:eastAsia="Arial" w:hAnsi="Arial"/>
          <w:sz w:val="16"/>
          <w:szCs w:val="16"/>
          <w:color w:val="auto"/>
        </w:rPr>
        <w:t>. Such Purchaser has the power and authority to execute and deliver this Agreement and to perform all of its obligations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This Agreement has been duly authorized and executed by such Purchaser and is the valid and binding agreement of such Purchaser enforceable in accordance with its terms, except (i) to the extent limited by any bankruptcy, insolvency, or similar law affecting the rights of creditors generally, and (ii) as limited by laws relating to the availability of specific performance, injunctive relief or other equitable remedies.</w:t>
      </w:r>
    </w:p>
    <w:p>
      <w:pPr>
        <w:spacing w:after="0" w:line="163" w:lineRule="exact"/>
        <w:rPr>
          <w:sz w:val="20"/>
          <w:szCs w:val="20"/>
          <w:color w:val="auto"/>
        </w:rPr>
      </w:pPr>
    </w:p>
    <w:p>
      <w:pPr>
        <w:ind w:firstLine="567"/>
        <w:spacing w:after="0" w:line="255" w:lineRule="auto"/>
        <w:rPr>
          <w:sz w:val="20"/>
          <w:szCs w:val="20"/>
          <w:color w:val="auto"/>
        </w:rPr>
      </w:pPr>
      <w:r>
        <w:rPr>
          <w:rFonts w:ascii="Arial" w:cs="Arial" w:eastAsia="Arial" w:hAnsi="Arial"/>
          <w:sz w:val="16"/>
          <w:szCs w:val="16"/>
          <w:b w:val="1"/>
          <w:bCs w:val="1"/>
          <w:color w:val="auto"/>
        </w:rPr>
        <w:t xml:space="preserve">3.3 No Conflict. </w:t>
      </w:r>
      <w:r>
        <w:rPr>
          <w:rFonts w:ascii="Arial" w:cs="Arial" w:eastAsia="Arial" w:hAnsi="Arial"/>
          <w:sz w:val="16"/>
          <w:szCs w:val="16"/>
          <w:color w:val="auto"/>
        </w:rPr>
        <w:t>The execution and delivery of this Agreement, and consummation of the transactions contemplated hereunder, including the purchase of the Series A</w:t>
      </w:r>
      <w:r>
        <w:rPr>
          <w:rFonts w:ascii="Arial" w:cs="Arial" w:eastAsia="Arial" w:hAnsi="Arial"/>
          <w:sz w:val="16"/>
          <w:szCs w:val="16"/>
          <w:b w:val="1"/>
          <w:bCs w:val="1"/>
          <w:color w:val="auto"/>
        </w:rPr>
        <w:t xml:space="preserve"> </w:t>
      </w:r>
      <w:r>
        <w:rPr>
          <w:rFonts w:ascii="Arial" w:cs="Arial" w:eastAsia="Arial" w:hAnsi="Arial"/>
          <w:sz w:val="16"/>
          <w:szCs w:val="16"/>
          <w:color w:val="auto"/>
        </w:rPr>
        <w:t>Shares, by such Purchaser do not and will not violate any provisions of (i) any rule, regulation, statute, or law applicable to such Purchaser or (ii) the terms of any order, writ, or decree of any court or judicial or regulatory authority or body by which such Purchaser is bound, or (iii) the articles of incorporation, bylaws, or similar charter or governing documents of such Purchaser.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261" w:name="page262"/>
    <w:bookmarkEnd w:id="261"/>
    <w:p>
      <w:pPr>
        <w:ind w:right="100" w:firstLine="567"/>
        <w:spacing w:after="0" w:line="251" w:lineRule="auto"/>
        <w:rPr>
          <w:sz w:val="20"/>
          <w:szCs w:val="20"/>
          <w:color w:val="auto"/>
        </w:rPr>
      </w:pPr>
      <w:r>
        <w:rPr>
          <w:rFonts w:ascii="Arial" w:cs="Arial" w:eastAsia="Arial" w:hAnsi="Arial"/>
          <w:sz w:val="16"/>
          <w:szCs w:val="16"/>
          <w:b w:val="1"/>
          <w:bCs w:val="1"/>
          <w:color w:val="auto"/>
        </w:rPr>
        <w:t>3.4 Certain Transactions and Confidentiality</w:t>
      </w:r>
      <w:r>
        <w:rPr>
          <w:rFonts w:ascii="Arial" w:cs="Arial" w:eastAsia="Arial" w:hAnsi="Arial"/>
          <w:sz w:val="16"/>
          <w:szCs w:val="16"/>
          <w:color w:val="auto"/>
        </w:rPr>
        <w:t>. Other than purchasing the Series A Shares pursuant to this Agreement such Purchaser has not, nor has any person or</w:t>
      </w:r>
      <w:r>
        <w:rPr>
          <w:rFonts w:ascii="Arial" w:cs="Arial" w:eastAsia="Arial" w:hAnsi="Arial"/>
          <w:sz w:val="16"/>
          <w:szCs w:val="16"/>
          <w:b w:val="1"/>
          <w:bCs w:val="1"/>
          <w:color w:val="auto"/>
        </w:rPr>
        <w:t xml:space="preserve"> </w:t>
      </w:r>
      <w:r>
        <w:rPr>
          <w:rFonts w:ascii="Arial" w:cs="Arial" w:eastAsia="Arial" w:hAnsi="Arial"/>
          <w:sz w:val="16"/>
          <w:szCs w:val="16"/>
          <w:color w:val="auto"/>
        </w:rPr>
        <w:t>entity acting on behalf of or pursuant to any understanding, agreement, or arrangement with such Purchaser, directly or indirectly executed any purchases or sales, including any “short sale” as defined in SEC Rule SHO, of the common shares of the Company since December 1, 2013. Such Purchaser has maintained the confidentiality of all disclosures made to it in connection with this Agreement and the offer of the Series A Shares (including the existence and terms of this transaction), other than disclosures contained in the Company’s SEC Reports or Company press releases, and disclosures made to officers, directors, attorneys, employees, and advisors of such Purchaser who had a need to know in connection with such Purchaser’s decision to enter into this Agreement, and who have been advised of the confidential nature of such information and of the obligation to maintain the confidentiality thereof.</w:t>
      </w:r>
    </w:p>
    <w:p>
      <w:pPr>
        <w:spacing w:after="0" w:line="166" w:lineRule="exact"/>
        <w:rPr>
          <w:sz w:val="20"/>
          <w:szCs w:val="20"/>
          <w:color w:val="auto"/>
        </w:rPr>
      </w:pPr>
    </w:p>
    <w:p>
      <w:pPr>
        <w:ind w:right="80" w:firstLine="567"/>
        <w:spacing w:after="0" w:line="273" w:lineRule="auto"/>
        <w:rPr>
          <w:sz w:val="20"/>
          <w:szCs w:val="20"/>
          <w:color w:val="auto"/>
        </w:rPr>
      </w:pPr>
      <w:r>
        <w:rPr>
          <w:rFonts w:ascii="Arial" w:cs="Arial" w:eastAsia="Arial" w:hAnsi="Arial"/>
          <w:sz w:val="16"/>
          <w:szCs w:val="16"/>
          <w:b w:val="1"/>
          <w:bCs w:val="1"/>
          <w:color w:val="auto"/>
        </w:rPr>
        <w:t xml:space="preserve">3.5 Place of Business or Residence. </w:t>
      </w:r>
      <w:r>
        <w:rPr>
          <w:rFonts w:ascii="Arial" w:cs="Arial" w:eastAsia="Arial" w:hAnsi="Arial"/>
          <w:sz w:val="16"/>
          <w:szCs w:val="16"/>
          <w:color w:val="auto"/>
        </w:rPr>
        <w:t>Such Purchaser represents and warrants that such Purchaser has such Purchaser’s principal place of business or residence as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on the signature page of this Agreement.</w:t>
      </w:r>
    </w:p>
    <w:p>
      <w:pPr>
        <w:spacing w:after="0" w:line="149" w:lineRule="exact"/>
        <w:rPr>
          <w:sz w:val="20"/>
          <w:szCs w:val="20"/>
          <w:color w:val="auto"/>
        </w:rPr>
      </w:pPr>
    </w:p>
    <w:p>
      <w:pPr>
        <w:ind w:right="160" w:firstLine="567"/>
        <w:spacing w:after="0" w:line="273" w:lineRule="auto"/>
        <w:rPr>
          <w:sz w:val="20"/>
          <w:szCs w:val="20"/>
          <w:color w:val="auto"/>
        </w:rPr>
      </w:pPr>
      <w:r>
        <w:rPr>
          <w:rFonts w:ascii="Arial" w:cs="Arial" w:eastAsia="Arial" w:hAnsi="Arial"/>
          <w:sz w:val="16"/>
          <w:szCs w:val="16"/>
          <w:b w:val="1"/>
          <w:bCs w:val="1"/>
          <w:color w:val="auto"/>
        </w:rPr>
        <w:t xml:space="preserve">3.6 Investment Representations. </w:t>
      </w:r>
      <w:r>
        <w:rPr>
          <w:rFonts w:ascii="Arial" w:cs="Arial" w:eastAsia="Arial" w:hAnsi="Arial"/>
          <w:sz w:val="16"/>
          <w:szCs w:val="16"/>
          <w:color w:val="auto"/>
        </w:rPr>
        <w:t>Each Purchaser makes the following representations, severally and not jointly and severally, in connection with its acquisition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Series A Shares:</w:t>
      </w:r>
    </w:p>
    <w:p>
      <w:pPr>
        <w:spacing w:after="0" w:line="153" w:lineRule="exact"/>
        <w:rPr>
          <w:sz w:val="20"/>
          <w:szCs w:val="20"/>
          <w:color w:val="auto"/>
        </w:rPr>
      </w:pPr>
    </w:p>
    <w:p>
      <w:pPr>
        <w:ind w:left="60" w:firstLine="1140"/>
        <w:spacing w:after="0" w:line="272" w:lineRule="auto"/>
        <w:tabs>
          <w:tab w:leader="none" w:pos="1662" w:val="left"/>
        </w:tabs>
        <w:numPr>
          <w:ilvl w:val="0"/>
          <w:numId w:val="144"/>
        </w:numPr>
        <w:rPr>
          <w:rFonts w:ascii="Arial" w:cs="Arial" w:eastAsia="Arial" w:hAnsi="Arial"/>
          <w:sz w:val="15"/>
          <w:szCs w:val="15"/>
          <w:b w:val="1"/>
          <w:bCs w:val="1"/>
          <w:color w:val="auto"/>
        </w:rPr>
      </w:pPr>
      <w:r>
        <w:rPr>
          <w:rFonts w:ascii="Arial" w:cs="Arial" w:eastAsia="Arial" w:hAnsi="Arial"/>
          <w:sz w:val="15"/>
          <w:szCs w:val="15"/>
          <w:color w:val="auto"/>
        </w:rPr>
        <w:t>Purchaser has made such investigation of the Company as Purchaser deemed appropriate for determining to acquire (and thereby make an investment in) the Series A Shares, and in making such investigation Purchaser has had access to such financial and other information concerning the Company as Purchaser requested. Purchaser has received copies of the Company’s Form 10-K, as amended, for the fiscal year ended December 31, 2012, proxy statement for the Company’s last annual meeting of shareholders, Quarterly Reports on Form 10-Q for the quarters ended March 31, June 30, and September 30, 2013, and each Current Report on Form 8-K filed with the SEC since the filing of the Company’s 10-Q for the three and nine months ended September 30, 2013.</w:t>
      </w:r>
    </w:p>
    <w:p>
      <w:pPr>
        <w:spacing w:after="0" w:line="157" w:lineRule="exact"/>
        <w:rPr>
          <w:rFonts w:ascii="Arial" w:cs="Arial" w:eastAsia="Arial" w:hAnsi="Arial"/>
          <w:sz w:val="15"/>
          <w:szCs w:val="15"/>
          <w:b w:val="1"/>
          <w:bCs w:val="1"/>
          <w:color w:val="auto"/>
        </w:rPr>
      </w:pPr>
    </w:p>
    <w:p>
      <w:pPr>
        <w:ind w:left="60" w:right="160" w:firstLine="1140"/>
        <w:spacing w:after="0" w:line="257" w:lineRule="auto"/>
        <w:tabs>
          <w:tab w:leader="none" w:pos="1670" w:val="left"/>
        </w:tabs>
        <w:numPr>
          <w:ilvl w:val="0"/>
          <w:numId w:val="144"/>
        </w:numPr>
        <w:rPr>
          <w:rFonts w:ascii="Arial" w:cs="Arial" w:eastAsia="Arial" w:hAnsi="Arial"/>
          <w:sz w:val="16"/>
          <w:szCs w:val="16"/>
          <w:b w:val="1"/>
          <w:bCs w:val="1"/>
          <w:color w:val="auto"/>
        </w:rPr>
      </w:pPr>
      <w:r>
        <w:rPr>
          <w:rFonts w:ascii="Arial" w:cs="Arial" w:eastAsia="Arial" w:hAnsi="Arial"/>
          <w:sz w:val="16"/>
          <w:szCs w:val="16"/>
          <w:color w:val="auto"/>
        </w:rPr>
        <w:t>Purchaser understands that the Series A Shares are being offered and sold without registration under the Act, or registration or qualification under the California Corporate Securities Law of 1968, as amended, or under the securities laws of any other state, in reliance upon the exemptions from such registration and qualification requirements for nonpublic offerings.</w:t>
      </w:r>
    </w:p>
    <w:p>
      <w:pPr>
        <w:spacing w:after="0" w:line="165" w:lineRule="exact"/>
        <w:rPr>
          <w:rFonts w:ascii="Arial" w:cs="Arial" w:eastAsia="Arial" w:hAnsi="Arial"/>
          <w:sz w:val="16"/>
          <w:szCs w:val="16"/>
          <w:b w:val="1"/>
          <w:bCs w:val="1"/>
          <w:color w:val="auto"/>
        </w:rPr>
      </w:pPr>
    </w:p>
    <w:p>
      <w:pPr>
        <w:ind w:left="60" w:right="20" w:firstLine="1140"/>
        <w:spacing w:after="0" w:line="340" w:lineRule="auto"/>
        <w:tabs>
          <w:tab w:leader="none" w:pos="1629" w:val="left"/>
        </w:tabs>
        <w:numPr>
          <w:ilvl w:val="0"/>
          <w:numId w:val="144"/>
        </w:numPr>
        <w:rPr>
          <w:rFonts w:ascii="Arial" w:cs="Arial" w:eastAsia="Arial" w:hAnsi="Arial"/>
          <w:sz w:val="14"/>
          <w:szCs w:val="14"/>
          <w:b w:val="1"/>
          <w:bCs w:val="1"/>
          <w:color w:val="auto"/>
        </w:rPr>
      </w:pPr>
      <w:r>
        <w:rPr>
          <w:rFonts w:ascii="Arial" w:cs="Arial" w:eastAsia="Arial" w:hAnsi="Arial"/>
          <w:sz w:val="14"/>
          <w:szCs w:val="14"/>
          <w:color w:val="auto"/>
        </w:rPr>
        <w:t>Purchaser understands that (i) the Series A Shares may not be sold, offered for sale or transferred by Purchaser unless subsequently registered under the Act and applicable state securities laws, or unless sold or transferred pursuant to an exemption from such registration, and (ii) the Series A Shares will carry a legend to such effect.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262" w:name="page263"/>
    <w:bookmarkEnd w:id="262"/>
    <w:p>
      <w:pPr>
        <w:ind w:left="60" w:right="100" w:firstLine="1140"/>
        <w:spacing w:after="0" w:line="267" w:lineRule="auto"/>
        <w:tabs>
          <w:tab w:leader="none" w:pos="1670" w:val="left"/>
        </w:tabs>
        <w:numPr>
          <w:ilvl w:val="0"/>
          <w:numId w:val="145"/>
        </w:numPr>
        <w:rPr>
          <w:rFonts w:ascii="Arial" w:cs="Arial" w:eastAsia="Arial" w:hAnsi="Arial"/>
          <w:sz w:val="16"/>
          <w:szCs w:val="16"/>
          <w:b w:val="1"/>
          <w:bCs w:val="1"/>
          <w:color w:val="auto"/>
        </w:rPr>
      </w:pPr>
      <w:r>
        <w:rPr>
          <w:rFonts w:ascii="Arial" w:cs="Arial" w:eastAsia="Arial" w:hAnsi="Arial"/>
          <w:sz w:val="16"/>
          <w:szCs w:val="16"/>
          <w:color w:val="auto"/>
        </w:rPr>
        <w:t>Purchaser is purchasing the Series A Shares solely for Purchaser's own account, for long-term investment purposes, and not with a view to, or for sale in connection with, any public distribution of the Series A Shares or any common shares issuable upon conversion of Series A Shares.</w:t>
      </w:r>
    </w:p>
    <w:p>
      <w:pPr>
        <w:spacing w:after="0" w:line="157" w:lineRule="exact"/>
        <w:rPr>
          <w:rFonts w:ascii="Arial" w:cs="Arial" w:eastAsia="Arial" w:hAnsi="Arial"/>
          <w:sz w:val="16"/>
          <w:szCs w:val="16"/>
          <w:b w:val="1"/>
          <w:bCs w:val="1"/>
          <w:color w:val="auto"/>
        </w:rPr>
      </w:pPr>
    </w:p>
    <w:p>
      <w:pPr>
        <w:ind w:left="60" w:right="20" w:firstLine="1140"/>
        <w:spacing w:after="0" w:line="257" w:lineRule="auto"/>
        <w:tabs>
          <w:tab w:leader="none" w:pos="1676" w:val="left"/>
        </w:tabs>
        <w:numPr>
          <w:ilvl w:val="0"/>
          <w:numId w:val="145"/>
        </w:numPr>
        <w:rPr>
          <w:rFonts w:ascii="Arial" w:cs="Arial" w:eastAsia="Arial" w:hAnsi="Arial"/>
          <w:sz w:val="16"/>
          <w:szCs w:val="16"/>
          <w:b w:val="1"/>
          <w:bCs w:val="1"/>
          <w:color w:val="auto"/>
        </w:rPr>
      </w:pPr>
      <w:r>
        <w:rPr>
          <w:rFonts w:ascii="Arial" w:cs="Arial" w:eastAsia="Arial" w:hAnsi="Arial"/>
          <w:sz w:val="16"/>
          <w:szCs w:val="16"/>
          <w:color w:val="auto"/>
        </w:rPr>
        <w:t>Purchaser is an “accredited investor” as defined in Rule 501 under the Act or is a “qualified institutional buyer” as defined in Rule 144A under the Securities Act and shall provide the Company with such information and documentation as the Company may reasonably request to verify that Purchaser qualifies as an accredited investor or qualified institutional buyer.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4.</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CLOSING</w:t>
      </w:r>
    </w:p>
    <w:p>
      <w:pPr>
        <w:spacing w:after="0" w:line="179" w:lineRule="exact"/>
        <w:rPr>
          <w:sz w:val="20"/>
          <w:szCs w:val="20"/>
          <w:color w:val="auto"/>
        </w:rPr>
      </w:pPr>
    </w:p>
    <w:p>
      <w:pPr>
        <w:ind w:firstLine="567"/>
        <w:spacing w:after="0" w:line="294" w:lineRule="auto"/>
        <w:rPr>
          <w:sz w:val="20"/>
          <w:szCs w:val="20"/>
          <w:color w:val="auto"/>
        </w:rPr>
      </w:pPr>
      <w:r>
        <w:rPr>
          <w:rFonts w:ascii="Arial" w:cs="Arial" w:eastAsia="Arial" w:hAnsi="Arial"/>
          <w:sz w:val="14"/>
          <w:szCs w:val="14"/>
          <w:b w:val="1"/>
          <w:bCs w:val="1"/>
          <w:color w:val="auto"/>
        </w:rPr>
        <w:t>4.1 Time and Place of Closing</w:t>
      </w:r>
      <w:r>
        <w:rPr>
          <w:rFonts w:ascii="Arial" w:cs="Arial" w:eastAsia="Arial" w:hAnsi="Arial"/>
          <w:sz w:val="14"/>
          <w:szCs w:val="14"/>
          <w:color w:val="auto"/>
        </w:rPr>
        <w:t>. The consummation of the purchase and sale of the Series A Shares (</w:t>
      </w:r>
      <w:r>
        <w:rPr>
          <w:rFonts w:ascii="Arial" w:cs="Arial" w:eastAsia="Arial" w:hAnsi="Arial"/>
          <w:sz w:val="14"/>
          <w:szCs w:val="14"/>
          <w:b w:val="1"/>
          <w:bCs w:val="1"/>
          <w:color w:val="auto"/>
        </w:rPr>
        <w:t>Closing</w:t>
      </w:r>
      <w:r>
        <w:rPr>
          <w:rFonts w:ascii="Arial" w:cs="Arial" w:eastAsia="Arial" w:hAnsi="Arial"/>
          <w:sz w:val="14"/>
          <w:szCs w:val="14"/>
          <w:color w:val="auto"/>
        </w:rPr>
        <w:t>) shall take place in on the third Business Day after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execution and delivery of this Agreement by Purchasers and the Company. The date on which a Closing occurs is referred to in this Agreement as a </w:t>
      </w:r>
      <w:r>
        <w:rPr>
          <w:rFonts w:ascii="Arial" w:cs="Arial" w:eastAsia="Arial" w:hAnsi="Arial"/>
          <w:sz w:val="14"/>
          <w:szCs w:val="14"/>
          <w:b w:val="1"/>
          <w:bCs w:val="1"/>
          <w:color w:val="auto"/>
        </w:rPr>
        <w:t>Closing Date</w:t>
      </w:r>
      <w:r>
        <w:rPr>
          <w:rFonts w:ascii="Arial" w:cs="Arial" w:eastAsia="Arial" w:hAnsi="Arial"/>
          <w:sz w:val="14"/>
          <w:szCs w:val="14"/>
          <w:color w:val="auto"/>
        </w:rPr>
        <w:t>. On the Closing Date, each Purchaser shall pay in full the Purchase Price for the Series A Shares purchased by wire transfer of the Purchase Price for the Series A Shares being purchased by such Purchaser, in immediately available funds, to an account designated by the Company. The Purchase Price shall be paid in United States Dollars. On the Closing Date, the Company shall issue to each Purchaser the Series A Shares purchased, against payment of the Purchase Price. Closing shall occur at the principal office of the Company or at such other place as the parties may agree. A “Business Day” shall be any day on which the banks in New York are not required or permitted to close.</w:t>
      </w:r>
    </w:p>
    <w:p>
      <w:pPr>
        <w:spacing w:after="0" w:line="140"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6"/>
          <w:szCs w:val="16"/>
          <w:b w:val="1"/>
          <w:bCs w:val="1"/>
          <w:color w:val="auto"/>
        </w:rPr>
        <w:t>4.2</w:t>
      </w:r>
      <w:r>
        <w:rPr>
          <w:sz w:val="20"/>
          <w:szCs w:val="20"/>
          <w:color w:val="auto"/>
        </w:rPr>
        <w:tab/>
      </w:r>
      <w:r>
        <w:rPr>
          <w:rFonts w:ascii="Arial" w:cs="Arial" w:eastAsia="Arial" w:hAnsi="Arial"/>
          <w:sz w:val="14"/>
          <w:szCs w:val="14"/>
          <w:b w:val="1"/>
          <w:bCs w:val="1"/>
          <w:color w:val="auto"/>
        </w:rPr>
        <w:t>Documents to be Delivered By the Company</w:t>
      </w:r>
      <w:r>
        <w:rPr>
          <w:rFonts w:ascii="Arial" w:cs="Arial" w:eastAsia="Arial" w:hAnsi="Arial"/>
          <w:sz w:val="14"/>
          <w:szCs w:val="14"/>
          <w:color w:val="auto"/>
        </w:rPr>
        <w:t>. The Company shall deliver the following documents to each Purchaser at the Closing:</w:t>
      </w:r>
    </w:p>
    <w:p>
      <w:pPr>
        <w:spacing w:after="0" w:line="198" w:lineRule="exact"/>
        <w:rPr>
          <w:sz w:val="20"/>
          <w:szCs w:val="20"/>
          <w:color w:val="auto"/>
        </w:rPr>
      </w:pPr>
    </w:p>
    <w:p>
      <w:pPr>
        <w:ind w:left="1660" w:hanging="460"/>
        <w:spacing w:after="0"/>
        <w:tabs>
          <w:tab w:leader="none" w:pos="1660" w:val="left"/>
        </w:tabs>
        <w:numPr>
          <w:ilvl w:val="0"/>
          <w:numId w:val="146"/>
        </w:numPr>
        <w:rPr>
          <w:rFonts w:ascii="Arial" w:cs="Arial" w:eastAsia="Arial" w:hAnsi="Arial"/>
          <w:sz w:val="15"/>
          <w:szCs w:val="15"/>
          <w:b w:val="1"/>
          <w:bCs w:val="1"/>
          <w:color w:val="auto"/>
        </w:rPr>
      </w:pPr>
      <w:r>
        <w:rPr>
          <w:rFonts w:ascii="Arial" w:cs="Arial" w:eastAsia="Arial" w:hAnsi="Arial"/>
          <w:sz w:val="15"/>
          <w:szCs w:val="15"/>
          <w:i w:val="1"/>
          <w:iCs w:val="1"/>
          <w:color w:val="auto"/>
        </w:rPr>
        <w:t>Series A Shares</w:t>
      </w:r>
      <w:r>
        <w:rPr>
          <w:rFonts w:ascii="Arial" w:cs="Arial" w:eastAsia="Arial" w:hAnsi="Arial"/>
          <w:sz w:val="15"/>
          <w:szCs w:val="15"/>
          <w:color w:val="auto"/>
        </w:rPr>
        <w:t>. A certificate evidencing the Series A Shares purchased by such Purchaser, registered in the name of such Purchaser; and</w:t>
      </w:r>
    </w:p>
    <w:p>
      <w:pPr>
        <w:spacing w:after="0" w:line="205" w:lineRule="exact"/>
        <w:rPr>
          <w:rFonts w:ascii="Arial" w:cs="Arial" w:eastAsia="Arial" w:hAnsi="Arial"/>
          <w:sz w:val="15"/>
          <w:szCs w:val="15"/>
          <w:b w:val="1"/>
          <w:bCs w:val="1"/>
          <w:color w:val="auto"/>
        </w:rPr>
      </w:pPr>
    </w:p>
    <w:p>
      <w:pPr>
        <w:jc w:val="both"/>
        <w:ind w:left="60" w:right="380" w:firstLine="1140"/>
        <w:spacing w:after="0" w:line="257" w:lineRule="auto"/>
        <w:tabs>
          <w:tab w:leader="none" w:pos="1670" w:val="left"/>
        </w:tabs>
        <w:numPr>
          <w:ilvl w:val="0"/>
          <w:numId w:val="146"/>
        </w:numPr>
        <w:rPr>
          <w:rFonts w:ascii="Arial" w:cs="Arial" w:eastAsia="Arial" w:hAnsi="Arial"/>
          <w:sz w:val="16"/>
          <w:szCs w:val="16"/>
          <w:b w:val="1"/>
          <w:bCs w:val="1"/>
          <w:color w:val="auto"/>
        </w:rPr>
      </w:pPr>
      <w:r>
        <w:rPr>
          <w:rFonts w:ascii="Arial" w:cs="Arial" w:eastAsia="Arial" w:hAnsi="Arial"/>
          <w:sz w:val="16"/>
          <w:szCs w:val="16"/>
          <w:i w:val="1"/>
          <w:iCs w:val="1"/>
          <w:color w:val="auto"/>
        </w:rPr>
        <w:t>Option Agreement</w:t>
      </w:r>
      <w:r>
        <w:rPr>
          <w:rFonts w:ascii="Arial" w:cs="Arial" w:eastAsia="Arial" w:hAnsi="Arial"/>
          <w:sz w:val="16"/>
          <w:szCs w:val="16"/>
          <w:color w:val="auto"/>
        </w:rPr>
        <w:t>. An Option Agreement in the form of Exhibit B (“Option Agreement”) granting such Purchaser the option to exchange Series A</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Shares for shares of common stock of LifeMap Sciences, Inc. (“LifeMap”) held by the Company “LifeMap Common Stock”) at the ratio of 12.5 shares of LifeMap Common Stock for each Series A Preferred Share (subject to adjustment as provided in the Option Agreement).</w:t>
      </w:r>
    </w:p>
    <w:p>
      <w:pPr>
        <w:spacing w:after="0" w:line="161" w:lineRule="exact"/>
        <w:rPr>
          <w:sz w:val="20"/>
          <w:szCs w:val="20"/>
          <w:color w:val="auto"/>
        </w:rPr>
      </w:pPr>
    </w:p>
    <w:p>
      <w:pPr>
        <w:ind w:right="500" w:firstLine="567"/>
        <w:spacing w:after="0" w:line="273" w:lineRule="auto"/>
        <w:rPr>
          <w:sz w:val="20"/>
          <w:szCs w:val="20"/>
          <w:color w:val="auto"/>
        </w:rPr>
      </w:pPr>
      <w:r>
        <w:rPr>
          <w:rFonts w:ascii="Arial" w:cs="Arial" w:eastAsia="Arial" w:hAnsi="Arial"/>
          <w:sz w:val="16"/>
          <w:szCs w:val="16"/>
          <w:b w:val="1"/>
          <w:bCs w:val="1"/>
          <w:color w:val="auto"/>
        </w:rPr>
        <w:t>4.3 Conditions of the Company's Obligation to Close</w:t>
      </w:r>
      <w:r>
        <w:rPr>
          <w:rFonts w:ascii="Arial" w:cs="Arial" w:eastAsia="Arial" w:hAnsi="Arial"/>
          <w:sz w:val="16"/>
          <w:szCs w:val="16"/>
          <w:color w:val="auto"/>
        </w:rPr>
        <w:t>. The obligation of the Company to sell the Series A Shares to each Purchaser on each Closing Date is</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conditioned upon the following: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63" w:name="page264"/>
    <w:bookmarkEnd w:id="263"/>
    <w:p>
      <w:pPr>
        <w:ind w:left="1620" w:hanging="420"/>
        <w:spacing w:after="0"/>
        <w:tabs>
          <w:tab w:leader="none" w:pos="1620" w:val="left"/>
        </w:tabs>
        <w:numPr>
          <w:ilvl w:val="0"/>
          <w:numId w:val="147"/>
        </w:numPr>
        <w:rPr>
          <w:rFonts w:ascii="Arial" w:cs="Arial" w:eastAsia="Arial" w:hAnsi="Arial"/>
          <w:sz w:val="16"/>
          <w:szCs w:val="16"/>
          <w:color w:val="auto"/>
        </w:rPr>
      </w:pPr>
      <w:r>
        <w:rPr>
          <w:rFonts w:ascii="Arial" w:cs="Arial" w:eastAsia="Arial" w:hAnsi="Arial"/>
          <w:sz w:val="16"/>
          <w:szCs w:val="16"/>
          <w:i w:val="1"/>
          <w:iCs w:val="1"/>
          <w:color w:val="auto"/>
        </w:rPr>
        <w:t>Payment and Delivery</w:t>
      </w:r>
      <w:r>
        <w:rPr>
          <w:rFonts w:ascii="Arial" w:cs="Arial" w:eastAsia="Arial" w:hAnsi="Arial"/>
          <w:sz w:val="16"/>
          <w:szCs w:val="16"/>
          <w:color w:val="auto"/>
        </w:rPr>
        <w:t>. The Company’s receipt of the Purchase Price for the Series A Shares being sold to such Purchaser;</w:t>
      </w:r>
    </w:p>
    <w:p>
      <w:pPr>
        <w:spacing w:after="0" w:line="194" w:lineRule="exact"/>
        <w:rPr>
          <w:rFonts w:ascii="Arial" w:cs="Arial" w:eastAsia="Arial" w:hAnsi="Arial"/>
          <w:sz w:val="16"/>
          <w:szCs w:val="16"/>
          <w:color w:val="auto"/>
        </w:rPr>
      </w:pPr>
    </w:p>
    <w:p>
      <w:pPr>
        <w:jc w:val="both"/>
        <w:ind w:left="60" w:firstLine="1140"/>
        <w:spacing w:after="0" w:line="257" w:lineRule="auto"/>
        <w:tabs>
          <w:tab w:leader="none" w:pos="1621" w:val="left"/>
        </w:tabs>
        <w:numPr>
          <w:ilvl w:val="0"/>
          <w:numId w:val="147"/>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The representations and warranties made by such Purchaser in ARTICLE 3 of this Agreement shall be true and correct in</w:t>
      </w:r>
      <w:r>
        <w:rPr>
          <w:rFonts w:ascii="Arial" w:cs="Arial" w:eastAsia="Arial" w:hAnsi="Arial"/>
          <w:sz w:val="16"/>
          <w:szCs w:val="16"/>
          <w:i w:val="1"/>
          <w:iCs w:val="1"/>
          <w:color w:val="auto"/>
        </w:rPr>
        <w:t xml:space="preserve"> </w:t>
      </w:r>
      <w:r>
        <w:rPr>
          <w:rFonts w:ascii="Arial" w:cs="Arial" w:eastAsia="Arial" w:hAnsi="Arial"/>
          <w:sz w:val="16"/>
          <w:szCs w:val="16"/>
          <w:color w:val="auto"/>
        </w:rPr>
        <w:t>all material respects when made and on the Closing Date; provided, that any representation and warranty that is itself qualified by a materiality standard shall be true and correct in all respects; and</w:t>
      </w:r>
    </w:p>
    <w:p>
      <w:pPr>
        <w:spacing w:after="0" w:line="165" w:lineRule="exact"/>
        <w:rPr>
          <w:rFonts w:ascii="Arial" w:cs="Arial" w:eastAsia="Arial" w:hAnsi="Arial"/>
          <w:sz w:val="16"/>
          <w:szCs w:val="16"/>
          <w:color w:val="auto"/>
        </w:rPr>
      </w:pPr>
    </w:p>
    <w:p>
      <w:pPr>
        <w:ind w:left="1620" w:hanging="420"/>
        <w:spacing w:after="0"/>
        <w:tabs>
          <w:tab w:leader="none" w:pos="1620"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Performance of Covenants</w:t>
      </w:r>
      <w:r>
        <w:rPr>
          <w:rFonts w:ascii="Arial" w:cs="Arial" w:eastAsia="Arial" w:hAnsi="Arial"/>
          <w:sz w:val="14"/>
          <w:szCs w:val="14"/>
          <w:color w:val="auto"/>
        </w:rPr>
        <w:t>. Such Purchaser shall have fully performed all covenants and agreements required to be performed by such Purchaser on or</w:t>
      </w:r>
    </w:p>
    <w:p>
      <w:pPr>
        <w:spacing w:after="0" w:line="39" w:lineRule="exact"/>
        <w:rPr>
          <w:rFonts w:ascii="Arial" w:cs="Arial" w:eastAsia="Arial" w:hAnsi="Arial"/>
          <w:sz w:val="14"/>
          <w:szCs w:val="14"/>
          <w:color w:val="auto"/>
        </w:rPr>
      </w:pPr>
    </w:p>
    <w:p>
      <w:pPr>
        <w:ind w:left="60"/>
        <w:spacing w:after="0"/>
        <w:rPr>
          <w:rFonts w:ascii="Arial" w:cs="Arial" w:eastAsia="Arial" w:hAnsi="Arial"/>
          <w:sz w:val="14"/>
          <w:szCs w:val="14"/>
          <w:color w:val="auto"/>
        </w:rPr>
      </w:pPr>
      <w:r>
        <w:rPr>
          <w:rFonts w:ascii="Arial" w:cs="Arial" w:eastAsia="Arial" w:hAnsi="Arial"/>
          <w:sz w:val="16"/>
          <w:szCs w:val="16"/>
          <w:color w:val="auto"/>
        </w:rPr>
        <w:t>before the Closing Date.</w:t>
      </w:r>
    </w:p>
    <w:p>
      <w:pPr>
        <w:spacing w:after="0" w:line="179" w:lineRule="exact"/>
        <w:rPr>
          <w:sz w:val="20"/>
          <w:szCs w:val="20"/>
          <w:color w:val="auto"/>
        </w:rPr>
      </w:pPr>
    </w:p>
    <w:p>
      <w:pPr>
        <w:ind w:right="60" w:firstLine="567"/>
        <w:spacing w:after="0" w:line="273" w:lineRule="auto"/>
        <w:rPr>
          <w:sz w:val="20"/>
          <w:szCs w:val="20"/>
          <w:color w:val="auto"/>
        </w:rPr>
      </w:pPr>
      <w:r>
        <w:rPr>
          <w:rFonts w:ascii="Arial" w:cs="Arial" w:eastAsia="Arial" w:hAnsi="Arial"/>
          <w:sz w:val="16"/>
          <w:szCs w:val="16"/>
          <w:b w:val="1"/>
          <w:bCs w:val="1"/>
          <w:color w:val="auto"/>
        </w:rPr>
        <w:t>4.4 Conditions of each Purchaser’s Obligation to Close</w:t>
      </w:r>
      <w:r>
        <w:rPr>
          <w:rFonts w:ascii="Arial" w:cs="Arial" w:eastAsia="Arial" w:hAnsi="Arial"/>
          <w:sz w:val="16"/>
          <w:szCs w:val="16"/>
          <w:color w:val="auto"/>
        </w:rPr>
        <w:t>. The obligation of each Purchaser to purchase the Series A Shares from the Company on any Closing Date</w:t>
      </w:r>
      <w:r>
        <w:rPr>
          <w:rFonts w:ascii="Arial" w:cs="Arial" w:eastAsia="Arial" w:hAnsi="Arial"/>
          <w:sz w:val="16"/>
          <w:szCs w:val="16"/>
          <w:b w:val="1"/>
          <w:bCs w:val="1"/>
          <w:color w:val="auto"/>
        </w:rPr>
        <w:t xml:space="preserve"> </w:t>
      </w:r>
      <w:r>
        <w:rPr>
          <w:rFonts w:ascii="Arial" w:cs="Arial" w:eastAsia="Arial" w:hAnsi="Arial"/>
          <w:sz w:val="16"/>
          <w:szCs w:val="16"/>
          <w:color w:val="auto"/>
        </w:rPr>
        <w:t>is conditioned upon the following:</w:t>
      </w:r>
    </w:p>
    <w:p>
      <w:pPr>
        <w:spacing w:after="0" w:line="153" w:lineRule="exact"/>
        <w:rPr>
          <w:sz w:val="20"/>
          <w:szCs w:val="20"/>
          <w:color w:val="auto"/>
        </w:rPr>
      </w:pPr>
    </w:p>
    <w:p>
      <w:pPr>
        <w:ind w:left="1660" w:hanging="460"/>
        <w:spacing w:after="0"/>
        <w:tabs>
          <w:tab w:leader="none" w:pos="1660" w:val="left"/>
        </w:tabs>
        <w:numPr>
          <w:ilvl w:val="0"/>
          <w:numId w:val="148"/>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Delivery. </w:t>
      </w:r>
      <w:r>
        <w:rPr>
          <w:rFonts w:ascii="Arial" w:cs="Arial" w:eastAsia="Arial" w:hAnsi="Arial"/>
          <w:sz w:val="16"/>
          <w:szCs w:val="16"/>
          <w:color w:val="auto"/>
        </w:rPr>
        <w:t>Such Purchaser's receipt of the items required to be delivered by the Company under Section 4.2.</w:t>
      </w:r>
    </w:p>
    <w:p>
      <w:pPr>
        <w:spacing w:after="0" w:line="194" w:lineRule="exact"/>
        <w:rPr>
          <w:rFonts w:ascii="Arial" w:cs="Arial" w:eastAsia="Arial" w:hAnsi="Arial"/>
          <w:sz w:val="16"/>
          <w:szCs w:val="16"/>
          <w:b w:val="1"/>
          <w:bCs w:val="1"/>
          <w:color w:val="auto"/>
        </w:rPr>
      </w:pPr>
    </w:p>
    <w:p>
      <w:pPr>
        <w:jc w:val="both"/>
        <w:ind w:left="60" w:right="40" w:firstLine="1140"/>
        <w:spacing w:after="0" w:line="276" w:lineRule="auto"/>
        <w:tabs>
          <w:tab w:leader="none" w:pos="1670" w:val="left"/>
        </w:tabs>
        <w:numPr>
          <w:ilvl w:val="0"/>
          <w:numId w:val="148"/>
        </w:numPr>
        <w:rPr>
          <w:rFonts w:ascii="Arial" w:cs="Arial" w:eastAsia="Arial" w:hAnsi="Arial"/>
          <w:sz w:val="15"/>
          <w:szCs w:val="15"/>
          <w:b w:val="1"/>
          <w:bCs w:val="1"/>
          <w:color w:val="auto"/>
        </w:rPr>
      </w:pPr>
      <w:r>
        <w:rPr>
          <w:rFonts w:ascii="Arial" w:cs="Arial" w:eastAsia="Arial" w:hAnsi="Arial"/>
          <w:sz w:val="15"/>
          <w:szCs w:val="15"/>
          <w:i w:val="1"/>
          <w:iCs w:val="1"/>
          <w:color w:val="auto"/>
        </w:rPr>
        <w:t>Representations and Warranties</w:t>
      </w:r>
      <w:r>
        <w:rPr>
          <w:rFonts w:ascii="Arial" w:cs="Arial" w:eastAsia="Arial" w:hAnsi="Arial"/>
          <w:sz w:val="15"/>
          <w:szCs w:val="15"/>
          <w:color w:val="auto"/>
        </w:rPr>
        <w:t>. The representations and warranties made by the Company in ARTICLE 2 of this Agreement shall be true and correct in</w:t>
      </w:r>
      <w:r>
        <w:rPr>
          <w:rFonts w:ascii="Arial" w:cs="Arial" w:eastAsia="Arial" w:hAnsi="Arial"/>
          <w:sz w:val="15"/>
          <w:szCs w:val="15"/>
          <w:i w:val="1"/>
          <w:iCs w:val="1"/>
          <w:color w:val="auto"/>
        </w:rPr>
        <w:t xml:space="preserve"> </w:t>
      </w:r>
      <w:r>
        <w:rPr>
          <w:rFonts w:ascii="Arial" w:cs="Arial" w:eastAsia="Arial" w:hAnsi="Arial"/>
          <w:sz w:val="15"/>
          <w:szCs w:val="15"/>
          <w:color w:val="auto"/>
        </w:rPr>
        <w:t>all material respects when made and on the applicable Closing Date, unless made as of a specific date in which case they shall be accurate as of such date, and such Purchaser shall have received from the Company a certificate, dated as of the Closing Date, to such effect signed by the Chief Executive Officer of the Company; provided, that any representation and warranty that is itself qualified by a materiality standard shall be true and correct in all respects.</w:t>
      </w:r>
    </w:p>
    <w:p>
      <w:pPr>
        <w:spacing w:after="0" w:line="151" w:lineRule="exact"/>
        <w:rPr>
          <w:rFonts w:ascii="Arial" w:cs="Arial" w:eastAsia="Arial" w:hAnsi="Arial"/>
          <w:sz w:val="15"/>
          <w:szCs w:val="15"/>
          <w:b w:val="1"/>
          <w:bCs w:val="1"/>
          <w:color w:val="auto"/>
        </w:rPr>
      </w:pPr>
    </w:p>
    <w:p>
      <w:pPr>
        <w:ind w:left="60" w:right="320" w:firstLine="1140"/>
        <w:spacing w:after="0" w:line="267" w:lineRule="auto"/>
        <w:tabs>
          <w:tab w:leader="none" w:pos="1629" w:val="left"/>
        </w:tabs>
        <w:numPr>
          <w:ilvl w:val="0"/>
          <w:numId w:val="148"/>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Performance. </w:t>
      </w:r>
      <w:r>
        <w:rPr>
          <w:rFonts w:ascii="Arial" w:cs="Arial" w:eastAsia="Arial" w:hAnsi="Arial"/>
          <w:sz w:val="16"/>
          <w:szCs w:val="16"/>
          <w:color w:val="auto"/>
        </w:rPr>
        <w:t>The Company shall have performed and complied with all agreements, obligations and conditions contained in this Agreement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performed or complied with by it on or before the applicable Closing Date.</w:t>
      </w:r>
    </w:p>
    <w:p>
      <w:pPr>
        <w:spacing w:after="0" w:line="157" w:lineRule="exact"/>
        <w:rPr>
          <w:rFonts w:ascii="Arial" w:cs="Arial" w:eastAsia="Arial" w:hAnsi="Arial"/>
          <w:sz w:val="16"/>
          <w:szCs w:val="16"/>
          <w:b w:val="1"/>
          <w:bCs w:val="1"/>
          <w:color w:val="auto"/>
        </w:rPr>
      </w:pPr>
    </w:p>
    <w:p>
      <w:pPr>
        <w:jc w:val="both"/>
        <w:ind w:left="60" w:right="640" w:firstLine="1140"/>
        <w:spacing w:after="0" w:line="311" w:lineRule="auto"/>
        <w:tabs>
          <w:tab w:leader="none" w:pos="1670" w:val="left"/>
        </w:tabs>
        <w:numPr>
          <w:ilvl w:val="0"/>
          <w:numId w:val="148"/>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Bankruptcy; Insolvency. </w:t>
      </w:r>
      <w:r>
        <w:rPr>
          <w:rFonts w:ascii="Arial" w:cs="Arial" w:eastAsia="Arial" w:hAnsi="Arial"/>
          <w:sz w:val="14"/>
          <w:szCs w:val="14"/>
          <w:color w:val="auto"/>
        </w:rPr>
        <w:t>The Company shall not be subject to (i) any order for relief, or subject to any pending proceeding for reorganization or</w:t>
      </w:r>
      <w:r>
        <w:rPr>
          <w:rFonts w:ascii="Arial" w:cs="Arial" w:eastAsia="Arial" w:hAnsi="Arial"/>
          <w:sz w:val="14"/>
          <w:szCs w:val="14"/>
          <w:i w:val="1"/>
          <w:iCs w:val="1"/>
          <w:color w:val="auto"/>
        </w:rPr>
        <w:t xml:space="preserve"> </w:t>
      </w:r>
      <w:r>
        <w:rPr>
          <w:rFonts w:ascii="Arial" w:cs="Arial" w:eastAsia="Arial" w:hAnsi="Arial"/>
          <w:sz w:val="14"/>
          <w:szCs w:val="14"/>
          <w:color w:val="auto"/>
        </w:rPr>
        <w:t>liquidation, under the United States Bankruptcy Code, as amended, or under any other law pertaining to insolvency of the Company or creditor’s rights generally, (ii) any appointment of a receiver for the Company or any of its assets, or (iii) any plan or action of dissolution or liquidation of the Company or its business.</w:t>
      </w:r>
    </w:p>
    <w:p>
      <w:pPr>
        <w:spacing w:after="0" w:line="130" w:lineRule="exact"/>
        <w:rPr>
          <w:rFonts w:ascii="Arial" w:cs="Arial" w:eastAsia="Arial" w:hAnsi="Arial"/>
          <w:sz w:val="14"/>
          <w:szCs w:val="14"/>
          <w:b w:val="1"/>
          <w:bCs w:val="1"/>
          <w:color w:val="auto"/>
        </w:rPr>
      </w:pPr>
    </w:p>
    <w:p>
      <w:pPr>
        <w:ind w:left="1680" w:hanging="480"/>
        <w:spacing w:after="0"/>
        <w:tabs>
          <w:tab w:leader="none" w:pos="1680" w:val="left"/>
        </w:tabs>
        <w:numPr>
          <w:ilvl w:val="0"/>
          <w:numId w:val="148"/>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No Material Adverse </w:t>
      </w:r>
      <w:r>
        <w:rPr>
          <w:rFonts w:ascii="Arial" w:cs="Arial" w:eastAsia="Arial" w:hAnsi="Arial"/>
          <w:sz w:val="16"/>
          <w:szCs w:val="16"/>
          <w:color w:val="auto"/>
        </w:rPr>
        <w:t>Event. No Material Adverse Event shall have occurred since December 31, 2013.</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64" w:name="page265"/>
    <w:bookmarkEnd w:id="264"/>
    <w:p>
      <w:pPr>
        <w:jc w:val="center"/>
        <w:ind w:right="-39"/>
        <w:spacing w:after="0"/>
        <w:rPr>
          <w:sz w:val="20"/>
          <w:szCs w:val="20"/>
          <w:color w:val="auto"/>
        </w:rPr>
      </w:pPr>
      <w:r>
        <w:rPr>
          <w:rFonts w:ascii="Arial" w:cs="Arial" w:eastAsia="Arial" w:hAnsi="Arial"/>
          <w:sz w:val="16"/>
          <w:szCs w:val="16"/>
          <w:b w:val="1"/>
          <w:bCs w:val="1"/>
          <w:color w:val="auto"/>
        </w:rPr>
        <w:t>ARTICLE 5.</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ADDITIONAL COVENANTS</w:t>
      </w:r>
    </w:p>
    <w:p>
      <w:pPr>
        <w:spacing w:after="0" w:line="203" w:lineRule="exact"/>
        <w:rPr>
          <w:sz w:val="20"/>
          <w:szCs w:val="20"/>
          <w:color w:val="auto"/>
        </w:rPr>
      </w:pPr>
    </w:p>
    <w:p>
      <w:pPr>
        <w:ind w:right="100" w:firstLine="567"/>
        <w:spacing w:after="0" w:line="273" w:lineRule="auto"/>
        <w:rPr>
          <w:sz w:val="20"/>
          <w:szCs w:val="20"/>
          <w:color w:val="auto"/>
        </w:rPr>
      </w:pPr>
      <w:r>
        <w:rPr>
          <w:rFonts w:ascii="Arial" w:cs="Arial" w:eastAsia="Arial" w:hAnsi="Arial"/>
          <w:sz w:val="16"/>
          <w:szCs w:val="16"/>
          <w:b w:val="1"/>
          <w:bCs w:val="1"/>
          <w:color w:val="auto"/>
        </w:rPr>
        <w:t xml:space="preserve">5.1 Use of Proceeds. </w:t>
      </w:r>
      <w:r>
        <w:rPr>
          <w:rFonts w:ascii="Arial" w:cs="Arial" w:eastAsia="Arial" w:hAnsi="Arial"/>
          <w:sz w:val="16"/>
          <w:szCs w:val="16"/>
          <w:color w:val="auto"/>
        </w:rPr>
        <w:t>The Company agrees that a substantial portion of the net proceeds from the sale of the Series A Shares will be used to purchase capital stock in</w:t>
      </w:r>
      <w:r>
        <w:rPr>
          <w:rFonts w:ascii="Arial" w:cs="Arial" w:eastAsia="Arial" w:hAnsi="Arial"/>
          <w:sz w:val="16"/>
          <w:szCs w:val="16"/>
          <w:b w:val="1"/>
          <w:bCs w:val="1"/>
          <w:color w:val="auto"/>
        </w:rPr>
        <w:t xml:space="preserve"> </w:t>
      </w:r>
      <w:r>
        <w:rPr>
          <w:rFonts w:ascii="Arial" w:cs="Arial" w:eastAsia="Arial" w:hAnsi="Arial"/>
          <w:sz w:val="16"/>
          <w:szCs w:val="16"/>
          <w:color w:val="auto"/>
        </w:rPr>
        <w:t>LifeMap for the purpose of financing product development and marketing by LifeMap, directly or through a LifeMap subsidiary.</w:t>
      </w:r>
    </w:p>
    <w:p>
      <w:pPr>
        <w:spacing w:after="0" w:line="172" w:lineRule="exact"/>
        <w:rPr>
          <w:sz w:val="20"/>
          <w:szCs w:val="20"/>
          <w:color w:val="auto"/>
        </w:rPr>
      </w:pPr>
    </w:p>
    <w:p>
      <w:pPr>
        <w:ind w:right="180" w:firstLine="567"/>
        <w:spacing w:after="0" w:line="307" w:lineRule="auto"/>
        <w:rPr>
          <w:sz w:val="20"/>
          <w:szCs w:val="20"/>
          <w:color w:val="auto"/>
        </w:rPr>
      </w:pPr>
      <w:r>
        <w:rPr>
          <w:rFonts w:ascii="Arial" w:cs="Arial" w:eastAsia="Arial" w:hAnsi="Arial"/>
          <w:sz w:val="15"/>
          <w:szCs w:val="15"/>
          <w:b w:val="1"/>
          <w:bCs w:val="1"/>
          <w:color w:val="auto"/>
        </w:rPr>
        <w:t xml:space="preserve">5.2 Further Assurances. </w:t>
      </w:r>
      <w:r>
        <w:rPr>
          <w:rFonts w:ascii="Arial" w:cs="Arial" w:eastAsia="Arial" w:hAnsi="Arial"/>
          <w:sz w:val="15"/>
          <w:szCs w:val="15"/>
          <w:color w:val="auto"/>
        </w:rPr>
        <w:t>Each party will execute, acknowledge, and deliver such additional certificates and documents and will take such additional actions as the</w:t>
      </w:r>
      <w:r>
        <w:rPr>
          <w:rFonts w:ascii="Arial" w:cs="Arial" w:eastAsia="Arial" w:hAnsi="Arial"/>
          <w:sz w:val="15"/>
          <w:szCs w:val="15"/>
          <w:b w:val="1"/>
          <w:bCs w:val="1"/>
          <w:color w:val="auto"/>
        </w:rPr>
        <w:t xml:space="preserve"> </w:t>
      </w:r>
      <w:r>
        <w:rPr>
          <w:rFonts w:ascii="Arial" w:cs="Arial" w:eastAsia="Arial" w:hAnsi="Arial"/>
          <w:sz w:val="15"/>
          <w:szCs w:val="15"/>
          <w:color w:val="auto"/>
        </w:rPr>
        <w:t>other party may reasonably request on or after a Closing Date to effect, complete or perfect the issue and sale of the Series A Shares to each Purchaser.</w:t>
      </w:r>
    </w:p>
    <w:p>
      <w:pPr>
        <w:spacing w:after="0" w:line="126" w:lineRule="exact"/>
        <w:rPr>
          <w:sz w:val="20"/>
          <w:szCs w:val="20"/>
          <w:color w:val="auto"/>
        </w:rPr>
      </w:pPr>
    </w:p>
    <w:p>
      <w:pPr>
        <w:ind w:firstLine="567"/>
        <w:spacing w:after="0" w:line="274" w:lineRule="auto"/>
        <w:rPr>
          <w:sz w:val="20"/>
          <w:szCs w:val="20"/>
          <w:color w:val="auto"/>
        </w:rPr>
      </w:pPr>
      <w:r>
        <w:rPr>
          <w:rFonts w:ascii="Arial" w:cs="Arial" w:eastAsia="Arial" w:hAnsi="Arial"/>
          <w:sz w:val="15"/>
          <w:szCs w:val="15"/>
          <w:b w:val="1"/>
          <w:bCs w:val="1"/>
          <w:color w:val="auto"/>
        </w:rPr>
        <w:t>5.3 Purchasers’ Market Activity</w:t>
      </w:r>
      <w:r>
        <w:rPr>
          <w:rFonts w:ascii="Arial" w:cs="Arial" w:eastAsia="Arial" w:hAnsi="Arial"/>
          <w:sz w:val="15"/>
          <w:szCs w:val="15"/>
          <w:color w:val="auto"/>
        </w:rPr>
        <w:t>. Each Purchaser agrees that such Purchaser shall not, prior to the public announcement by the Company that it has entered into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engage in any stabilization activity in connection with the Company’s common shares, or otherwise bid for or engage in any purchase or sale, including any short sale (as defined in SEC Rule SHO) of the Company’s common shares, directly or through or in arrangement with and any entity in control of, controlled by, or under common control with such Purchaser. Each Purchaser covenants and agrees that until such time as the transactions contemplated by this Agreement are publicly disclosed by the Company pursuant to a press release, such Purchaser will maintain the confidentiality of the existence and terms of this Agreement.</w:t>
      </w:r>
    </w:p>
    <w:p>
      <w:pPr>
        <w:spacing w:after="0" w:line="150" w:lineRule="exact"/>
        <w:rPr>
          <w:sz w:val="20"/>
          <w:szCs w:val="20"/>
          <w:color w:val="auto"/>
        </w:rPr>
      </w:pPr>
    </w:p>
    <w:p>
      <w:pPr>
        <w:ind w:right="80" w:firstLine="567"/>
        <w:spacing w:after="0" w:line="255" w:lineRule="auto"/>
        <w:rPr>
          <w:sz w:val="20"/>
          <w:szCs w:val="20"/>
          <w:color w:val="auto"/>
        </w:rPr>
      </w:pPr>
      <w:r>
        <w:rPr>
          <w:rFonts w:ascii="Arial" w:cs="Arial" w:eastAsia="Arial" w:hAnsi="Arial"/>
          <w:sz w:val="16"/>
          <w:szCs w:val="16"/>
          <w:b w:val="1"/>
          <w:bCs w:val="1"/>
          <w:color w:val="auto"/>
        </w:rPr>
        <w:t xml:space="preserve">5.4 Publicity. </w:t>
      </w:r>
      <w:r>
        <w:rPr>
          <w:rFonts w:ascii="Arial" w:cs="Arial" w:eastAsia="Arial" w:hAnsi="Arial"/>
          <w:sz w:val="16"/>
          <w:szCs w:val="16"/>
          <w:color w:val="auto"/>
        </w:rPr>
        <w:t>No Purchaser shall issue any press release or make any similar public statement or communication disclosing the terms of this Agreement or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hereunder without the prior written consent of the Company, provided that the Company’s consent shall not unreasonably be withheld or delayed if such disclosure is required by law and such Purchaser shall have provided the Company with a copy of the proposed press release or other public statement or communication a reasonable time prior to the public release or dissemination thereof.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6.</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MISCELLANEOUS</w:t>
      </w:r>
    </w:p>
    <w:p>
      <w:pPr>
        <w:spacing w:after="0" w:line="179" w:lineRule="exact"/>
        <w:rPr>
          <w:sz w:val="20"/>
          <w:szCs w:val="20"/>
          <w:color w:val="auto"/>
        </w:rPr>
      </w:pPr>
    </w:p>
    <w:p>
      <w:pPr>
        <w:ind w:firstLine="567"/>
        <w:spacing w:after="0" w:line="255" w:lineRule="auto"/>
        <w:rPr>
          <w:sz w:val="20"/>
          <w:szCs w:val="20"/>
          <w:color w:val="auto"/>
        </w:rPr>
      </w:pPr>
      <w:r>
        <w:rPr>
          <w:rFonts w:ascii="Arial" w:cs="Arial" w:eastAsia="Arial" w:hAnsi="Arial"/>
          <w:sz w:val="16"/>
          <w:szCs w:val="16"/>
          <w:b w:val="1"/>
          <w:bCs w:val="1"/>
          <w:color w:val="auto"/>
        </w:rPr>
        <w:t>6.1 Governing Law</w:t>
      </w:r>
      <w:r>
        <w:rPr>
          <w:rFonts w:ascii="Arial" w:cs="Arial" w:eastAsia="Arial" w:hAnsi="Arial"/>
          <w:sz w:val="16"/>
          <w:szCs w:val="16"/>
          <w:color w:val="auto"/>
        </w:rPr>
        <w:t>. This Agreement shall be construed and governed in all respects by the internal laws of the State of California without giving effect to any choice</w:t>
      </w:r>
      <w:r>
        <w:rPr>
          <w:rFonts w:ascii="Arial" w:cs="Arial" w:eastAsia="Arial" w:hAnsi="Arial"/>
          <w:sz w:val="16"/>
          <w:szCs w:val="16"/>
          <w:b w:val="1"/>
          <w:bCs w:val="1"/>
          <w:color w:val="auto"/>
        </w:rPr>
        <w:t xml:space="preserve"> </w:t>
      </w:r>
      <w:r>
        <w:rPr>
          <w:rFonts w:ascii="Arial" w:cs="Arial" w:eastAsia="Arial" w:hAnsi="Arial"/>
          <w:sz w:val="16"/>
          <w:szCs w:val="16"/>
          <w:color w:val="auto"/>
        </w:rPr>
        <w:t>of law rule that would cause the application of the laws of any jurisdiction other than the internal laws of the State of California to the rights and duties of the parties. All disputes and controversies arising out of or in connection with this Agreement shall be resolved non-exclusively by the state and federal courts located in the State of New York and the State of California, and each party agrees to submit to the jurisdiction of said courts.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265" w:name="page266"/>
    <w:bookmarkEnd w:id="265"/>
    <w:p>
      <w:pPr>
        <w:ind w:right="180" w:firstLine="567"/>
        <w:spacing w:after="0" w:line="259" w:lineRule="auto"/>
        <w:rPr>
          <w:sz w:val="20"/>
          <w:szCs w:val="20"/>
          <w:color w:val="auto"/>
        </w:rPr>
      </w:pPr>
      <w:r>
        <w:rPr>
          <w:rFonts w:ascii="Arial" w:cs="Arial" w:eastAsia="Arial" w:hAnsi="Arial"/>
          <w:sz w:val="16"/>
          <w:szCs w:val="16"/>
          <w:b w:val="1"/>
          <w:bCs w:val="1"/>
          <w:color w:val="auto"/>
        </w:rPr>
        <w:t>6.2 Successors and Assigns</w:t>
      </w:r>
      <w:r>
        <w:rPr>
          <w:rFonts w:ascii="Arial" w:cs="Arial" w:eastAsia="Arial" w:hAnsi="Arial"/>
          <w:sz w:val="16"/>
          <w:szCs w:val="16"/>
          <w:color w:val="auto"/>
        </w:rPr>
        <w:t>. The parties may not assign their rights or obligations under this Agreement, directly or by operation of law, without the consent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party. The provisions of this Agreement shall inure to the benefit of, and be binding upon, the respective successors, assigns, heirs, executors and administrators of each Purchaser and the Company.</w:t>
      </w:r>
    </w:p>
    <w:p>
      <w:pPr>
        <w:spacing w:after="0" w:line="161" w:lineRule="exact"/>
        <w:rPr>
          <w:sz w:val="20"/>
          <w:szCs w:val="20"/>
          <w:color w:val="auto"/>
        </w:rPr>
      </w:pPr>
    </w:p>
    <w:p>
      <w:pPr>
        <w:jc w:val="both"/>
        <w:ind w:right="240" w:firstLine="567"/>
        <w:spacing w:after="0" w:line="259" w:lineRule="auto"/>
        <w:rPr>
          <w:sz w:val="20"/>
          <w:szCs w:val="20"/>
          <w:color w:val="auto"/>
        </w:rPr>
      </w:pPr>
      <w:r>
        <w:rPr>
          <w:rFonts w:ascii="Arial" w:cs="Arial" w:eastAsia="Arial" w:hAnsi="Arial"/>
          <w:sz w:val="16"/>
          <w:szCs w:val="16"/>
          <w:b w:val="1"/>
          <w:bCs w:val="1"/>
          <w:color w:val="auto"/>
        </w:rPr>
        <w:t>6.3 Entire Agreement; Amendment</w:t>
      </w:r>
      <w:r>
        <w:rPr>
          <w:rFonts w:ascii="Arial" w:cs="Arial" w:eastAsia="Arial" w:hAnsi="Arial"/>
          <w:sz w:val="16"/>
          <w:szCs w:val="16"/>
          <w:color w:val="auto"/>
        </w:rPr>
        <w:t>. The Transaction Documents constitute the full and entire understanding and agreement among the parties with regard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matter of the Transaction Documents. This Agreement and any term of this Agreement may be amended, waived, discharged or terminated only by a written instrument signed by the parties.</w:t>
      </w:r>
    </w:p>
    <w:p>
      <w:pPr>
        <w:spacing w:after="0" w:line="161" w:lineRule="exact"/>
        <w:rPr>
          <w:sz w:val="20"/>
          <w:szCs w:val="20"/>
          <w:color w:val="auto"/>
        </w:rPr>
      </w:pPr>
    </w:p>
    <w:p>
      <w:pPr>
        <w:ind w:right="40" w:firstLine="567"/>
        <w:spacing w:after="0" w:line="253" w:lineRule="auto"/>
        <w:rPr>
          <w:sz w:val="20"/>
          <w:szCs w:val="20"/>
          <w:color w:val="auto"/>
        </w:rPr>
      </w:pPr>
      <w:r>
        <w:rPr>
          <w:rFonts w:ascii="Arial" w:cs="Arial" w:eastAsia="Arial" w:hAnsi="Arial"/>
          <w:sz w:val="16"/>
          <w:szCs w:val="16"/>
          <w:b w:val="1"/>
          <w:bCs w:val="1"/>
          <w:color w:val="auto"/>
        </w:rPr>
        <w:t xml:space="preserve">6.4 Notices, etc. </w:t>
      </w:r>
      <w:r>
        <w:rPr>
          <w:rFonts w:ascii="Arial" w:cs="Arial" w:eastAsia="Arial" w:hAnsi="Arial"/>
          <w:sz w:val="16"/>
          <w:szCs w:val="16"/>
          <w:color w:val="auto"/>
        </w:rPr>
        <w:t>All notices and other communications required or permitted to be given pursuant to this Agreement shall be in writing and shall be deemed given (a)</w:t>
      </w:r>
      <w:r>
        <w:rPr>
          <w:rFonts w:ascii="Arial" w:cs="Arial" w:eastAsia="Arial" w:hAnsi="Arial"/>
          <w:sz w:val="16"/>
          <w:szCs w:val="16"/>
          <w:b w:val="1"/>
          <w:bCs w:val="1"/>
          <w:color w:val="auto"/>
        </w:rPr>
        <w:t xml:space="preserve"> </w:t>
      </w:r>
      <w:r>
        <w:rPr>
          <w:rFonts w:ascii="Arial" w:cs="Arial" w:eastAsia="Arial" w:hAnsi="Arial"/>
          <w:sz w:val="16"/>
          <w:szCs w:val="16"/>
          <w:color w:val="auto"/>
        </w:rPr>
        <w:t>four (4) days after being deposited in the United States mail, certified postage prepaid, return receipt requested, or (b) when delivered by hand, by messenger or next Business Day air freight service, or (c) on the date of facsimile transmission (FAX) or electronic mail (email) if sent at or prior to 5:30 p.m. (New York City time) on a Business Day, or the next Business Day after the date of facsimile or email transmission, if sent on a day that is not a Business Day or later than 5:30 p.m. (New York City time) on a Business Day, in any case addressed as follows:</w:t>
      </w:r>
    </w:p>
    <w:p>
      <w:pPr>
        <w:sectPr>
          <w:pgSz w:w="11900" w:h="16838" w:orient="portrait"/>
          <w:cols w:equalWidth="0" w:num="1">
            <w:col w:w="11420"/>
          </w:cols>
          <w:pgMar w:left="240" w:top="123" w:right="239" w:bottom="1440" w:gutter="0" w:footer="0" w:header="0"/>
        </w:sectPr>
      </w:pPr>
    </w:p>
    <w:p>
      <w:pPr>
        <w:spacing w:after="0" w:line="192" w:lineRule="exact"/>
        <w:rPr>
          <w:sz w:val="20"/>
          <w:szCs w:val="20"/>
          <w:color w:val="auto"/>
        </w:rPr>
      </w:pPr>
    </w:p>
    <w:p>
      <w:pPr>
        <w:jc w:val="center"/>
        <w:ind w:left="700"/>
        <w:spacing w:after="0"/>
        <w:rPr>
          <w:sz w:val="20"/>
          <w:szCs w:val="20"/>
          <w:color w:val="auto"/>
        </w:rPr>
      </w:pPr>
      <w:r>
        <w:rPr>
          <w:rFonts w:ascii="Arial" w:cs="Arial" w:eastAsia="Arial" w:hAnsi="Arial"/>
          <w:sz w:val="12"/>
          <w:szCs w:val="12"/>
          <w:color w:val="auto"/>
        </w:rPr>
        <w:t>To any Purchaser: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At the address or FAX number or email address of such Purchaser shown on the signature page of this Agreement</w:t>
      </w:r>
    </w:p>
    <w:p>
      <w:pPr>
        <w:spacing w:after="0" w:line="158" w:lineRule="exact"/>
        <w:rPr>
          <w:sz w:val="20"/>
          <w:szCs w:val="20"/>
          <w:color w:val="auto"/>
        </w:rPr>
      </w:pPr>
    </w:p>
    <w:p>
      <w:pPr>
        <w:sectPr>
          <w:pgSz w:w="11900" w:h="16838" w:orient="portrait"/>
          <w:cols w:equalWidth="0" w:num="2">
            <w:col w:w="5000" w:space="720"/>
            <w:col w:w="5700"/>
          </w:cols>
          <w:pgMar w:left="240" w:top="123" w:right="239" w:bottom="1440" w:gutter="0" w:footer="0" w:header="0"/>
          <w:type w:val="continuous"/>
        </w:sectPr>
      </w:pPr>
    </w:p>
    <w:p>
      <w:pPr>
        <w:jc w:val="center"/>
        <w:ind w:left="660"/>
        <w:spacing w:after="0"/>
        <w:rPr>
          <w:sz w:val="20"/>
          <w:szCs w:val="20"/>
          <w:color w:val="auto"/>
        </w:rPr>
      </w:pPr>
      <w:r>
        <w:rPr>
          <w:rFonts w:ascii="Arial" w:cs="Arial" w:eastAsia="Arial" w:hAnsi="Arial"/>
          <w:sz w:val="14"/>
          <w:szCs w:val="14"/>
          <w:color w:val="auto"/>
        </w:rPr>
        <w:t>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BioTime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1301 Harbor Bay Parkway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Alameda, California 94502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FAX: (510) 521- 3389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Email: rpeabody@biotimemail.com</w:t>
      </w:r>
    </w:p>
    <w:p>
      <w:pPr>
        <w:spacing w:after="0" w:line="200" w:lineRule="exact"/>
        <w:rPr>
          <w:sz w:val="20"/>
          <w:szCs w:val="20"/>
          <w:color w:val="auto"/>
        </w:rPr>
      </w:pPr>
    </w:p>
    <w:p>
      <w:pPr>
        <w:sectPr>
          <w:pgSz w:w="11900" w:h="16838" w:orient="portrait"/>
          <w:cols w:equalWidth="0" w:num="2">
            <w:col w:w="5000" w:space="720"/>
            <w:col w:w="5700"/>
          </w:cols>
          <w:pgMar w:left="240" w:top="123" w:right="239" w:bottom="1440" w:gutter="0" w:footer="0" w:header="0"/>
          <w:type w:val="continuous"/>
        </w:sectPr>
      </w:pP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party may change its address for the purpose of this Agreement by giving notice to each other party in accordance with this Section.</w:t>
      </w:r>
    </w:p>
    <w:p>
      <w:pPr>
        <w:spacing w:after="0" w:line="190" w:lineRule="exact"/>
        <w:rPr>
          <w:sz w:val="20"/>
          <w:szCs w:val="20"/>
          <w:color w:val="auto"/>
        </w:rPr>
      </w:pPr>
    </w:p>
    <w:p>
      <w:pPr>
        <w:ind w:right="80" w:firstLine="567"/>
        <w:spacing w:after="0" w:line="285" w:lineRule="auto"/>
        <w:rPr>
          <w:sz w:val="20"/>
          <w:szCs w:val="20"/>
          <w:color w:val="auto"/>
        </w:rPr>
      </w:pPr>
      <w:r>
        <w:rPr>
          <w:rFonts w:ascii="Arial" w:cs="Arial" w:eastAsia="Arial" w:hAnsi="Arial"/>
          <w:sz w:val="15"/>
          <w:szCs w:val="15"/>
          <w:b w:val="1"/>
          <w:bCs w:val="1"/>
          <w:color w:val="auto"/>
        </w:rPr>
        <w:t>6.5 Expenses</w:t>
      </w:r>
      <w:r>
        <w:rPr>
          <w:rFonts w:ascii="Arial" w:cs="Arial" w:eastAsia="Arial" w:hAnsi="Arial"/>
          <w:sz w:val="15"/>
          <w:szCs w:val="15"/>
          <w:color w:val="auto"/>
        </w:rPr>
        <w:t>. Each Purchaser and the Company shall bear their own expenses, including fees and expenses of their own advisers, counsel, accountants and other</w:t>
      </w:r>
      <w:r>
        <w:rPr>
          <w:rFonts w:ascii="Arial" w:cs="Arial" w:eastAsia="Arial" w:hAnsi="Arial"/>
          <w:sz w:val="15"/>
          <w:szCs w:val="15"/>
          <w:b w:val="1"/>
          <w:bCs w:val="1"/>
          <w:color w:val="auto"/>
        </w:rPr>
        <w:t xml:space="preserve"> </w:t>
      </w:r>
      <w:r>
        <w:rPr>
          <w:rFonts w:ascii="Arial" w:cs="Arial" w:eastAsia="Arial" w:hAnsi="Arial"/>
          <w:sz w:val="15"/>
          <w:szCs w:val="15"/>
          <w:color w:val="auto"/>
        </w:rPr>
        <w:t>experts, if any, and all other expenses incurred by the party incident to the negotiation, preparation, execution, delivery and performance of this Agreement. The Company shall pay all stamp taxes and other taxes and duties levied in connection with the delivery of the Series A Shares to each Purchaser.</w:t>
      </w:r>
    </w:p>
    <w:p>
      <w:pPr>
        <w:spacing w:after="0" w:line="142" w:lineRule="exact"/>
        <w:rPr>
          <w:sz w:val="20"/>
          <w:szCs w:val="20"/>
          <w:color w:val="auto"/>
        </w:rPr>
      </w:pPr>
    </w:p>
    <w:p>
      <w:pPr>
        <w:ind w:right="140" w:firstLine="567"/>
        <w:spacing w:after="0" w:line="273" w:lineRule="auto"/>
        <w:rPr>
          <w:sz w:val="20"/>
          <w:szCs w:val="20"/>
          <w:color w:val="auto"/>
        </w:rPr>
      </w:pPr>
      <w:r>
        <w:rPr>
          <w:rFonts w:ascii="Arial" w:cs="Arial" w:eastAsia="Arial" w:hAnsi="Arial"/>
          <w:sz w:val="16"/>
          <w:szCs w:val="16"/>
          <w:b w:val="1"/>
          <w:bCs w:val="1"/>
          <w:color w:val="auto"/>
        </w:rPr>
        <w:t>6.6 Brokers</w:t>
      </w:r>
      <w:r>
        <w:rPr>
          <w:rFonts w:ascii="Arial" w:cs="Arial" w:eastAsia="Arial" w:hAnsi="Arial"/>
          <w:sz w:val="16"/>
          <w:szCs w:val="16"/>
          <w:color w:val="auto"/>
        </w:rPr>
        <w:t>. No Purchaser shall have any liability to any broker, finder, investment banker, or other advisor retained or engaged by the Company or any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in connection with the transactions contemplated by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266" w:name="page267"/>
    <w:bookmarkEnd w:id="266"/>
    <w:p>
      <w:pPr>
        <w:ind w:right="140" w:firstLine="567"/>
        <w:spacing w:after="0" w:line="273" w:lineRule="auto"/>
        <w:rPr>
          <w:sz w:val="20"/>
          <w:szCs w:val="20"/>
          <w:color w:val="auto"/>
        </w:rPr>
      </w:pPr>
      <w:r>
        <w:rPr>
          <w:rFonts w:ascii="Arial" w:cs="Arial" w:eastAsia="Arial" w:hAnsi="Arial"/>
          <w:sz w:val="16"/>
          <w:szCs w:val="16"/>
          <w:b w:val="1"/>
          <w:bCs w:val="1"/>
          <w:color w:val="auto"/>
        </w:rPr>
        <w:t>6.7 Titles and Subtitles</w:t>
      </w:r>
      <w:r>
        <w:rPr>
          <w:rFonts w:ascii="Arial" w:cs="Arial" w:eastAsia="Arial" w:hAnsi="Arial"/>
          <w:sz w:val="16"/>
          <w:szCs w:val="16"/>
          <w:color w:val="auto"/>
        </w:rPr>
        <w:t>. The titles or headings of the Articles and Sections of this Agreement are for convenience of reference only and are not to be considered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construing this Agreement.</w:t>
      </w:r>
    </w:p>
    <w:p>
      <w:pPr>
        <w:spacing w:after="0" w:line="149" w:lineRule="exact"/>
        <w:rPr>
          <w:sz w:val="20"/>
          <w:szCs w:val="20"/>
          <w:color w:val="auto"/>
        </w:rPr>
      </w:pPr>
    </w:p>
    <w:p>
      <w:pPr>
        <w:ind w:firstLine="567"/>
        <w:spacing w:after="0" w:line="259" w:lineRule="auto"/>
        <w:rPr>
          <w:sz w:val="20"/>
          <w:szCs w:val="20"/>
          <w:color w:val="auto"/>
        </w:rPr>
      </w:pPr>
      <w:r>
        <w:rPr>
          <w:rFonts w:ascii="Arial" w:cs="Arial" w:eastAsia="Arial" w:hAnsi="Arial"/>
          <w:sz w:val="16"/>
          <w:szCs w:val="16"/>
          <w:b w:val="1"/>
          <w:bCs w:val="1"/>
          <w:color w:val="auto"/>
        </w:rPr>
        <w:t>6.8 Severability</w:t>
      </w:r>
      <w:r>
        <w:rPr>
          <w:rFonts w:ascii="Arial" w:cs="Arial" w:eastAsia="Arial" w:hAnsi="Arial"/>
          <w:sz w:val="16"/>
          <w:szCs w:val="16"/>
          <w:color w:val="auto"/>
        </w:rPr>
        <w:t>. If one or more provisions of this Agreement are held to be unenforceable under applicable law, each such unenforceable provision shall be excluded</w:t>
      </w:r>
      <w:r>
        <w:rPr>
          <w:rFonts w:ascii="Arial" w:cs="Arial" w:eastAsia="Arial" w:hAnsi="Arial"/>
          <w:sz w:val="16"/>
          <w:szCs w:val="16"/>
          <w:b w:val="1"/>
          <w:bCs w:val="1"/>
          <w:color w:val="auto"/>
        </w:rPr>
        <w:t xml:space="preserve"> </w:t>
      </w:r>
      <w:r>
        <w:rPr>
          <w:rFonts w:ascii="Arial" w:cs="Arial" w:eastAsia="Arial" w:hAnsi="Arial"/>
          <w:sz w:val="16"/>
          <w:szCs w:val="16"/>
          <w:color w:val="auto"/>
        </w:rPr>
        <w:t>from this Agreement and the balance of this Agreement shall be interpreted as if each such unenforceable provision were so excluded, and the balance of this Agreement as so interpreted shall be enforceable in accordance with its terms.</w:t>
      </w:r>
    </w:p>
    <w:p>
      <w:pPr>
        <w:spacing w:after="0" w:line="161" w:lineRule="exact"/>
        <w:rPr>
          <w:sz w:val="20"/>
          <w:szCs w:val="20"/>
          <w:color w:val="auto"/>
        </w:rPr>
      </w:pPr>
    </w:p>
    <w:p>
      <w:pPr>
        <w:ind w:right="100" w:firstLine="567"/>
        <w:spacing w:after="0" w:line="255" w:lineRule="auto"/>
        <w:rPr>
          <w:sz w:val="20"/>
          <w:szCs w:val="20"/>
          <w:color w:val="auto"/>
        </w:rPr>
      </w:pPr>
      <w:r>
        <w:rPr>
          <w:rFonts w:ascii="Arial" w:cs="Arial" w:eastAsia="Arial" w:hAnsi="Arial"/>
          <w:sz w:val="16"/>
          <w:szCs w:val="16"/>
          <w:b w:val="1"/>
          <w:bCs w:val="1"/>
          <w:color w:val="auto"/>
        </w:rPr>
        <w:t>6.9 Counterparts</w:t>
      </w:r>
      <w:r>
        <w:rPr>
          <w:rFonts w:ascii="Arial" w:cs="Arial" w:eastAsia="Arial" w:hAnsi="Arial"/>
          <w:sz w:val="16"/>
          <w:szCs w:val="16"/>
          <w:color w:val="auto"/>
        </w:rPr>
        <w:t>. This Agreement may be executed in any number of counterparts, each of which shall be an original, but all of which together shall constitute one</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 This Agreement may be executed with signatures transmitted among the parties by facsimile or by email delivery of a pdf format data file, and no party shall deny the validity of a signature or this Agreement signed and so transmitted on the basis that a signed document is represented by a copy or facsimile or pdf forma data file and not an original.</w:t>
      </w:r>
    </w:p>
    <w:p>
      <w:pPr>
        <w:spacing w:after="0" w:line="163" w:lineRule="exact"/>
        <w:rPr>
          <w:sz w:val="20"/>
          <w:szCs w:val="20"/>
          <w:color w:val="auto"/>
        </w:rPr>
      </w:pPr>
    </w:p>
    <w:p>
      <w:pPr>
        <w:jc w:val="both"/>
        <w:ind w:right="40" w:firstLine="567"/>
        <w:spacing w:after="0" w:line="277" w:lineRule="auto"/>
        <w:rPr>
          <w:sz w:val="20"/>
          <w:szCs w:val="20"/>
          <w:color w:val="auto"/>
        </w:rPr>
      </w:pPr>
      <w:r>
        <w:rPr>
          <w:rFonts w:ascii="Arial" w:cs="Arial" w:eastAsia="Arial" w:hAnsi="Arial"/>
          <w:sz w:val="15"/>
          <w:szCs w:val="15"/>
          <w:b w:val="1"/>
          <w:bCs w:val="1"/>
          <w:color w:val="auto"/>
        </w:rPr>
        <w:t xml:space="preserve">6.10 Termination. </w:t>
      </w:r>
      <w:r>
        <w:rPr>
          <w:rFonts w:ascii="Arial" w:cs="Arial" w:eastAsia="Arial" w:hAnsi="Arial"/>
          <w:sz w:val="15"/>
          <w:szCs w:val="15"/>
          <w:color w:val="auto"/>
        </w:rPr>
        <w:t>This Agreement may be terminated by any Purchaser with respect to itself, by written notice to the Company, or by the Company with respect to all</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Purchasers, by written notice to all Purchasers, in either case if the Closing has not been consummated on or before the third Business Day after the Effective Date other than due to a breach of this Agreement or any covenant or agreement hereunder by the party seeking to so terminate this Agreement. Termination of this Agreement will not affect the right of any party not in breach of its covenants and agreements under this Agreement to sue for any breach of this Agreement by the other party.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267" w:name="page268"/>
    <w:bookmarkEnd w:id="267"/>
    <w:p>
      <w:pPr>
        <w:spacing w:after="0"/>
        <w:rPr>
          <w:sz w:val="20"/>
          <w:szCs w:val="20"/>
          <w:color w:val="auto"/>
        </w:rPr>
      </w:pPr>
      <w:r>
        <w:rPr>
          <w:rFonts w:ascii="Arial" w:cs="Arial" w:eastAsia="Arial" w:hAnsi="Arial"/>
          <w:sz w:val="16"/>
          <w:szCs w:val="16"/>
          <w:b w:val="1"/>
          <w:bCs w:val="1"/>
          <w:color w:val="auto"/>
        </w:rPr>
        <w:t>COMPANY: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BioTime, Inc.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Pr>
          <w:p>
            <w:pPr>
              <w:spacing w:after="0"/>
              <w:rPr>
                <w:sz w:val="20"/>
                <w:szCs w:val="20"/>
                <w:color w:val="auto"/>
              </w:rPr>
            </w:pPr>
            <w:r>
              <w:rPr>
                <w:rFonts w:ascii="Arial" w:cs="Arial" w:eastAsia="Arial" w:hAnsi="Arial"/>
                <w:sz w:val="16"/>
                <w:szCs w:val="16"/>
                <w:color w:val="auto"/>
              </w:rPr>
              <w:t>By:</w:t>
            </w:r>
          </w:p>
        </w:tc>
        <w:tc>
          <w:tcPr>
            <w:tcW w:w="5520" w:type="dxa"/>
            <w:vAlign w:val="bottom"/>
            <w:gridSpan w:val="2"/>
          </w:tcPr>
          <w:p>
            <w:pPr>
              <w:ind w:left="520"/>
              <w:spacing w:after="0"/>
              <w:rPr>
                <w:sz w:val="20"/>
                <w:szCs w:val="20"/>
                <w:color w:val="auto"/>
              </w:rPr>
            </w:pPr>
            <w:r>
              <w:rPr>
                <w:rFonts w:ascii="Arial" w:cs="Arial" w:eastAsia="Arial" w:hAnsi="Arial"/>
                <w:sz w:val="16"/>
                <w:szCs w:val="16"/>
                <w:color w:val="auto"/>
              </w:rPr>
              <w:t>/s/ Michael D. West</w:t>
            </w:r>
          </w:p>
        </w:tc>
      </w:tr>
      <w:tr>
        <w:trPr>
          <w:trHeight w:val="200"/>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Michael D. West</w:t>
            </w:r>
          </w:p>
        </w:tc>
      </w:tr>
      <w:tr>
        <w:trPr>
          <w:trHeight w:val="366"/>
        </w:trPr>
        <w:tc>
          <w:tcPr>
            <w:tcW w:w="380" w:type="dxa"/>
            <w:vAlign w:val="bottom"/>
          </w:tcPr>
          <w:p>
            <w:pPr>
              <w:spacing w:after="0"/>
              <w:rPr>
                <w:sz w:val="20"/>
                <w:szCs w:val="20"/>
                <w:color w:val="auto"/>
              </w:rPr>
            </w:pPr>
            <w:r>
              <w:rPr>
                <w:rFonts w:ascii="Arial" w:cs="Arial" w:eastAsia="Arial" w:hAnsi="Arial"/>
                <w:sz w:val="16"/>
                <w:szCs w:val="16"/>
                <w:color w:val="auto"/>
              </w:rPr>
              <w:t>Title:</w:t>
            </w:r>
          </w:p>
        </w:tc>
        <w:tc>
          <w:tcPr>
            <w:tcW w:w="5520" w:type="dxa"/>
            <w:vAlign w:val="bottom"/>
            <w:gridSpan w:val="2"/>
          </w:tcPr>
          <w:p>
            <w:pPr>
              <w:ind w:left="60"/>
              <w:spacing w:after="0"/>
              <w:rPr>
                <w:sz w:val="20"/>
                <w:szCs w:val="20"/>
                <w:color w:val="auto"/>
              </w:rPr>
            </w:pPr>
            <w:r>
              <w:rPr>
                <w:rFonts w:ascii="Arial" w:cs="Arial" w:eastAsia="Arial" w:hAnsi="Arial"/>
                <w:sz w:val="16"/>
                <w:szCs w:val="16"/>
                <w:color w:val="auto"/>
              </w:rPr>
              <w:t>Chief Executive Officer</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PURCHASER</w:t>
      </w:r>
      <w:r>
        <w:rPr>
          <w:rFonts w:ascii="Arial" w:cs="Arial" w:eastAsia="Arial" w:hAnsi="Arial"/>
          <w:sz w:val="16"/>
          <w:szCs w:val="16"/>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 Milton H. Dresner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3744595" cy="152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744595"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Milton H. Dresner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Title: Trustee of the Milton H. Dresner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Revocable Living Trust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11430</wp:posOffset>
            </wp:positionV>
            <wp:extent cx="3166745" cy="152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166745" cy="1524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146050</wp:posOffset>
            </wp:positionV>
            <wp:extent cx="3166745" cy="152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166745" cy="1524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281305</wp:posOffset>
            </wp:positionV>
            <wp:extent cx="3166745" cy="152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16674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FAX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11430</wp:posOffset>
            </wp:positionV>
            <wp:extent cx="3166745" cy="152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166745" cy="1524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11430</wp:posOffset>
            </wp:positionV>
            <wp:extent cx="3166745" cy="152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166745" cy="1524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80" w:type="dxa"/>
            <w:vAlign w:val="bottom"/>
          </w:tcPr>
          <w:p>
            <w:pPr>
              <w:spacing w:after="0"/>
              <w:rPr>
                <w:sz w:val="20"/>
                <w:szCs w:val="20"/>
                <w:color w:val="auto"/>
              </w:rPr>
            </w:pPr>
            <w:r>
              <w:rPr>
                <w:rFonts w:ascii="Arial" w:cs="Arial" w:eastAsia="Arial" w:hAnsi="Arial"/>
                <w:sz w:val="16"/>
                <w:szCs w:val="16"/>
                <w:color w:val="auto"/>
              </w:rPr>
              <w:t>Number of Series A Shares Purchased:</w:t>
            </w:r>
          </w:p>
        </w:tc>
        <w:tc>
          <w:tcPr>
            <w:tcW w:w="2740" w:type="dxa"/>
            <w:vAlign w:val="bottom"/>
            <w:tcBorders>
              <w:bottom w:val="single" w:sz="8" w:color="auto"/>
            </w:tcBorders>
          </w:tcPr>
          <w:p>
            <w:pPr>
              <w:jc w:val="right"/>
              <w:ind w:right="2221"/>
              <w:spacing w:after="0"/>
              <w:rPr>
                <w:sz w:val="20"/>
                <w:szCs w:val="20"/>
                <w:color w:val="auto"/>
              </w:rPr>
            </w:pPr>
            <w:r>
              <w:rPr>
                <w:rFonts w:ascii="Arial" w:cs="Arial" w:eastAsia="Arial" w:hAnsi="Arial"/>
                <w:sz w:val="16"/>
                <w:szCs w:val="16"/>
                <w:color w:val="auto"/>
                <w:w w:val="85"/>
              </w:rPr>
              <w:t>10,000</w:t>
            </w:r>
          </w:p>
        </w:tc>
        <w:tc>
          <w:tcPr>
            <w:tcW w:w="5320" w:type="dxa"/>
            <w:vAlign w:val="bottom"/>
          </w:tcPr>
          <w:p>
            <w:pPr>
              <w:spacing w:after="0"/>
              <w:rPr>
                <w:sz w:val="17"/>
                <w:szCs w:val="17"/>
                <w:color w:val="auto"/>
              </w:rPr>
            </w:pPr>
          </w:p>
        </w:tc>
      </w:tr>
      <w:tr>
        <w:trPr>
          <w:trHeight w:val="157"/>
        </w:trPr>
        <w:tc>
          <w:tcPr>
            <w:tcW w:w="338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5320" w:type="dxa"/>
            <w:vAlign w:val="bottom"/>
            <w:tcBorders>
              <w:bottom w:val="single" w:sz="8" w:color="auto"/>
            </w:tcBorders>
          </w:tcPr>
          <w:p>
            <w:pPr>
              <w:spacing w:after="0"/>
              <w:rPr>
                <w:sz w:val="13"/>
                <w:szCs w:val="13"/>
                <w:color w:val="auto"/>
              </w:rPr>
            </w:pPr>
          </w:p>
        </w:tc>
      </w:tr>
    </w:tbl>
    <w:p>
      <w:pPr>
        <w:sectPr>
          <w:pgSz w:w="11900" w:h="16838" w:orient="portrait"/>
          <w:cols w:equalWidth="0" w:num="1">
            <w:col w:w="11440"/>
          </w:cols>
          <w:pgMar w:left="240" w:top="123" w:right="219" w:bottom="1440" w:gutter="0" w:footer="0" w:header="0"/>
        </w:sectPr>
      </w:pPr>
    </w:p>
    <w:bookmarkStart w:id="268" w:name="page269"/>
    <w:bookmarkEnd w:id="2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25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6"/>
                <w:szCs w:val="16"/>
                <w:color w:val="auto"/>
                <w:w w:val="94"/>
              </w:rPr>
              <w:t>BioTime, Inc.</w:t>
            </w:r>
          </w:p>
        </w:tc>
        <w:tc>
          <w:tcPr>
            <w:tcW w:w="25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2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Michael D. West</w:t>
            </w:r>
          </w:p>
        </w:tc>
        <w:tc>
          <w:tcPr>
            <w:tcW w:w="2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rPr>
              <w:t>Michael D. West</w:t>
            </w: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3420" w:type="dxa"/>
            <w:vAlign w:val="bottom"/>
            <w:gridSpan w:val="2"/>
          </w:tcPr>
          <w:p>
            <w:pPr>
              <w:spacing w:after="0"/>
              <w:rPr>
                <w:sz w:val="20"/>
                <w:szCs w:val="20"/>
                <w:color w:val="auto"/>
              </w:rPr>
            </w:pPr>
            <w:r>
              <w:rPr>
                <w:rFonts w:ascii="Arial" w:cs="Arial" w:eastAsia="Arial" w:hAnsi="Arial"/>
                <w:sz w:val="16"/>
                <w:szCs w:val="16"/>
                <w:color w:val="auto"/>
              </w:rPr>
              <w:t>Title: Chief Executive Officer</w:t>
            </w:r>
          </w:p>
        </w:tc>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20" w:type="dxa"/>
            <w:vAlign w:val="bottom"/>
            <w:gridSpan w:val="2"/>
          </w:tcPr>
          <w:p>
            <w:pPr>
              <w:spacing w:after="0"/>
              <w:rPr>
                <w:sz w:val="20"/>
                <w:szCs w:val="20"/>
                <w:color w:val="auto"/>
              </w:rPr>
            </w:pPr>
            <w:r>
              <w:rPr>
                <w:rFonts w:ascii="Arial" w:cs="Arial" w:eastAsia="Arial" w:hAnsi="Arial"/>
                <w:sz w:val="16"/>
                <w:szCs w:val="16"/>
                <w:b w:val="1"/>
                <w:bCs w:val="1"/>
                <w:color w:val="auto"/>
              </w:rPr>
              <w:t>PURCHASER</w:t>
            </w:r>
            <w:r>
              <w:rPr>
                <w:rFonts w:ascii="Arial" w:cs="Arial" w:eastAsia="Arial" w:hAnsi="Arial"/>
                <w:sz w:val="16"/>
                <w:szCs w:val="16"/>
                <w:color w:val="auto"/>
              </w:rPr>
              <w:t>:</w:t>
            </w:r>
          </w:p>
        </w:tc>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20" w:type="dxa"/>
            <w:vAlign w:val="bottom"/>
            <w:gridSpan w:val="2"/>
          </w:tcPr>
          <w:p>
            <w:pPr>
              <w:spacing w:after="0"/>
              <w:rPr>
                <w:sz w:val="20"/>
                <w:szCs w:val="20"/>
                <w:color w:val="auto"/>
              </w:rPr>
            </w:pPr>
            <w:r>
              <w:rPr>
                <w:rFonts w:ascii="Arial" w:cs="Arial" w:eastAsia="Arial" w:hAnsi="Arial"/>
                <w:sz w:val="16"/>
                <w:szCs w:val="16"/>
                <w:color w:val="auto"/>
              </w:rPr>
              <w:t>British &amp; American Investment Trust plc</w:t>
            </w:r>
          </w:p>
        </w:tc>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2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Jonathan C. Woolf</w:t>
            </w:r>
          </w:p>
        </w:tc>
        <w:tc>
          <w:tcPr>
            <w:tcW w:w="2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2520" w:type="dxa"/>
            <w:vAlign w:val="bottom"/>
          </w:tcPr>
          <w:p>
            <w:pPr>
              <w:ind w:left="140"/>
              <w:spacing w:after="0"/>
              <w:rPr>
                <w:sz w:val="20"/>
                <w:szCs w:val="20"/>
                <w:color w:val="auto"/>
              </w:rPr>
            </w:pPr>
            <w:r>
              <w:rPr>
                <w:rFonts w:ascii="Arial" w:cs="Arial" w:eastAsia="Arial" w:hAnsi="Arial"/>
                <w:sz w:val="16"/>
                <w:szCs w:val="16"/>
                <w:color w:val="auto"/>
              </w:rPr>
              <w:t>Jonathan C. Woolf</w:t>
            </w: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900" w:type="dxa"/>
            <w:vAlign w:val="bottom"/>
          </w:tcPr>
          <w:p>
            <w:pPr>
              <w:spacing w:after="0"/>
              <w:rPr>
                <w:sz w:val="20"/>
                <w:szCs w:val="20"/>
                <w:color w:val="auto"/>
              </w:rPr>
            </w:pPr>
            <w:r>
              <w:rPr>
                <w:rFonts w:ascii="Arial" w:cs="Arial" w:eastAsia="Arial" w:hAnsi="Arial"/>
                <w:sz w:val="16"/>
                <w:szCs w:val="16"/>
                <w:color w:val="auto"/>
              </w:rPr>
              <w:t>Title:</w:t>
            </w:r>
          </w:p>
        </w:tc>
        <w:tc>
          <w:tcPr>
            <w:tcW w:w="2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Managing Director</w:t>
            </w:r>
          </w:p>
        </w:tc>
        <w:tc>
          <w:tcPr>
            <w:tcW w:w="2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900" w:type="dxa"/>
            <w:vAlign w:val="bottom"/>
          </w:tcPr>
          <w:p>
            <w:pPr>
              <w:spacing w:after="0"/>
              <w:rPr>
                <w:sz w:val="20"/>
                <w:szCs w:val="20"/>
                <w:color w:val="auto"/>
              </w:rPr>
            </w:pPr>
            <w:r>
              <w:rPr>
                <w:rFonts w:ascii="Arial" w:cs="Arial" w:eastAsia="Arial" w:hAnsi="Arial"/>
                <w:sz w:val="16"/>
                <w:szCs w:val="16"/>
                <w:color w:val="auto"/>
              </w:rPr>
              <w:t>Address:</w:t>
            </w:r>
          </w:p>
        </w:tc>
        <w:tc>
          <w:tcPr>
            <w:tcW w:w="25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00" w:type="dxa"/>
            <w:vAlign w:val="bottom"/>
            <w:vMerge w:val="restart"/>
          </w:tcPr>
          <w:p>
            <w:pPr>
              <w:spacing w:after="0"/>
              <w:rPr>
                <w:sz w:val="20"/>
                <w:szCs w:val="20"/>
                <w:color w:val="auto"/>
              </w:rPr>
            </w:pPr>
            <w:r>
              <w:rPr>
                <w:rFonts w:ascii="Arial" w:cs="Arial" w:eastAsia="Arial" w:hAnsi="Arial"/>
                <w:sz w:val="16"/>
                <w:szCs w:val="16"/>
                <w:color w:val="auto"/>
                <w:w w:val="90"/>
              </w:rPr>
              <w:t>FAX Number:</w:t>
            </w:r>
          </w:p>
        </w:tc>
        <w:tc>
          <w:tcPr>
            <w:tcW w:w="25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00" w:type="dxa"/>
            <w:vAlign w:val="bottom"/>
            <w:vMerge w:val="continue"/>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900" w:type="dxa"/>
            <w:vAlign w:val="bottom"/>
            <w:vMerge w:val="continue"/>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900" w:type="dxa"/>
            <w:vAlign w:val="bottom"/>
          </w:tcPr>
          <w:p>
            <w:pPr>
              <w:spacing w:after="0"/>
              <w:rPr>
                <w:sz w:val="20"/>
                <w:szCs w:val="20"/>
                <w:color w:val="auto"/>
              </w:rPr>
            </w:pPr>
            <w:r>
              <w:rPr>
                <w:rFonts w:ascii="Arial" w:cs="Arial" w:eastAsia="Arial" w:hAnsi="Arial"/>
                <w:sz w:val="16"/>
                <w:szCs w:val="16"/>
                <w:color w:val="auto"/>
              </w:rPr>
              <w:t>Email:</w:t>
            </w:r>
          </w:p>
        </w:tc>
        <w:tc>
          <w:tcPr>
            <w:tcW w:w="25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20" w:type="dxa"/>
            <w:vAlign w:val="bottom"/>
            <w:gridSpan w:val="2"/>
          </w:tcPr>
          <w:p>
            <w:pPr>
              <w:spacing w:after="0"/>
              <w:rPr>
                <w:sz w:val="20"/>
                <w:szCs w:val="20"/>
                <w:color w:val="auto"/>
              </w:rPr>
            </w:pPr>
            <w:r>
              <w:rPr>
                <w:rFonts w:ascii="Arial" w:cs="Arial" w:eastAsia="Arial" w:hAnsi="Arial"/>
                <w:sz w:val="16"/>
                <w:szCs w:val="16"/>
                <w:color w:val="auto"/>
              </w:rPr>
              <w:t>Number of Series A Shares Purchased:</w:t>
            </w:r>
          </w:p>
        </w:tc>
        <w:tc>
          <w:tcPr>
            <w:tcW w:w="2480" w:type="dxa"/>
            <w:vAlign w:val="bottom"/>
            <w:tcBorders>
              <w:bottom w:val="single" w:sz="8" w:color="auto"/>
            </w:tcBorders>
          </w:tcPr>
          <w:p>
            <w:pPr>
              <w:jc w:val="right"/>
              <w:ind w:right="1961"/>
              <w:spacing w:after="0"/>
              <w:rPr>
                <w:sz w:val="20"/>
                <w:szCs w:val="20"/>
                <w:color w:val="auto"/>
              </w:rPr>
            </w:pPr>
            <w:r>
              <w:rPr>
                <w:rFonts w:ascii="Arial" w:cs="Arial" w:eastAsia="Arial" w:hAnsi="Arial"/>
                <w:sz w:val="16"/>
                <w:szCs w:val="16"/>
                <w:color w:val="auto"/>
                <w:w w:val="85"/>
              </w:rPr>
              <w:t>40,000</w:t>
            </w:r>
          </w:p>
        </w:tc>
        <w:tc>
          <w:tcPr>
            <w:tcW w:w="200" w:type="dxa"/>
            <w:vAlign w:val="bottom"/>
            <w:tcBorders>
              <w:bottom w:val="single" w:sz="8" w:color="auto"/>
            </w:tcBorders>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90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269" w:name="page270"/>
    <w:bookmarkEnd w:id="2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Arial" w:cs="Arial" w:eastAsia="Arial" w:hAnsi="Arial"/>
                <w:sz w:val="16"/>
                <w:szCs w:val="16"/>
                <w:b w:val="1"/>
                <w:bCs w:val="1"/>
                <w:color w:val="auto"/>
              </w:rPr>
              <w:t>COMPANY:</w:t>
            </w:r>
          </w:p>
        </w:tc>
        <w:tc>
          <w:tcPr>
            <w:tcW w:w="25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0"/>
                <w:szCs w:val="20"/>
                <w:color w:val="auto"/>
              </w:rPr>
            </w:pPr>
            <w:r>
              <w:rPr>
                <w:rFonts w:ascii="Arial" w:cs="Arial" w:eastAsia="Arial" w:hAnsi="Arial"/>
                <w:sz w:val="16"/>
                <w:szCs w:val="16"/>
                <w:color w:val="auto"/>
                <w:w w:val="94"/>
              </w:rPr>
              <w:t>BioTime, Inc.</w:t>
            </w:r>
          </w:p>
        </w:tc>
        <w:tc>
          <w:tcPr>
            <w:tcW w:w="2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2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Michael D. West</w:t>
            </w:r>
          </w:p>
        </w:tc>
        <w:tc>
          <w:tcPr>
            <w:tcW w:w="2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2560" w:type="dxa"/>
            <w:vAlign w:val="bottom"/>
          </w:tcPr>
          <w:p>
            <w:pPr>
              <w:ind w:left="140"/>
              <w:spacing w:after="0"/>
              <w:rPr>
                <w:sz w:val="20"/>
                <w:szCs w:val="20"/>
                <w:color w:val="auto"/>
              </w:rPr>
            </w:pPr>
            <w:r>
              <w:rPr>
                <w:rFonts w:ascii="Arial" w:cs="Arial" w:eastAsia="Arial" w:hAnsi="Arial"/>
                <w:sz w:val="16"/>
                <w:szCs w:val="16"/>
                <w:color w:val="auto"/>
              </w:rPr>
              <w:t>Michael D. West</w:t>
            </w: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3460" w:type="dxa"/>
            <w:vAlign w:val="bottom"/>
            <w:gridSpan w:val="2"/>
          </w:tcPr>
          <w:p>
            <w:pPr>
              <w:spacing w:after="0"/>
              <w:rPr>
                <w:sz w:val="20"/>
                <w:szCs w:val="20"/>
                <w:color w:val="auto"/>
              </w:rPr>
            </w:pPr>
            <w:r>
              <w:rPr>
                <w:rFonts w:ascii="Arial" w:cs="Arial" w:eastAsia="Arial" w:hAnsi="Arial"/>
                <w:sz w:val="16"/>
                <w:szCs w:val="16"/>
                <w:color w:val="auto"/>
              </w:rPr>
              <w:t>Title: Chief Executive Officer</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60" w:type="dxa"/>
            <w:vAlign w:val="bottom"/>
            <w:gridSpan w:val="2"/>
          </w:tcPr>
          <w:p>
            <w:pPr>
              <w:spacing w:after="0"/>
              <w:rPr>
                <w:sz w:val="20"/>
                <w:szCs w:val="20"/>
                <w:color w:val="auto"/>
              </w:rPr>
            </w:pPr>
            <w:r>
              <w:rPr>
                <w:rFonts w:ascii="Arial" w:cs="Arial" w:eastAsia="Arial" w:hAnsi="Arial"/>
                <w:sz w:val="16"/>
                <w:szCs w:val="16"/>
                <w:b w:val="1"/>
                <w:bCs w:val="1"/>
                <w:color w:val="auto"/>
              </w:rPr>
              <w:t>PURCHASER</w:t>
            </w:r>
            <w:r>
              <w:rPr>
                <w:rFonts w:ascii="Arial" w:cs="Arial" w:eastAsia="Arial" w:hAnsi="Arial"/>
                <w:sz w:val="16"/>
                <w:szCs w:val="16"/>
                <w:color w:val="auto"/>
              </w:rPr>
              <w:t>:</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60" w:type="dxa"/>
            <w:vAlign w:val="bottom"/>
            <w:gridSpan w:val="2"/>
          </w:tcPr>
          <w:p>
            <w:pPr>
              <w:spacing w:after="0"/>
              <w:rPr>
                <w:sz w:val="20"/>
                <w:szCs w:val="20"/>
                <w:color w:val="auto"/>
              </w:rPr>
            </w:pPr>
            <w:r>
              <w:rPr>
                <w:rFonts w:ascii="Arial" w:cs="Arial" w:eastAsia="Arial" w:hAnsi="Arial"/>
                <w:sz w:val="16"/>
                <w:szCs w:val="16"/>
                <w:color w:val="auto"/>
              </w:rPr>
              <w:t>ALB Private Investments, LLC</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900" w:type="dxa"/>
            <w:vAlign w:val="bottom"/>
          </w:tcPr>
          <w:p>
            <w:pPr>
              <w:spacing w:after="0"/>
              <w:rPr>
                <w:sz w:val="20"/>
                <w:szCs w:val="20"/>
                <w:color w:val="auto"/>
              </w:rPr>
            </w:pPr>
            <w:r>
              <w:rPr>
                <w:rFonts w:ascii="Arial" w:cs="Arial" w:eastAsia="Arial" w:hAnsi="Arial"/>
                <w:sz w:val="16"/>
                <w:szCs w:val="16"/>
                <w:color w:val="auto"/>
              </w:rPr>
              <w:t>By:</w:t>
            </w:r>
          </w:p>
        </w:tc>
        <w:tc>
          <w:tcPr>
            <w:tcW w:w="2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Francis A. Mlynarczyk, Jr.</w:t>
            </w:r>
          </w:p>
        </w:tc>
        <w:tc>
          <w:tcPr>
            <w:tcW w:w="2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2560" w:type="dxa"/>
            <w:vAlign w:val="bottom"/>
          </w:tcPr>
          <w:p>
            <w:pPr>
              <w:ind w:left="140"/>
              <w:spacing w:after="0"/>
              <w:rPr>
                <w:sz w:val="20"/>
                <w:szCs w:val="20"/>
                <w:color w:val="auto"/>
              </w:rPr>
            </w:pPr>
            <w:r>
              <w:rPr>
                <w:rFonts w:ascii="Arial" w:cs="Arial" w:eastAsia="Arial" w:hAnsi="Arial"/>
                <w:sz w:val="16"/>
                <w:szCs w:val="16"/>
                <w:color w:val="auto"/>
              </w:rPr>
              <w:t>Francis A. Mlynarczyk, Jr.</w:t>
            </w: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3460" w:type="dxa"/>
            <w:vAlign w:val="bottom"/>
            <w:gridSpan w:val="2"/>
          </w:tcPr>
          <w:p>
            <w:pPr>
              <w:spacing w:after="0"/>
              <w:rPr>
                <w:sz w:val="20"/>
                <w:szCs w:val="20"/>
                <w:color w:val="auto"/>
              </w:rPr>
            </w:pPr>
            <w:r>
              <w:rPr>
                <w:rFonts w:ascii="Arial" w:cs="Arial" w:eastAsia="Arial" w:hAnsi="Arial"/>
                <w:sz w:val="16"/>
                <w:szCs w:val="16"/>
                <w:color w:val="auto"/>
              </w:rPr>
              <w:t>Title: Manager</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900" w:type="dxa"/>
            <w:vAlign w:val="bottom"/>
          </w:tcPr>
          <w:p>
            <w:pPr>
              <w:spacing w:after="0"/>
              <w:rPr>
                <w:sz w:val="20"/>
                <w:szCs w:val="20"/>
                <w:color w:val="auto"/>
              </w:rPr>
            </w:pPr>
            <w:r>
              <w:rPr>
                <w:rFonts w:ascii="Arial" w:cs="Arial" w:eastAsia="Arial" w:hAnsi="Arial"/>
                <w:sz w:val="16"/>
                <w:szCs w:val="16"/>
                <w:color w:val="auto"/>
              </w:rPr>
              <w:t>Address:</w:t>
            </w:r>
          </w:p>
        </w:tc>
        <w:tc>
          <w:tcPr>
            <w:tcW w:w="25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00" w:type="dxa"/>
            <w:vAlign w:val="bottom"/>
            <w:vMerge w:val="restart"/>
          </w:tcPr>
          <w:p>
            <w:pPr>
              <w:spacing w:after="0"/>
              <w:rPr>
                <w:sz w:val="20"/>
                <w:szCs w:val="20"/>
                <w:color w:val="auto"/>
              </w:rPr>
            </w:pPr>
            <w:r>
              <w:rPr>
                <w:rFonts w:ascii="Arial" w:cs="Arial" w:eastAsia="Arial" w:hAnsi="Arial"/>
                <w:sz w:val="16"/>
                <w:szCs w:val="16"/>
                <w:color w:val="auto"/>
                <w:w w:val="90"/>
              </w:rPr>
              <w:t>FAX Number:</w:t>
            </w:r>
          </w:p>
        </w:tc>
        <w:tc>
          <w:tcPr>
            <w:tcW w:w="25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00" w:type="dxa"/>
            <w:vAlign w:val="bottom"/>
            <w:vMerge w:val="continue"/>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900" w:type="dxa"/>
            <w:vAlign w:val="bottom"/>
            <w:vMerge w:val="continue"/>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900" w:type="dxa"/>
            <w:vAlign w:val="bottom"/>
          </w:tcPr>
          <w:p>
            <w:pPr>
              <w:spacing w:after="0"/>
              <w:rPr>
                <w:sz w:val="20"/>
                <w:szCs w:val="20"/>
                <w:color w:val="auto"/>
              </w:rPr>
            </w:pPr>
            <w:r>
              <w:rPr>
                <w:rFonts w:ascii="Arial" w:cs="Arial" w:eastAsia="Arial" w:hAnsi="Arial"/>
                <w:sz w:val="16"/>
                <w:szCs w:val="16"/>
                <w:color w:val="auto"/>
              </w:rPr>
              <w:t>Email:</w:t>
            </w:r>
          </w:p>
        </w:tc>
        <w:tc>
          <w:tcPr>
            <w:tcW w:w="25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60" w:type="dxa"/>
            <w:vAlign w:val="bottom"/>
            <w:gridSpan w:val="2"/>
          </w:tcPr>
          <w:p>
            <w:pPr>
              <w:spacing w:after="0"/>
              <w:rPr>
                <w:sz w:val="20"/>
                <w:szCs w:val="20"/>
                <w:color w:val="auto"/>
              </w:rPr>
            </w:pPr>
            <w:r>
              <w:rPr>
                <w:rFonts w:ascii="Arial" w:cs="Arial" w:eastAsia="Arial" w:hAnsi="Arial"/>
                <w:sz w:val="16"/>
                <w:szCs w:val="16"/>
                <w:color w:val="auto"/>
              </w:rPr>
              <w:t>Number of Series A Shares Purchased:</w:t>
            </w:r>
          </w:p>
        </w:tc>
        <w:tc>
          <w:tcPr>
            <w:tcW w:w="2440" w:type="dxa"/>
            <w:vAlign w:val="bottom"/>
            <w:tcBorders>
              <w:bottom w:val="single" w:sz="8" w:color="auto"/>
            </w:tcBorders>
          </w:tcPr>
          <w:p>
            <w:pPr>
              <w:jc w:val="right"/>
              <w:ind w:right="1921"/>
              <w:spacing w:after="0"/>
              <w:rPr>
                <w:sz w:val="20"/>
                <w:szCs w:val="20"/>
                <w:color w:val="auto"/>
              </w:rPr>
            </w:pPr>
            <w:r>
              <w:rPr>
                <w:rFonts w:ascii="Arial" w:cs="Arial" w:eastAsia="Arial" w:hAnsi="Arial"/>
                <w:sz w:val="16"/>
                <w:szCs w:val="16"/>
                <w:color w:val="auto"/>
                <w:w w:val="85"/>
              </w:rPr>
              <w:t>20,000</w:t>
            </w:r>
          </w:p>
        </w:tc>
        <w:tc>
          <w:tcPr>
            <w:tcW w:w="140" w:type="dxa"/>
            <w:vAlign w:val="bottom"/>
            <w:tcBorders>
              <w:bottom w:val="single" w:sz="8" w:color="auto"/>
            </w:tcBorders>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9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270" w:name="page271"/>
    <w:bookmarkEnd w:id="270"/>
    <w:p>
      <w:pPr>
        <w:jc w:val="center"/>
        <w:ind w:right="-20"/>
        <w:spacing w:after="0"/>
        <w:rPr>
          <w:sz w:val="20"/>
          <w:szCs w:val="20"/>
          <w:color w:val="auto"/>
        </w:rPr>
      </w:pPr>
      <w:r>
        <w:rPr>
          <w:rFonts w:ascii="Arial" w:cs="Arial" w:eastAsia="Arial" w:hAnsi="Arial"/>
          <w:sz w:val="16"/>
          <w:szCs w:val="16"/>
          <w:color w:val="auto"/>
        </w:rPr>
        <w:t>EXHIBIT A</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Certificate of Determination</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of Preferences of the</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Series A Convertible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116205</wp:posOffset>
            </wp:positionV>
            <wp:extent cx="7263765" cy="152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71" w:name="page272"/>
    <w:bookmarkEnd w:id="271"/>
    <w:p>
      <w:pPr>
        <w:jc w:val="center"/>
        <w:ind w:right="-4"/>
        <w:spacing w:after="0"/>
        <w:rPr>
          <w:sz w:val="20"/>
          <w:szCs w:val="20"/>
          <w:color w:val="auto"/>
        </w:rPr>
      </w:pPr>
      <w:r>
        <w:rPr>
          <w:rFonts w:ascii="Arial" w:cs="Arial" w:eastAsia="Arial" w:hAnsi="Arial"/>
          <w:sz w:val="16"/>
          <w:szCs w:val="16"/>
          <w:color w:val="auto"/>
        </w:rPr>
        <w:t>CERTIFICATE OF DETERMINATION OF PREFERENCE</w:t>
      </w:r>
    </w:p>
    <w:p>
      <w:pPr>
        <w:spacing w:after="0" w:line="1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OF SERIES A CONVERTIBLE PREFERRED SHARES OF</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BIOTIME, INC.</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6"/>
          <w:szCs w:val="16"/>
          <w:color w:val="auto"/>
        </w:rPr>
        <w:t>Michael D. West and Judith Segall certify that:</w:t>
      </w:r>
    </w:p>
    <w:p>
      <w:pPr>
        <w:spacing w:after="0" w:line="218" w:lineRule="exact"/>
        <w:rPr>
          <w:sz w:val="20"/>
          <w:szCs w:val="20"/>
          <w:color w:val="auto"/>
        </w:rPr>
      </w:pPr>
    </w:p>
    <w:p>
      <w:pPr>
        <w:ind w:left="345" w:hanging="345"/>
        <w:spacing w:after="0"/>
        <w:tabs>
          <w:tab w:leader="none" w:pos="34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They are the President and Secretary, respectively, of BioTime, Inc., a California corporation.</w:t>
      </w:r>
    </w:p>
    <w:p>
      <w:pPr>
        <w:spacing w:after="0" w:line="218" w:lineRule="exact"/>
        <w:rPr>
          <w:sz w:val="20"/>
          <w:szCs w:val="20"/>
          <w:color w:val="auto"/>
        </w:rPr>
      </w:pPr>
    </w:p>
    <w:p>
      <w:pPr>
        <w:ind w:left="385" w:hanging="385"/>
        <w:spacing w:after="0"/>
        <w:tabs>
          <w:tab w:leader="none" w:pos="385" w:val="left"/>
        </w:tabs>
        <w:numPr>
          <w:ilvl w:val="0"/>
          <w:numId w:val="150"/>
        </w:numPr>
        <w:rPr>
          <w:rFonts w:ascii="Arial" w:cs="Arial" w:eastAsia="Arial" w:hAnsi="Arial"/>
          <w:sz w:val="15"/>
          <w:szCs w:val="15"/>
          <w:color w:val="auto"/>
        </w:rPr>
      </w:pPr>
      <w:r>
        <w:rPr>
          <w:rFonts w:ascii="Arial" w:cs="Arial" w:eastAsia="Arial" w:hAnsi="Arial"/>
          <w:sz w:val="15"/>
          <w:szCs w:val="15"/>
          <w:color w:val="auto"/>
        </w:rPr>
        <w:t>Pursuant to authority given by the corporation's Articles of Incorporation, the Board of Directors of the Corporation has duly adopted the following resolutions:</w:t>
      </w:r>
    </w:p>
    <w:p>
      <w:pPr>
        <w:spacing w:after="0" w:line="229" w:lineRule="exact"/>
        <w:rPr>
          <w:sz w:val="20"/>
          <w:szCs w:val="20"/>
          <w:color w:val="auto"/>
        </w:rPr>
      </w:pPr>
    </w:p>
    <w:p>
      <w:pPr>
        <w:jc w:val="both"/>
        <w:ind w:left="5"/>
        <w:spacing w:after="0" w:line="311" w:lineRule="auto"/>
        <w:rPr>
          <w:sz w:val="20"/>
          <w:szCs w:val="20"/>
          <w:color w:val="auto"/>
        </w:rPr>
      </w:pPr>
      <w:r>
        <w:rPr>
          <w:rFonts w:ascii="Arial" w:cs="Arial" w:eastAsia="Arial" w:hAnsi="Arial"/>
          <w:sz w:val="14"/>
          <w:szCs w:val="14"/>
          <w:color w:val="auto"/>
        </w:rPr>
        <w:t>"RESOLVED, that pursuant to the authority vested in the Board of Directors of the Corporation by Article Three of the Corporation's Articles of Incorporation, a series of Preferred Shares of the Corporation is created out of the authorized but unissued Preferred Shares of the Corporation, such series to be designated Series A Convertible Preferred Shares (the "Series A Preferred Stock"), to consist of 300,000 shares, no par value, with the rights, preferences, privileges and restrictions of which shall be as follows:</w:t>
      </w:r>
    </w:p>
    <w:p>
      <w:pPr>
        <w:spacing w:after="0" w:line="154" w:lineRule="exact"/>
        <w:rPr>
          <w:sz w:val="20"/>
          <w:szCs w:val="20"/>
          <w:color w:val="auto"/>
        </w:rPr>
      </w:pPr>
    </w:p>
    <w:p>
      <w:pPr>
        <w:ind w:left="365" w:hanging="365"/>
        <w:spacing w:after="0"/>
        <w:tabs>
          <w:tab w:leader="none" w:pos="365"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p>
    <w:p>
      <w:pPr>
        <w:spacing w:after="0" w:line="218" w:lineRule="exact"/>
        <w:rPr>
          <w:sz w:val="20"/>
          <w:szCs w:val="20"/>
          <w:color w:val="auto"/>
        </w:rPr>
      </w:pPr>
    </w:p>
    <w:p>
      <w:pPr>
        <w:ind w:left="5"/>
        <w:spacing w:after="0"/>
        <w:rPr>
          <w:sz w:val="20"/>
          <w:szCs w:val="20"/>
          <w:color w:val="auto"/>
        </w:rPr>
      </w:pPr>
      <w:r>
        <w:rPr>
          <w:rFonts w:ascii="Arial" w:cs="Arial" w:eastAsia="Arial" w:hAnsi="Arial"/>
          <w:sz w:val="16"/>
          <w:szCs w:val="16"/>
          <w:color w:val="auto"/>
        </w:rPr>
        <w:t>Unless the context otherwise requires, the terms defined in this Section 1 shall have, for all purposes of this resolution, the meanings herein specified.</w:t>
      </w:r>
    </w:p>
    <w:p>
      <w:pPr>
        <w:spacing w:after="0" w:line="218"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Board of Directors</w:t>
      </w:r>
      <w:r>
        <w:rPr>
          <w:rFonts w:ascii="Arial" w:cs="Arial" w:eastAsia="Arial" w:hAnsi="Arial"/>
          <w:sz w:val="16"/>
          <w:szCs w:val="16"/>
          <w:color w:val="auto"/>
        </w:rPr>
        <w:t>: The Board of Directors of the Corporation.</w:t>
      </w:r>
    </w:p>
    <w:p>
      <w:pPr>
        <w:spacing w:after="0" w:line="218"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a Saturday, Sunday, or day on which banks in California or New York are required or permitted to close.</w:t>
      </w:r>
    </w:p>
    <w:p>
      <w:pPr>
        <w:spacing w:after="0" w:line="218"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Shares now or hereafter authorized of any class of Common Shares of the Corporation.</w:t>
      </w:r>
    </w:p>
    <w:p>
      <w:pPr>
        <w:spacing w:after="0" w:line="218"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Corporation</w:t>
      </w:r>
      <w:r>
        <w:rPr>
          <w:rFonts w:ascii="Arial" w:cs="Arial" w:eastAsia="Arial" w:hAnsi="Arial"/>
          <w:sz w:val="16"/>
          <w:szCs w:val="16"/>
          <w:color w:val="auto"/>
        </w:rPr>
        <w:t>: BioTime, Inc., a California corporation.</w:t>
      </w:r>
    </w:p>
    <w:p>
      <w:pPr>
        <w:spacing w:after="0" w:line="218"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Conversion Date</w:t>
      </w:r>
      <w:r>
        <w:rPr>
          <w:rFonts w:ascii="Arial" w:cs="Arial" w:eastAsia="Arial" w:hAnsi="Arial"/>
          <w:sz w:val="16"/>
          <w:szCs w:val="16"/>
          <w:color w:val="auto"/>
        </w:rPr>
        <w:t>: The meaning set forth in Section 4(e) below.</w:t>
      </w:r>
    </w:p>
    <w:p>
      <w:pPr>
        <w:spacing w:after="0" w:line="218" w:lineRule="exact"/>
        <w:rPr>
          <w:sz w:val="20"/>
          <w:szCs w:val="20"/>
          <w:color w:val="auto"/>
        </w:rPr>
      </w:pPr>
    </w:p>
    <w:p>
      <w:pPr>
        <w:ind w:left="5"/>
        <w:spacing w:after="0" w:line="267" w:lineRule="auto"/>
        <w:rPr>
          <w:sz w:val="20"/>
          <w:szCs w:val="20"/>
          <w:color w:val="auto"/>
        </w:rPr>
      </w:pPr>
      <w:r>
        <w:rPr>
          <w:rFonts w:ascii="Arial" w:cs="Arial" w:eastAsia="Arial" w:hAnsi="Arial"/>
          <w:sz w:val="16"/>
          <w:szCs w:val="16"/>
          <w:u w:val="single" w:color="auto"/>
          <w:color w:val="auto"/>
        </w:rPr>
        <w:t>Conversion Price</w:t>
      </w:r>
      <w:r>
        <w:rPr>
          <w:rFonts w:ascii="Arial" w:cs="Arial" w:eastAsia="Arial" w:hAnsi="Arial"/>
          <w:sz w:val="16"/>
          <w:szCs w:val="16"/>
          <w:color w:val="auto"/>
        </w:rPr>
        <w:t>: The “Conversion Price” at which Common Stock shall initially be issuable upon conversion of the Series A Preferred Stock shall be four dollars ($4.00) per share, subject to the adjustments set forth in Section 4(g).</w:t>
      </w:r>
    </w:p>
    <w:p>
      <w:pPr>
        <w:spacing w:after="0" w:line="181"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Fair Value</w:t>
      </w:r>
      <w:r>
        <w:rPr>
          <w:rFonts w:ascii="Arial" w:cs="Arial" w:eastAsia="Arial" w:hAnsi="Arial"/>
          <w:sz w:val="16"/>
          <w:szCs w:val="16"/>
          <w:color w:val="auto"/>
        </w:rPr>
        <w:t>: The meaning set forth in Section 4(h)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263765" cy="152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72" w:name="page273"/>
    <w:bookmarkEnd w:id="272"/>
    <w:p>
      <w:pPr>
        <w:jc w:val="both"/>
        <w:spacing w:after="0" w:line="251" w:lineRule="auto"/>
        <w:rPr>
          <w:sz w:val="20"/>
          <w:szCs w:val="20"/>
          <w:color w:val="auto"/>
        </w:rPr>
      </w:pPr>
      <w:r>
        <w:rPr>
          <w:rFonts w:ascii="Arial" w:cs="Arial" w:eastAsia="Arial" w:hAnsi="Arial"/>
          <w:sz w:val="16"/>
          <w:szCs w:val="16"/>
          <w:u w:val="single" w:color="auto"/>
          <w:color w:val="auto"/>
        </w:rPr>
        <w:t>Junior Stock</w:t>
      </w:r>
      <w:r>
        <w:rPr>
          <w:rFonts w:ascii="Arial" w:cs="Arial" w:eastAsia="Arial" w:hAnsi="Arial"/>
          <w:sz w:val="16"/>
          <w:szCs w:val="16"/>
          <w:color w:val="auto"/>
        </w:rPr>
        <w:t>: For purposes of Section 2 below, the Common Stock and any other class or series of shares of the Corporation not entitled to receive any dividends in any dividend period unless all preferential dividends required to have been paid or declared and set apart for payment on the Preferred Stock shall have been so paid or declared and set apart for payment and, for purposes of Section 3 below, the Common Stock and any other class or series of shares of the Corporation not entitled to receive any assets upon the liquidation, dissolution or winding up of the affairs of the Corporation until the Preferred Stock shall have received the entire preferential amount to which such shares are entitled upon such liquidation, dissolution or winding up.</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Parity Stock</w:t>
      </w:r>
      <w:r>
        <w:rPr>
          <w:rFonts w:ascii="Arial" w:cs="Arial" w:eastAsia="Arial" w:hAnsi="Arial"/>
          <w:sz w:val="16"/>
          <w:szCs w:val="16"/>
          <w:color w:val="auto"/>
        </w:rPr>
        <w:t>: For purposes of Section 2 below, any class or series of shares of the Corporation that, with respect to a particular class or series of stock of the Corporation, is entitled to receive payment of dividends on a parity with the referenced class or series of stock, and, for purposes of Section 3 below, any class or series of shares of the Corporation that, with respect to a particular class or series of stock of the Corporation is entitled to receive assets upon the liquidation, dissolution or winding up of the affairs of the Corporation on a parity with the referenced class or series of stock.</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u w:val="single" w:color="auto"/>
          <w:color w:val="auto"/>
        </w:rPr>
        <w:t>Preferred Stock</w:t>
      </w:r>
      <w:r>
        <w:rPr>
          <w:rFonts w:ascii="Arial" w:cs="Arial" w:eastAsia="Arial" w:hAnsi="Arial"/>
          <w:sz w:val="16"/>
          <w:szCs w:val="16"/>
          <w:color w:val="auto"/>
        </w:rPr>
        <w:t>: Any class or series of shares of the Corporation ranking senior to the Common Stock in respect of the right to receive dividends or in respect of the right to receive assets upon the liquidation, dissolution or winding up of the affairs of the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A Preferred Stock</w:t>
      </w:r>
      <w:r>
        <w:rPr>
          <w:rFonts w:ascii="Arial" w:cs="Arial" w:eastAsia="Arial" w:hAnsi="Arial"/>
          <w:sz w:val="16"/>
          <w:szCs w:val="16"/>
          <w:color w:val="auto"/>
        </w:rPr>
        <w:t>: The Series A Convertible Preferred Shares of the Corporation.</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u w:val="single" w:color="auto"/>
          <w:color w:val="auto"/>
        </w:rPr>
        <w:t>Senior Stock</w:t>
      </w:r>
      <w:r>
        <w:rPr>
          <w:rFonts w:ascii="Arial" w:cs="Arial" w:eastAsia="Arial" w:hAnsi="Arial"/>
          <w:sz w:val="16"/>
          <w:szCs w:val="16"/>
          <w:color w:val="auto"/>
        </w:rPr>
        <w:t>: For purposes of Section 2 below, any class or series of shares of the Corporation that is entitled to receive dividends before any dividends are paid to the Series A Preferred Stock, and, for purposes of Section 3 below, any class or series of shares of the Corporation that is entitled to receive assets upon the liquidation, dissolution or winding up of the affairs of the Corporation before any assets are distributed to the Series A Preferred Stock.</w:t>
      </w:r>
    </w:p>
    <w:p>
      <w:pPr>
        <w:spacing w:after="0" w:line="189"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u w:val="single" w:color="auto"/>
          <w:color w:val="auto"/>
        </w:rPr>
        <w:t>Subscription Price</w:t>
      </w:r>
      <w:r>
        <w:rPr>
          <w:rFonts w:ascii="Arial" w:cs="Arial" w:eastAsia="Arial" w:hAnsi="Arial"/>
          <w:sz w:val="16"/>
          <w:szCs w:val="16"/>
          <w:color w:val="auto"/>
        </w:rPr>
        <w:t>: Fifty Dollars ($50.00) per share of Series A Preferred Stock subject to proportional adjustment for any stock split, reverse stock split, stock dividend, combination, recapitalization or the like with respect to Series A Preferred Stock.</w:t>
      </w:r>
    </w:p>
    <w:p>
      <w:pPr>
        <w:spacing w:after="0" w:line="181" w:lineRule="exact"/>
        <w:rPr>
          <w:sz w:val="20"/>
          <w:szCs w:val="20"/>
          <w:color w:val="auto"/>
        </w:rPr>
      </w:pPr>
    </w:p>
    <w:p>
      <w:pPr>
        <w:jc w:val="both"/>
        <w:ind w:right="20"/>
        <w:spacing w:after="0" w:line="301" w:lineRule="auto"/>
        <w:rPr>
          <w:sz w:val="20"/>
          <w:szCs w:val="20"/>
          <w:color w:val="auto"/>
        </w:rPr>
      </w:pPr>
      <w:r>
        <w:rPr>
          <w:rFonts w:ascii="Arial" w:cs="Arial" w:eastAsia="Arial" w:hAnsi="Arial"/>
          <w:sz w:val="15"/>
          <w:szCs w:val="15"/>
          <w:u w:val="single" w:color="auto"/>
          <w:color w:val="auto"/>
        </w:rPr>
        <w:t>Subsidiary</w:t>
      </w:r>
      <w:r>
        <w:rPr>
          <w:rFonts w:ascii="Arial" w:cs="Arial" w:eastAsia="Arial" w:hAnsi="Arial"/>
          <w:sz w:val="15"/>
          <w:szCs w:val="15"/>
          <w:color w:val="auto"/>
        </w:rPr>
        <w:t>: Any corporation of which shares of stock possessing at least a majority of the general voting power in electing the board of directors are, at the time as of which any determination is being made, owned by the Corporation, whether directly or indirectly through one or more corporations or other business entities.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73" w:name="page274"/>
    <w:bookmarkEnd w:id="273"/>
    <w:p>
      <w:pPr>
        <w:ind w:left="365" w:hanging="365"/>
        <w:spacing w:after="0"/>
        <w:tabs>
          <w:tab w:leader="none" w:pos="365"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w:t>
      </w:r>
    </w:p>
    <w:p>
      <w:pPr>
        <w:spacing w:after="0" w:line="218" w:lineRule="exact"/>
        <w:rPr>
          <w:sz w:val="20"/>
          <w:szCs w:val="20"/>
          <w:color w:val="auto"/>
        </w:rPr>
      </w:pPr>
    </w:p>
    <w:p>
      <w:pPr>
        <w:jc w:val="both"/>
        <w:ind w:left="5" w:hanging="5"/>
        <w:spacing w:after="0" w:line="291" w:lineRule="auto"/>
        <w:tabs>
          <w:tab w:leader="none" w:pos="559" w:val="left"/>
        </w:tabs>
        <w:numPr>
          <w:ilvl w:val="0"/>
          <w:numId w:val="153"/>
        </w:numPr>
        <w:rPr>
          <w:rFonts w:ascii="Arial" w:cs="Arial" w:eastAsia="Arial" w:hAnsi="Arial"/>
          <w:sz w:val="14"/>
          <w:szCs w:val="14"/>
          <w:color w:val="auto"/>
        </w:rPr>
      </w:pPr>
      <w:r>
        <w:rPr>
          <w:rFonts w:ascii="Arial" w:cs="Arial" w:eastAsia="Arial" w:hAnsi="Arial"/>
          <w:sz w:val="14"/>
          <w:szCs w:val="14"/>
          <w:color w:val="auto"/>
        </w:rPr>
        <w:t>Subject to the prior preferences and other rights of any Senior Stock, but before payment of any dividends or other distributions to holders of Junior Stock (excluding dividends or other distributions to holders of Junior Stock payable exclusively in Junior Stock or rights to purchase Junior Stock), the holders of Series A Preferred Stock shall be entitled to receive, on a pari passu basis, a cumulative cash dividend in an amount equal to three percent (3%) of the Subscription Price per share, which shall be deemed accrued on June 30, and December 31 of each year regardless of whether declared by the Board of Directors. The dividend shall be paid, from funds legally available for such purpose, in two semi-annual installments on January 31 and July 31 of each year, or if such day is not a Business Day, on the next Business Day. Each such dividend shall be paid to the holders of record of the Series A Preferred Stock as their names appear on the share register of the Corporation on June 30, and December 31 of each year, as applicable, or, if a different date is designated by the Board of Directors with respect to the dividend payable, on the last Business Day immediately before the date on which the dividend is required to be paid.</w:t>
      </w:r>
    </w:p>
    <w:p>
      <w:pPr>
        <w:spacing w:after="0" w:line="169" w:lineRule="exact"/>
        <w:rPr>
          <w:rFonts w:ascii="Arial" w:cs="Arial" w:eastAsia="Arial" w:hAnsi="Arial"/>
          <w:sz w:val="14"/>
          <w:szCs w:val="14"/>
          <w:color w:val="auto"/>
        </w:rPr>
      </w:pPr>
    </w:p>
    <w:p>
      <w:pPr>
        <w:jc w:val="both"/>
        <w:ind w:left="5" w:hanging="5"/>
        <w:spacing w:after="0" w:line="293" w:lineRule="auto"/>
        <w:tabs>
          <w:tab w:leader="none" w:pos="497" w:val="left"/>
        </w:tabs>
        <w:numPr>
          <w:ilvl w:val="0"/>
          <w:numId w:val="153"/>
        </w:numPr>
        <w:rPr>
          <w:rFonts w:ascii="Arial" w:cs="Arial" w:eastAsia="Arial" w:hAnsi="Arial"/>
          <w:sz w:val="14"/>
          <w:szCs w:val="14"/>
          <w:color w:val="auto"/>
        </w:rPr>
      </w:pPr>
      <w:r>
        <w:rPr>
          <w:rFonts w:ascii="Arial" w:cs="Arial" w:eastAsia="Arial" w:hAnsi="Arial"/>
          <w:sz w:val="14"/>
          <w:szCs w:val="14"/>
          <w:color w:val="auto"/>
        </w:rPr>
        <w:t>Any dividends or distributions declared and paid or distributed with respect to Junior Stock (other than dividends or distributions in shares of Junior Stock resulting in an adjustment to the Conversion Price under Section 4(g)) shall likewise be declared and paid or distributed to holders of Series A Preferred Stock such that all holders of Junior Stock and Series A Preferred Stock shall receive such dividends or distributions in proportion to the number of shares of Junior Stock that would be held by each such holder if all shares of Series A Preferred Stock were converted to Common Stock (or such other series of Junior Stock, if applicable) at the Conversion Price in effect as of the record date for the determination of holders of Common Stock entitled to receive such dividend or distribution (or such other series of Junior Stock, if applicable); provided that the Board of Directors shall set the same record date for the determination of holders of Series A Preferred Stock, Parity Stock, and Junior Stock entitled to receive such dividend or distribution.</w:t>
      </w:r>
    </w:p>
    <w:p>
      <w:pPr>
        <w:spacing w:after="0" w:line="168" w:lineRule="exact"/>
        <w:rPr>
          <w:sz w:val="20"/>
          <w:szCs w:val="20"/>
          <w:color w:val="auto"/>
        </w:rPr>
      </w:pPr>
    </w:p>
    <w:p>
      <w:pPr>
        <w:ind w:left="365" w:hanging="365"/>
        <w:spacing w:after="0"/>
        <w:tabs>
          <w:tab w:leader="none" w:pos="365"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Distributions Upon Liquidation, Dissolution or Winding Up</w:t>
      </w:r>
      <w:r>
        <w:rPr>
          <w:rFonts w:ascii="Arial" w:cs="Arial" w:eastAsia="Arial" w:hAnsi="Arial"/>
          <w:sz w:val="16"/>
          <w:szCs w:val="16"/>
          <w:color w:val="auto"/>
        </w:rPr>
        <w:t>.</w:t>
      </w:r>
    </w:p>
    <w:p>
      <w:pPr>
        <w:spacing w:after="0" w:line="218" w:lineRule="exact"/>
        <w:rPr>
          <w:sz w:val="20"/>
          <w:szCs w:val="20"/>
          <w:color w:val="auto"/>
        </w:rPr>
      </w:pPr>
    </w:p>
    <w:p>
      <w:pPr>
        <w:jc w:val="both"/>
        <w:ind w:left="5" w:hanging="5"/>
        <w:spacing w:after="0" w:line="296" w:lineRule="auto"/>
        <w:tabs>
          <w:tab w:leader="none" w:pos="465" w:val="left"/>
        </w:tabs>
        <w:numPr>
          <w:ilvl w:val="0"/>
          <w:numId w:val="155"/>
        </w:numPr>
        <w:rPr>
          <w:rFonts w:ascii="Arial" w:cs="Arial" w:eastAsia="Arial" w:hAnsi="Arial"/>
          <w:sz w:val="14"/>
          <w:szCs w:val="14"/>
          <w:color w:val="auto"/>
        </w:rPr>
      </w:pPr>
      <w:r>
        <w:rPr>
          <w:rFonts w:ascii="Arial" w:cs="Arial" w:eastAsia="Arial" w:hAnsi="Arial"/>
          <w:sz w:val="14"/>
          <w:szCs w:val="14"/>
          <w:color w:val="auto"/>
        </w:rPr>
        <w:t>In the event of any voluntary or involuntary liquidation, dissolution or other winding up of the affairs of the Corporation, subject to the preferences and other rights of any Senior Stock, the holders of Series A Preferred Stock shall be entitled to be paid any dividends accrued pursuant to Section 2(a) but remaining unpaid. Such dividends shall be paid in cash. If the cash of the Corporation legally available for such distribution among the holders of the Series A Preferred Stock and any Parity Stock shall be insufficient to permit the payment to such holders of the full aforesaid preferential amount, then the entire amount legally available for distribution shall be distributed ratably among the holders of the Series A Preferred Stock and any Parity Stock in proportion to the full preferential amount that each such holder is otherwise entitled to receive under Section 2(a).</w:t>
      </w:r>
    </w:p>
    <w:p>
      <w:pPr>
        <w:spacing w:after="0" w:line="103"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74" w:name="page275"/>
    <w:bookmarkEnd w:id="274"/>
    <w:p>
      <w:pPr>
        <w:jc w:val="both"/>
        <w:ind w:left="5" w:right="20" w:hanging="5"/>
        <w:spacing w:after="0" w:line="250" w:lineRule="auto"/>
        <w:tabs>
          <w:tab w:leader="none" w:pos="42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Subject to the preferences and other rights of any Senior Stock, upon completion of the distribution required by subsection (a) of this Section 3, all of the remaining assets of the Corporation available for distribution to stockholders shall be distributed among the holders of Series A Preferred Stock, Parity Stock, and Common Stock in proportion to the number of shares of Common Stock that would be held by each such holder if all shares of Series A Preferred Stock and Parity Stock were converted into Common Stock at the applicable Conversion Price of Series A Preferred Stock and Parity Stock in effect as of the record date for the determination of holders of Common Stock entitled to receive such distribution; provided that the Board of Directors shall set the same record date for the determination of holders of Series A Preferred Stock, Parity Stock, and Common Stock entitled to receive such distribution.</w:t>
      </w:r>
    </w:p>
    <w:p>
      <w:pPr>
        <w:spacing w:after="0" w:line="197" w:lineRule="exact"/>
        <w:rPr>
          <w:rFonts w:ascii="Arial" w:cs="Arial" w:eastAsia="Arial" w:hAnsi="Arial"/>
          <w:sz w:val="16"/>
          <w:szCs w:val="16"/>
          <w:color w:val="auto"/>
        </w:rPr>
      </w:pPr>
    </w:p>
    <w:p>
      <w:pPr>
        <w:jc w:val="both"/>
        <w:ind w:left="5" w:right="20" w:hanging="5"/>
        <w:spacing w:after="0" w:line="282" w:lineRule="auto"/>
        <w:tabs>
          <w:tab w:leader="none" w:pos="465"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The (i) acquisition of the Corporation by another entity by means of any transaction or series of transactions (including, without limitation, any reorganization, merger or consolidation) in which the shareholders of the Corporation do not own a majority of the outstanding shares of the surviving or acquiring corporation upon completion of such transaction or series of transactions or (ii) a sale of all or substantially all of the assets of the Corporation shall be deemed a liquidation under this Section.</w:t>
      </w:r>
    </w:p>
    <w:p>
      <w:pPr>
        <w:spacing w:after="0" w:line="171" w:lineRule="exact"/>
        <w:rPr>
          <w:rFonts w:ascii="Arial" w:cs="Arial" w:eastAsia="Arial" w:hAnsi="Arial"/>
          <w:sz w:val="15"/>
          <w:szCs w:val="15"/>
          <w:color w:val="auto"/>
        </w:rPr>
      </w:pPr>
    </w:p>
    <w:p>
      <w:pPr>
        <w:jc w:val="both"/>
        <w:ind w:left="5" w:hanging="5"/>
        <w:spacing w:after="0" w:line="250" w:lineRule="auto"/>
        <w:tabs>
          <w:tab w:leader="none" w:pos="403"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Corporation shall give each holder of record of Series A Preferred Stock written notice of an impending transaction deemed to be a liquidation under this Section not later than twenty (20) days prior to the shareholders’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the Corporation shall thereafter give such holders prompt notice of any material changes. The transaction shall in no event take place sooner than twenty (20) days after the Corporation has given the first notice provided for herein or sooner than ten (10) days after the Corporation has given notice of any material changes provided for herein; provided, however, that such periods may be shortened upon the written consent of the holders of Series A Preferred Stock that represent at least a majority of the then outstanding shares of Series A Preferred Stock.</w:t>
      </w:r>
    </w:p>
    <w:p>
      <w:pPr>
        <w:spacing w:after="0" w:line="194" w:lineRule="exact"/>
        <w:rPr>
          <w:rFonts w:ascii="Arial" w:cs="Arial" w:eastAsia="Arial" w:hAnsi="Arial"/>
          <w:sz w:val="16"/>
          <w:szCs w:val="16"/>
          <w:color w:val="auto"/>
        </w:rPr>
      </w:pPr>
    </w:p>
    <w:p>
      <w:pPr>
        <w:jc w:val="both"/>
        <w:ind w:left="5" w:right="20" w:hanging="5"/>
        <w:spacing w:after="0" w:line="257" w:lineRule="auto"/>
        <w:tabs>
          <w:tab w:leader="none" w:pos="47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If the Corporation shall propose to take any action of the types described in Section 3(a) that will involve the distribution of assets other than cash, the notice described in subparagraph (d) above shall set forth a determination of the value (which may be an estimated value) of the assets to be distributed to the holders of shares of the Series A Preferred Stock, as determined in good faith by the Board of Directors of the Corporation.</w:t>
      </w:r>
    </w:p>
    <w:p>
      <w:pPr>
        <w:spacing w:after="0" w:line="126"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75" w:name="page276"/>
    <w:bookmarkEnd w:id="275"/>
    <w:p>
      <w:pPr>
        <w:ind w:left="365" w:hanging="365"/>
        <w:spacing w:after="0"/>
        <w:tabs>
          <w:tab w:leader="none" w:pos="365"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Conversion Rights</w:t>
      </w:r>
      <w:r>
        <w:rPr>
          <w:rFonts w:ascii="Arial" w:cs="Arial" w:eastAsia="Arial" w:hAnsi="Arial"/>
          <w:sz w:val="16"/>
          <w:szCs w:val="16"/>
          <w:color w:val="auto"/>
        </w:rPr>
        <w:t>. The Series A Preferred Stock shall be convertible into Common Stock as follows:</w:t>
      </w:r>
    </w:p>
    <w:p>
      <w:pPr>
        <w:spacing w:after="0" w:line="218" w:lineRule="exact"/>
        <w:rPr>
          <w:sz w:val="20"/>
          <w:szCs w:val="20"/>
          <w:color w:val="auto"/>
        </w:rPr>
      </w:pPr>
    </w:p>
    <w:p>
      <w:pPr>
        <w:ind w:left="385" w:hanging="385"/>
        <w:spacing w:after="0"/>
        <w:tabs>
          <w:tab w:leader="none" w:pos="385"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Conversion by Holder</w:t>
      </w:r>
      <w:r>
        <w:rPr>
          <w:rFonts w:ascii="Arial" w:cs="Arial" w:eastAsia="Arial" w:hAnsi="Arial"/>
          <w:sz w:val="16"/>
          <w:szCs w:val="16"/>
          <w:color w:val="auto"/>
        </w:rPr>
        <w:t>.</w:t>
      </w:r>
    </w:p>
    <w:p>
      <w:pPr>
        <w:spacing w:after="0" w:line="218" w:lineRule="exact"/>
        <w:rPr>
          <w:sz w:val="20"/>
          <w:szCs w:val="20"/>
          <w:color w:val="auto"/>
        </w:rPr>
      </w:pPr>
    </w:p>
    <w:p>
      <w:pPr>
        <w:jc w:val="both"/>
        <w:ind w:left="5" w:hanging="5"/>
        <w:spacing w:after="0" w:line="253" w:lineRule="auto"/>
        <w:tabs>
          <w:tab w:leader="none" w:pos="515"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Optional Conversion</w:t>
      </w:r>
      <w:r>
        <w:rPr>
          <w:rFonts w:ascii="Arial" w:cs="Arial" w:eastAsia="Arial" w:hAnsi="Arial"/>
          <w:sz w:val="16"/>
          <w:szCs w:val="16"/>
          <w:color w:val="auto"/>
        </w:rPr>
        <w:t>. Subject to and upon compliance with the provisions of this Section 4, and provided that an exemption from registration under the Securities Act of 1933, as amended, and an exemption from registration or qualification under applicable state securities or "blue sky" laws is then available, as determined in good faith by the Board of Directors, the Series A Preferred Stock shall be convertible at the election of the holder thereof, at any time and from time to time, into a number of fully paid and nonassessable shares of Common Stock determined in accordance with subparagraph (d) of this Section 4.</w:t>
      </w:r>
    </w:p>
    <w:p>
      <w:pPr>
        <w:spacing w:after="0" w:line="193" w:lineRule="exact"/>
        <w:rPr>
          <w:sz w:val="20"/>
          <w:szCs w:val="20"/>
          <w:color w:val="auto"/>
        </w:rPr>
      </w:pPr>
    </w:p>
    <w:p>
      <w:pPr>
        <w:ind w:left="5" w:hanging="5"/>
        <w:spacing w:after="0" w:line="267" w:lineRule="auto"/>
        <w:tabs>
          <w:tab w:leader="none" w:pos="450"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Automatic Conversion</w:t>
      </w:r>
      <w:r>
        <w:rPr>
          <w:rFonts w:ascii="Arial" w:cs="Arial" w:eastAsia="Arial" w:hAnsi="Arial"/>
          <w:sz w:val="16"/>
          <w:szCs w:val="16"/>
          <w:color w:val="auto"/>
        </w:rPr>
        <w:t>. Each outstanding share of Series A Preferred Stock shall automatically be converted, without any further act of the Corporation or its shareholders, into fully paid and nonassessable Common Stock at the Conversion Price then in effect upon the earlier of:</w:t>
      </w:r>
    </w:p>
    <w:p>
      <w:pPr>
        <w:spacing w:after="0" w:line="181" w:lineRule="exact"/>
        <w:rPr>
          <w:sz w:val="20"/>
          <w:szCs w:val="20"/>
          <w:color w:val="auto"/>
        </w:rPr>
      </w:pPr>
    </w:p>
    <w:p>
      <w:pPr>
        <w:ind w:left="365" w:hanging="365"/>
        <w:spacing w:after="0"/>
        <w:tabs>
          <w:tab w:leader="none" w:pos="365"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Automatic Conversion Date</w:t>
      </w:r>
      <w:r>
        <w:rPr>
          <w:rFonts w:ascii="Arial" w:cs="Arial" w:eastAsia="Arial" w:hAnsi="Arial"/>
          <w:sz w:val="16"/>
          <w:szCs w:val="16"/>
          <w:color w:val="auto"/>
        </w:rPr>
        <w:t>. March 4, 2019; or,</w:t>
      </w:r>
    </w:p>
    <w:p>
      <w:pPr>
        <w:spacing w:after="0" w:line="217" w:lineRule="exact"/>
        <w:rPr>
          <w:rFonts w:ascii="Arial" w:cs="Arial" w:eastAsia="Arial" w:hAnsi="Arial"/>
          <w:sz w:val="16"/>
          <w:szCs w:val="16"/>
          <w:color w:val="auto"/>
        </w:rPr>
      </w:pPr>
    </w:p>
    <w:p>
      <w:pPr>
        <w:ind w:left="385" w:hanging="385"/>
        <w:spacing w:after="0"/>
        <w:tabs>
          <w:tab w:leader="none" w:pos="385"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Vote</w:t>
      </w:r>
      <w:r>
        <w:rPr>
          <w:rFonts w:ascii="Arial" w:cs="Arial" w:eastAsia="Arial" w:hAnsi="Arial"/>
          <w:sz w:val="16"/>
          <w:szCs w:val="16"/>
          <w:color w:val="auto"/>
        </w:rPr>
        <w:t>. The holders of at least a majority of the outstanding shares of the Series A Preferred Stock, voting as a class, approve or consent to such conversion.</w:t>
      </w:r>
    </w:p>
    <w:p>
      <w:pPr>
        <w:spacing w:after="0" w:line="218" w:lineRule="exact"/>
        <w:rPr>
          <w:sz w:val="20"/>
          <w:szCs w:val="20"/>
          <w:color w:val="auto"/>
        </w:rPr>
      </w:pPr>
    </w:p>
    <w:p>
      <w:pPr>
        <w:jc w:val="both"/>
        <w:ind w:left="5" w:right="20" w:hanging="5"/>
        <w:spacing w:after="0" w:line="257" w:lineRule="auto"/>
        <w:tabs>
          <w:tab w:leader="none" w:pos="429"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Valid Issuance</w:t>
      </w:r>
      <w:r>
        <w:rPr>
          <w:rFonts w:ascii="Arial" w:cs="Arial" w:eastAsia="Arial" w:hAnsi="Arial"/>
          <w:sz w:val="16"/>
          <w:szCs w:val="16"/>
          <w:color w:val="auto"/>
        </w:rPr>
        <w:t>. All Common Stock which may be issued upon conversion of the Series A Preferred Stock will upon issuance by the Corporation be duly and validly issued, fully paid and nonassessable and free from all taxes, liens and charges with respect to the issuance thereof, and the Corporation shall take no action which will cause a contrary result.</w:t>
      </w:r>
    </w:p>
    <w:p>
      <w:pPr>
        <w:spacing w:after="0" w:line="188" w:lineRule="exact"/>
        <w:rPr>
          <w:rFonts w:ascii="Arial" w:cs="Arial" w:eastAsia="Arial" w:hAnsi="Arial"/>
          <w:sz w:val="16"/>
          <w:szCs w:val="16"/>
          <w:color w:val="auto"/>
        </w:rPr>
      </w:pPr>
    </w:p>
    <w:p>
      <w:pPr>
        <w:ind w:left="405" w:hanging="405"/>
        <w:spacing w:after="0"/>
        <w:tabs>
          <w:tab w:leader="none" w:pos="405"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Number of Shares Issuable Upon Conversion</w:t>
      </w:r>
      <w:r>
        <w:rPr>
          <w:rFonts w:ascii="Arial" w:cs="Arial" w:eastAsia="Arial" w:hAnsi="Arial"/>
          <w:sz w:val="14"/>
          <w:szCs w:val="14"/>
          <w:color w:val="auto"/>
        </w:rPr>
        <w:t>. Each share of Series A Preferred Stock shall be converted into the number of shares of Common Stock determined by dividing</w:t>
      </w:r>
    </w:p>
    <w:p>
      <w:pPr>
        <w:spacing w:after="0" w:line="39" w:lineRule="exact"/>
        <w:rPr>
          <w:rFonts w:ascii="Arial" w:cs="Arial" w:eastAsia="Arial" w:hAnsi="Arial"/>
          <w:sz w:val="14"/>
          <w:szCs w:val="14"/>
          <w:color w:val="auto"/>
        </w:rPr>
      </w:pPr>
    </w:p>
    <w:p>
      <w:pPr>
        <w:ind w:left="5" w:right="20" w:hanging="5"/>
        <w:spacing w:after="0" w:line="253" w:lineRule="auto"/>
        <w:tabs>
          <w:tab w:leader="none" w:pos="23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 number equal to the number of dollars and cents comprising the Subscription Price, by (y) a number equal to the number of dollars and cents comprising the Conversion Price in effect on the Conversion Date.</w:t>
      </w:r>
    </w:p>
    <w:p>
      <w:pPr>
        <w:spacing w:after="0" w:line="192" w:lineRule="exact"/>
        <w:rPr>
          <w:sz w:val="20"/>
          <w:szCs w:val="20"/>
          <w:color w:val="auto"/>
        </w:rPr>
      </w:pPr>
    </w:p>
    <w:p>
      <w:pPr>
        <w:jc w:val="both"/>
        <w:ind w:left="5" w:right="20" w:hanging="5"/>
        <w:spacing w:after="0" w:line="257" w:lineRule="auto"/>
        <w:tabs>
          <w:tab w:leader="none" w:pos="432"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Accrued But Unpaid Dividends</w:t>
      </w:r>
      <w:r>
        <w:rPr>
          <w:rFonts w:ascii="Arial" w:cs="Arial" w:eastAsia="Arial" w:hAnsi="Arial"/>
          <w:sz w:val="16"/>
          <w:szCs w:val="16"/>
          <w:color w:val="auto"/>
        </w:rPr>
        <w:t>. Upon the conversion of any Series A Preferred Stock, any accrued but unpaid dividends with respect to each such share shall be paid by the Corporation in cash, but any other dividends shall not be payable from and after the date of such conversion. A dividend shall be deemed accrued on June 30, and December 31 of each year for this purpose regardless of whether declared by the Board of Directors.</w:t>
      </w:r>
    </w:p>
    <w:p>
      <w:pPr>
        <w:spacing w:after="0" w:line="126"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76" w:name="page277"/>
    <w:bookmarkEnd w:id="276"/>
    <w:p>
      <w:pPr>
        <w:jc w:val="both"/>
        <w:ind w:left="5" w:hanging="5"/>
        <w:spacing w:after="0" w:line="285" w:lineRule="auto"/>
        <w:tabs>
          <w:tab w:leader="none" w:pos="453" w:val="left"/>
        </w:tabs>
        <w:numPr>
          <w:ilvl w:val="0"/>
          <w:numId w:val="165"/>
        </w:numPr>
        <w:rPr>
          <w:rFonts w:ascii="Arial" w:cs="Arial" w:eastAsia="Arial" w:hAnsi="Arial"/>
          <w:sz w:val="14"/>
          <w:szCs w:val="14"/>
          <w:color w:val="auto"/>
        </w:rPr>
      </w:pPr>
      <w:r>
        <w:rPr>
          <w:rFonts w:ascii="Arial" w:cs="Arial" w:eastAsia="Arial" w:hAnsi="Arial"/>
          <w:sz w:val="14"/>
          <w:szCs w:val="14"/>
          <w:u w:val="single" w:color="auto"/>
          <w:color w:val="auto"/>
        </w:rPr>
        <w:t>Mechanics of Conversion</w:t>
      </w:r>
      <w:r>
        <w:rPr>
          <w:rFonts w:ascii="Arial" w:cs="Arial" w:eastAsia="Arial" w:hAnsi="Arial"/>
          <w:sz w:val="14"/>
          <w:szCs w:val="14"/>
          <w:color w:val="auto"/>
        </w:rPr>
        <w:t>. The holder of any Series A Preferred Stock may exercise the conversion right specified in paragraph (a) of this Section 4 by surrendering to the Secretary of the Corporation or any transfer agent of the Corporation the certificate or certificates for the shares to be converted, if such shares are certificated, accompanied by written notice specifying the number of shares to be converted. Upon the occurrence of the event specified in paragraph (b) of this Section 4, the outstanding Series A Preferred Stock shall be converted automatically without any further action by the holders of such shares and whether or not the certificates representing such shares are surrendered to the Corporation or its transfer agent. Conversion shall be deemed to have been effected on the date when delivery of notice of an election to convert and certificates for shares is made in the case of conversion under paragraph (a) of this Section 4, or on the date of the event specified in paragraph (b) of this Section 4, and such date is referred to herein as the "Conversion Date." Subject to the provisions of subparagraph (g)(ii) of this Section 4, as promptly as practicable thereafter (and after surrender of the certificate or certificates evidencing Series A Preferred Stock to the Corporation or any transfer agent of the Corporation, if applicable) the Corporation shall issue and deliver to or upon the written order of such holder a certificate or certificates for the number of shares of Common Stock to which such holder is entitled and a check or cash with respect to any fractional interest in any share of Common Stock as provided in paragraph (f) of this Section 4. Subject to the provisions of subparagraph (g)(ii) of this Section 4, the person in whose name the certificate or certificates for Common Stock are to be issued shall be deemed to have become a holder of record of such Common Stock on the applicable Conversion Date. Upon conversion of only a portion of the number of shares covered by a certificate representing Series A Preferred Stock surrendered for conversion (in the case of conversion pursuant to paragraph (a) of this Section 4), as applicable, the Corporation shall issue and deliver to or upon the written order of the holder of the certificate so surrendered for conversion, at the expense of the Corporation, a new certificate covering the number of shares of Series A Preferred Stock representing the unconverted portion of the certificate so surrendered, if such shares are to be held in certificated form. Notwithstanding the foregoing, the Corporation shall not be obligated to issue to any holder of Series A Preferred Stock certificates evidencing the Common Stock issuable upon such conversion unless certificates evidencing the Series A Preferred Stock are delivered to either the Corporation or any transfer agent of the Corporation if such shares of Series A Preferred Stock are held in certificated form.</w:t>
      </w:r>
    </w:p>
    <w:p>
      <w:pPr>
        <w:spacing w:after="0" w:line="176" w:lineRule="exact"/>
        <w:rPr>
          <w:rFonts w:ascii="Arial" w:cs="Arial" w:eastAsia="Arial" w:hAnsi="Arial"/>
          <w:sz w:val="14"/>
          <w:szCs w:val="14"/>
          <w:color w:val="auto"/>
        </w:rPr>
      </w:pPr>
    </w:p>
    <w:p>
      <w:pPr>
        <w:jc w:val="both"/>
        <w:ind w:left="5" w:hanging="5"/>
        <w:spacing w:after="0" w:line="251" w:lineRule="auto"/>
        <w:tabs>
          <w:tab w:leader="none" w:pos="432"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 of Common Stock or scrip shall be issued upon conversion of Series A Preferred Stock. If more than one share of Series A Preferred Stock shall be surrendered for conversion at any one time by the same holder, the number of shares of Common Stock issuable upon conversion thereof shall be computed on the basis of the aggregate number of shares of Series A Preferred Stock so surrendered. Instead of any fractional share of Common Stock which would otherwise be issuable upon conversion of any Series A Preferred Stock, the Corporation shall pay a cash adjustment in respect of such fractional interest in an amount equal to that fractional interest at the then Fair Value.</w:t>
      </w:r>
    </w:p>
    <w:p>
      <w:pPr>
        <w:spacing w:after="0" w:line="195" w:lineRule="exact"/>
        <w:rPr>
          <w:rFonts w:ascii="Arial" w:cs="Arial" w:eastAsia="Arial" w:hAnsi="Arial"/>
          <w:sz w:val="16"/>
          <w:szCs w:val="16"/>
          <w:color w:val="auto"/>
        </w:rPr>
      </w:pPr>
    </w:p>
    <w:p>
      <w:pPr>
        <w:jc w:val="both"/>
        <w:ind w:left="5" w:right="20" w:hanging="5"/>
        <w:spacing w:after="0" w:line="250" w:lineRule="auto"/>
        <w:tabs>
          <w:tab w:leader="none" w:pos="497"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Conversion Price Adjustments</w:t>
      </w:r>
      <w:r>
        <w:rPr>
          <w:rFonts w:ascii="Arial" w:cs="Arial" w:eastAsia="Arial" w:hAnsi="Arial"/>
          <w:sz w:val="16"/>
          <w:szCs w:val="16"/>
          <w:color w:val="auto"/>
        </w:rPr>
        <w:t>. If the Corporation shall (A) declare a dividend or make a distribution on its Common Stock in shares of Common Stock, (B) subdivide or reclassify the outstanding Common Stock into a greater number of shares, or (C) combine or reclassify the outstanding Common Stock into a smaller number of shares, the Conversion Price in effect at the time of the record date for such dividend or distribution or the effective date of such subdivision, combination or reclassification shall be proportionately adjusted so that the holder of any Series A Preferred Stock surrendered for conversion after such date shall be entitled to receive the number of shares of Common Stock which he would have owned or been entitled to receive had such Series A Preferred Stock been converted immediately prior to such date. Successive adjustments in the Conversion Price shall be made whenever any event specified above shall occur.</w:t>
      </w:r>
    </w:p>
    <w:p>
      <w:pPr>
        <w:spacing w:after="0" w:line="135"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77" w:name="page278"/>
    <w:bookmarkEnd w:id="277"/>
    <w:p>
      <w:pPr>
        <w:jc w:val="both"/>
        <w:ind w:left="5" w:hanging="5"/>
        <w:spacing w:after="0" w:line="250" w:lineRule="auto"/>
        <w:tabs>
          <w:tab w:leader="none" w:pos="503"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Rounding of Calculations; Minimum Adjustment</w:t>
      </w:r>
      <w:r>
        <w:rPr>
          <w:rFonts w:ascii="Arial" w:cs="Arial" w:eastAsia="Arial" w:hAnsi="Arial"/>
          <w:sz w:val="16"/>
          <w:szCs w:val="16"/>
          <w:color w:val="auto"/>
        </w:rPr>
        <w:t>. All calculations under this Section 4(g) shall be made to the nearest cent or to the nearest one hundredth (1/100th) of a share, as the case may be. Any provision of this Section 4 to the contrary notwithstanding, no adjustment in the Conversion Price shall be made if the amount of such adjustment would be less than one percent (1%) of the Conversion Price, but any such amount shall be carried forward and an adjustment with respect thereto shall be made at the time of and together with any subsequent adjustment which, together with such amount and any other amount or amounts so carried forward, shall aggregate one percent (1%) of the Conversion Price or more. Notwithstanding the foregoing, the Board of Directors may elect at any time to make an adjustment otherwise required under this Section 4(g) of less than one percent (1%).</w:t>
      </w:r>
    </w:p>
    <w:p>
      <w:pPr>
        <w:spacing w:after="0" w:line="197" w:lineRule="exact"/>
        <w:rPr>
          <w:rFonts w:ascii="Arial" w:cs="Arial" w:eastAsia="Arial" w:hAnsi="Arial"/>
          <w:sz w:val="16"/>
          <w:szCs w:val="16"/>
          <w:color w:val="auto"/>
        </w:rPr>
      </w:pPr>
    </w:p>
    <w:p>
      <w:pPr>
        <w:jc w:val="both"/>
        <w:ind w:left="5" w:hanging="5"/>
        <w:spacing w:after="0" w:line="293" w:lineRule="auto"/>
        <w:tabs>
          <w:tab w:leader="none" w:pos="412" w:val="left"/>
        </w:tabs>
        <w:numPr>
          <w:ilvl w:val="0"/>
          <w:numId w:val="166"/>
        </w:numPr>
        <w:rPr>
          <w:rFonts w:ascii="Arial" w:cs="Arial" w:eastAsia="Arial" w:hAnsi="Arial"/>
          <w:sz w:val="14"/>
          <w:szCs w:val="14"/>
          <w:color w:val="auto"/>
        </w:rPr>
      </w:pPr>
      <w:r>
        <w:rPr>
          <w:rFonts w:ascii="Arial" w:cs="Arial" w:eastAsia="Arial" w:hAnsi="Arial"/>
          <w:sz w:val="14"/>
          <w:szCs w:val="14"/>
          <w:u w:val="single" w:color="auto"/>
          <w:color w:val="auto"/>
        </w:rPr>
        <w:t>Timing of Issuance of Additional Common Stock Upon Certain Adjustments</w:t>
      </w:r>
      <w:r>
        <w:rPr>
          <w:rFonts w:ascii="Arial" w:cs="Arial" w:eastAsia="Arial" w:hAnsi="Arial"/>
          <w:sz w:val="14"/>
          <w:szCs w:val="14"/>
          <w:color w:val="auto"/>
        </w:rPr>
        <w:t xml:space="preserve">. In any case in which the provisions of this Section 4(g) require that an adjustment shall become effective immediately after a record date for an event, the Corporation may defer until the occurrence of such event (A) issuing to the holder of any Series A Preferred Stock converted after such record date and before the occurrence of such event the additional Common Stock issuable upon such conversion by reason of the adjustment required by such event over and above the Common Stock issuable upon such conversion before giving effect to such adjustment, and (B) paying to such holder any amount of cash in lieu of a fractional Common Share pursuant to paragraph (h) of this Section 4;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Corporation upon request shall deliver to such holder a due bill or other appropriate instrument evidencing such holder's right to receive such additional shares, and such cash, upon the occurrence of the event requiring such adjustment.</w:t>
      </w:r>
    </w:p>
    <w:p>
      <w:pPr>
        <w:spacing w:after="0" w:line="168" w:lineRule="exact"/>
        <w:rPr>
          <w:sz w:val="20"/>
          <w:szCs w:val="20"/>
          <w:color w:val="auto"/>
        </w:rPr>
      </w:pPr>
    </w:p>
    <w:p>
      <w:pPr>
        <w:ind w:left="365" w:hanging="365"/>
        <w:spacing w:after="0"/>
        <w:tabs>
          <w:tab w:leader="none" w:pos="365"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Fair Value</w:t>
      </w:r>
      <w:r>
        <w:rPr>
          <w:rFonts w:ascii="Arial" w:cs="Arial" w:eastAsia="Arial" w:hAnsi="Arial"/>
          <w:sz w:val="16"/>
          <w:szCs w:val="16"/>
          <w:color w:val="auto"/>
        </w:rPr>
        <w:t>. The “Fair Value” per share of Common Stock for any date shall be determined by the Board of Directors as follows:</w:t>
      </w:r>
    </w:p>
    <w:p>
      <w:pPr>
        <w:spacing w:after="0" w:line="217" w:lineRule="exact"/>
        <w:rPr>
          <w:rFonts w:ascii="Arial" w:cs="Arial" w:eastAsia="Arial" w:hAnsi="Arial"/>
          <w:sz w:val="16"/>
          <w:szCs w:val="16"/>
          <w:color w:val="auto"/>
        </w:rPr>
      </w:pPr>
    </w:p>
    <w:p>
      <w:pPr>
        <w:ind w:left="5" w:right="20" w:hanging="5"/>
        <w:spacing w:after="0" w:line="267" w:lineRule="auto"/>
        <w:tabs>
          <w:tab w:leader="none" w:pos="40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If the Common Stock is listed on a national securities exchange, the Fair Value shall be the average of the last reported sale price of the Common Stock on such exchange , for the last twenty consecutive trading days prior to such date; or</w:t>
      </w:r>
    </w:p>
    <w:p>
      <w:pPr>
        <w:spacing w:after="0" w:line="181" w:lineRule="exact"/>
        <w:rPr>
          <w:sz w:val="20"/>
          <w:szCs w:val="20"/>
          <w:color w:val="auto"/>
        </w:rPr>
      </w:pPr>
    </w:p>
    <w:p>
      <w:pPr>
        <w:ind w:left="5" w:right="20" w:hanging="5"/>
        <w:spacing w:after="0" w:line="301" w:lineRule="auto"/>
        <w:tabs>
          <w:tab w:leader="none" w:pos="424" w:val="left"/>
        </w:tabs>
        <w:numPr>
          <w:ilvl w:val="0"/>
          <w:numId w:val="168"/>
        </w:numPr>
        <w:rPr>
          <w:rFonts w:ascii="Arial" w:cs="Arial" w:eastAsia="Arial" w:hAnsi="Arial"/>
          <w:sz w:val="15"/>
          <w:szCs w:val="15"/>
          <w:color w:val="auto"/>
        </w:rPr>
      </w:pPr>
      <w:r>
        <w:rPr>
          <w:rFonts w:ascii="Arial" w:cs="Arial" w:eastAsia="Arial" w:hAnsi="Arial"/>
          <w:sz w:val="15"/>
          <w:szCs w:val="15"/>
          <w:color w:val="auto"/>
        </w:rPr>
        <w:t>If the Common Stock is not listed on a national securities exchange but prices for the Common Stock are reported on the Nasdaq OTC Bulletin Board, the Fair Value shall be the average of the daily high and low sales prices reported on Nasdaq OTC Bulletin Board during the last twenty consecutive trading days prior to such date; or</w:t>
      </w:r>
    </w:p>
    <w:p>
      <w:pPr>
        <w:spacing w:after="0" w:line="158" w:lineRule="exact"/>
        <w:rPr>
          <w:rFonts w:ascii="Arial" w:cs="Arial" w:eastAsia="Arial" w:hAnsi="Arial"/>
          <w:sz w:val="15"/>
          <w:szCs w:val="15"/>
          <w:color w:val="auto"/>
        </w:rPr>
      </w:pPr>
    </w:p>
    <w:p>
      <w:pPr>
        <w:ind w:left="5" w:hanging="5"/>
        <w:spacing w:after="0" w:line="267" w:lineRule="auto"/>
        <w:tabs>
          <w:tab w:leader="none" w:pos="42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If the prices for the Common Stock cannot be determined under Section 4(h)(i) or Section 4(h)(ii), the Fair Value shall be an amount determined in such reasonable manner as may be prescribed by the Board of Directors in good faith, irrespective of any accounting treatment.</w:t>
      </w:r>
    </w:p>
    <w:p>
      <w:pPr>
        <w:spacing w:after="0" w:line="119"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78" w:name="page279"/>
    <w:bookmarkEnd w:id="278"/>
    <w:p>
      <w:pPr>
        <w:jc w:val="both"/>
        <w:ind w:left="5" w:hanging="5"/>
        <w:spacing w:after="0" w:line="251" w:lineRule="auto"/>
        <w:tabs>
          <w:tab w:leader="none" w:pos="408"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Statement Regarding Adjustments</w:t>
      </w:r>
      <w:r>
        <w:rPr>
          <w:rFonts w:ascii="Arial" w:cs="Arial" w:eastAsia="Arial" w:hAnsi="Arial"/>
          <w:sz w:val="16"/>
          <w:szCs w:val="16"/>
          <w:color w:val="auto"/>
        </w:rPr>
        <w:t>. Whenever the Conversion Price shall be adjusted as provided in paragraph (g) of this Section 4, the Corporation shall forthwith file, at the principal office of the Corporation, a statement showing in detail the facts requiring such adjustment and the Conversion Price that shall be in effect after such adjustment, and the Corporation shall also cause a copy of such statement to be sent by mail, first class postage prepaid, to each holder of Series A Preferred Stock at the address of such holder appearing on the Corporation's records. Where appropriate, such copy may be given in advance and may be included as part of a notice required to be mailed under the provisions of paragraph (j) of this Section 4.</w:t>
      </w:r>
    </w:p>
    <w:p>
      <w:pPr>
        <w:spacing w:after="0" w:line="195" w:lineRule="exact"/>
        <w:rPr>
          <w:rFonts w:ascii="Arial" w:cs="Arial" w:eastAsia="Arial" w:hAnsi="Arial"/>
          <w:sz w:val="16"/>
          <w:szCs w:val="16"/>
          <w:color w:val="auto"/>
        </w:rPr>
      </w:pPr>
    </w:p>
    <w:p>
      <w:pPr>
        <w:jc w:val="both"/>
        <w:ind w:left="5" w:hanging="5"/>
        <w:spacing w:after="0" w:line="282" w:lineRule="auto"/>
        <w:tabs>
          <w:tab w:leader="none" w:pos="503" w:val="left"/>
        </w:tabs>
        <w:numPr>
          <w:ilvl w:val="0"/>
          <w:numId w:val="169"/>
        </w:numPr>
        <w:rPr>
          <w:rFonts w:ascii="Arial" w:cs="Arial" w:eastAsia="Arial" w:hAnsi="Arial"/>
          <w:sz w:val="15"/>
          <w:szCs w:val="15"/>
          <w:color w:val="auto"/>
        </w:rPr>
      </w:pPr>
      <w:r>
        <w:rPr>
          <w:rFonts w:ascii="Arial" w:cs="Arial" w:eastAsia="Arial" w:hAnsi="Arial"/>
          <w:sz w:val="15"/>
          <w:szCs w:val="15"/>
          <w:u w:val="single" w:color="auto"/>
          <w:color w:val="auto"/>
        </w:rPr>
        <w:t>Notice to Holders</w:t>
      </w:r>
      <w:r>
        <w:rPr>
          <w:rFonts w:ascii="Arial" w:cs="Arial" w:eastAsia="Arial" w:hAnsi="Arial"/>
          <w:sz w:val="15"/>
          <w:szCs w:val="15"/>
          <w:color w:val="auto"/>
        </w:rPr>
        <w:t>. In the event the Corporation take any action resulting in an adjustment of the Conversion Price as provided in Section 4(g), the Corporation shall give notice to each holder of Series A Preferred Stock, in the manner set forth in paragraph (i) of this Section 4, which notice shall specify the adjustment of the Conversion Price and the effective date of such adjustment. Failure to give such notice, or any defect therein, shall not affect the legality or validity of any such action.</w:t>
      </w:r>
    </w:p>
    <w:p>
      <w:pPr>
        <w:spacing w:after="0" w:line="171" w:lineRule="exact"/>
        <w:rPr>
          <w:rFonts w:ascii="Arial" w:cs="Arial" w:eastAsia="Arial" w:hAnsi="Arial"/>
          <w:sz w:val="15"/>
          <w:szCs w:val="15"/>
          <w:color w:val="auto"/>
        </w:rPr>
      </w:pPr>
    </w:p>
    <w:p>
      <w:pPr>
        <w:jc w:val="both"/>
        <w:ind w:left="5" w:right="20" w:hanging="5"/>
        <w:spacing w:after="0" w:line="282" w:lineRule="auto"/>
        <w:tabs>
          <w:tab w:leader="none" w:pos="403" w:val="left"/>
        </w:tabs>
        <w:numPr>
          <w:ilvl w:val="0"/>
          <w:numId w:val="169"/>
        </w:numPr>
        <w:rPr>
          <w:rFonts w:ascii="Arial" w:cs="Arial" w:eastAsia="Arial" w:hAnsi="Arial"/>
          <w:sz w:val="15"/>
          <w:szCs w:val="15"/>
          <w:color w:val="auto"/>
        </w:rPr>
      </w:pPr>
      <w:r>
        <w:rPr>
          <w:rFonts w:ascii="Arial" w:cs="Arial" w:eastAsia="Arial" w:hAnsi="Arial"/>
          <w:sz w:val="15"/>
          <w:szCs w:val="15"/>
          <w:u w:val="single" w:color="auto"/>
          <w:color w:val="auto"/>
        </w:rPr>
        <w:t>Costs</w:t>
      </w:r>
      <w:r>
        <w:rPr>
          <w:rFonts w:ascii="Arial" w:cs="Arial" w:eastAsia="Arial" w:hAnsi="Arial"/>
          <w:sz w:val="15"/>
          <w:szCs w:val="15"/>
          <w:color w:val="auto"/>
        </w:rPr>
        <w:t>. The Corporation shall pay all documentary, stamp, transfer or other transaction taxes, if any, attributable to the issuance or delivery of Common Stock upon conversion of, any Series A Preferred Stock; provided that the Corporation shall not be required to pay any taxes which may be payable in respect of any transfer involved in the issuance or delivery of any certificate for such shares in a name other than that of the holder of the Preferred Stock in respect of which such shares are being issued.</w:t>
      </w:r>
    </w:p>
    <w:p>
      <w:pPr>
        <w:spacing w:after="0" w:line="171" w:lineRule="exact"/>
        <w:rPr>
          <w:rFonts w:ascii="Arial" w:cs="Arial" w:eastAsia="Arial" w:hAnsi="Arial"/>
          <w:sz w:val="15"/>
          <w:szCs w:val="15"/>
          <w:color w:val="auto"/>
        </w:rPr>
      </w:pPr>
    </w:p>
    <w:p>
      <w:pPr>
        <w:jc w:val="both"/>
        <w:ind w:left="5" w:hanging="5"/>
        <w:spacing w:after="0" w:line="293" w:lineRule="auto"/>
        <w:tabs>
          <w:tab w:leader="none" w:pos="397" w:val="left"/>
        </w:tabs>
        <w:numPr>
          <w:ilvl w:val="0"/>
          <w:numId w:val="169"/>
        </w:numPr>
        <w:rPr>
          <w:rFonts w:ascii="Arial" w:cs="Arial" w:eastAsia="Arial" w:hAnsi="Arial"/>
          <w:sz w:val="14"/>
          <w:szCs w:val="14"/>
          <w:color w:val="auto"/>
        </w:rPr>
      </w:pPr>
      <w:r>
        <w:rPr>
          <w:rFonts w:ascii="Arial" w:cs="Arial" w:eastAsia="Arial" w:hAnsi="Arial"/>
          <w:sz w:val="14"/>
          <w:szCs w:val="14"/>
          <w:u w:val="single" w:color="auto"/>
          <w:color w:val="auto"/>
        </w:rPr>
        <w:t>Reservation of Shares</w:t>
      </w:r>
      <w:r>
        <w:rPr>
          <w:rFonts w:ascii="Arial" w:cs="Arial" w:eastAsia="Arial" w:hAnsi="Arial"/>
          <w:sz w:val="14"/>
          <w:szCs w:val="14"/>
          <w:color w:val="auto"/>
        </w:rPr>
        <w:t>. So long as any Series A Preferred Stock remain outstanding, the Corporation shall reserve at all times free from preemptive rights, out of its authorized but unissued Common Stock, solely for the purpose of effecting the conversion of the Series A Preferred Stock, sufficient Common Stock to provide for the conversion of all outstanding Series A Preferred Stock; and if at any time the number of authorized but unissued shares of Common Stock shall not be sufficient to effect the conversion of all then outstanding shares of Series A Preferred Stock, the Corporation will take such corporate action as may, in the opinion of counsel, be necessary to increase its authorized but unissued shares of Common Stock to such number of shares as shall be sufficient for such purposes, including, without limitation, engaging in best efforts to obtain the requisite shareholder approval of any necessary amendment to, as applicable, this Certificate of Determination or the Corporation’s Articles of Incorporation, as may be amended in the future.</w:t>
      </w:r>
    </w:p>
    <w:p>
      <w:pPr>
        <w:spacing w:after="0" w:line="318"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79" w:name="page280"/>
    <w:bookmarkEnd w:id="279"/>
    <w:p>
      <w:pPr>
        <w:ind w:left="385" w:hanging="385"/>
        <w:spacing w:after="0"/>
        <w:tabs>
          <w:tab w:leader="none" w:pos="385"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w:t>
      </w:r>
    </w:p>
    <w:p>
      <w:pPr>
        <w:spacing w:after="0" w:line="218" w:lineRule="exact"/>
        <w:rPr>
          <w:sz w:val="20"/>
          <w:szCs w:val="20"/>
          <w:color w:val="auto"/>
        </w:rPr>
      </w:pPr>
    </w:p>
    <w:p>
      <w:pPr>
        <w:jc w:val="both"/>
        <w:ind w:left="5" w:right="20" w:hanging="5"/>
        <w:spacing w:after="0" w:line="266" w:lineRule="auto"/>
        <w:tabs>
          <w:tab w:leader="none" w:pos="394" w:val="left"/>
        </w:tabs>
        <w:numPr>
          <w:ilvl w:val="0"/>
          <w:numId w:val="171"/>
        </w:numPr>
        <w:rPr>
          <w:rFonts w:ascii="Arial" w:cs="Arial" w:eastAsia="Arial" w:hAnsi="Arial"/>
          <w:sz w:val="15"/>
          <w:szCs w:val="15"/>
          <w:color w:val="auto"/>
        </w:rPr>
      </w:pPr>
      <w:r>
        <w:rPr>
          <w:rFonts w:ascii="Arial" w:cs="Arial" w:eastAsia="Arial" w:hAnsi="Arial"/>
          <w:sz w:val="15"/>
          <w:szCs w:val="15"/>
          <w:color w:val="auto"/>
        </w:rPr>
        <w:t>In addition to the special voting rights provided in paragraph (b) of this Section 5 below and by applicable law, the holders of Series A Preferred Stock shall be entitled to vote upon all matters upon which holders of the Common Stock have the right to vote, or, if no Common Stock is issued and outstanding, all matters upon which holders of Common Stock would have the right to vote as a matter of law. The holders of Series A Preferred Stock shall also be entitled, notwithstanding any provision hereof, to notice of any shareholders’ meeting in accordance with the Bylaws of the Corporation. The holders of Series A Preferred Stock shall be entitled to cast the number of votes equal to the largest number of whole shares of Common Stock into which such Series A Preferred Stock could be converted pursuant to the provisions of Section 4 hereof at the record date for the determination of the shareholders entitled to vote on such matters, or, if no such record date is established, at the date such vote is taken or any written consent of shareholders is solicited. Such votes shall be counted together with votes of Common Stock and all other shares of capital stock having general voting powers, and shall not be counted separately as a class. In all cases where the holders of Series A Preferred Stock have the right (separately or together with holders of any other series of Preferred Stock of the Corporation) to vote separately as a class or as a series, such holders shall be entitled to one vote for each such share held by them respectively. Fractional votes shall not, however, be permitted and any fractional voting rights available on an as-converted basis (after aggregating all shares into which shares of Series A Preferred Stock held by each holder could be converted) shall be rounded to the nearest whole number (with one-half being rounded upward).</w:t>
      </w:r>
    </w:p>
    <w:p>
      <w:pPr>
        <w:spacing w:after="0" w:line="189" w:lineRule="exact"/>
        <w:rPr>
          <w:rFonts w:ascii="Arial" w:cs="Arial" w:eastAsia="Arial" w:hAnsi="Arial"/>
          <w:sz w:val="15"/>
          <w:szCs w:val="15"/>
          <w:color w:val="auto"/>
        </w:rPr>
      </w:pPr>
    </w:p>
    <w:p>
      <w:pPr>
        <w:jc w:val="both"/>
        <w:ind w:left="5" w:hanging="5"/>
        <w:spacing w:after="0" w:line="266" w:lineRule="auto"/>
        <w:tabs>
          <w:tab w:leader="none" w:pos="462"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following matters shall require the approval of the holders of a majority of the Series A Preferred Stock then outstanding, voting as a separate class: (i) creation of any Preferred Stock ranking as Senior Stock to the Series A Preferred Stock with respect to the payment of dividends, liquidation preferences or voting rights; (ii) repurchase of any shares of Junior Stock except shares issued pursuant to or in connection with a compensation or incentive plan or agreement approved by the Board of Directors for any officers, directors, employees or consultants of the Corporation; (ii) any sale, conveyance, or other disposition of all or substantially all the Corporation's property or business, or any liquidation or dissolution of the Corporation, or a merger into or consolidation with any other corporation (other than a wholly-owned Subsidiary corporation), or any one or series of related transactions in which more than 50% of the voting power of the Corporation is disposed of, unless upon consummation of such transaction the holders of Series A Preferred Stock would receive a distribution on account of each share of Series A Preferred Stock an amount of cash or other property or both having a value (determined in accordance with Section 3(e)) at least equal to the value of any cash, property, or both to which holders of Common Stock would be entitled to receive, plus the amount of any accrued but unpaid dividends pursuant to Section 2(a); (iii) any adverse change in the rights, preferences and privileges of the Series A Preferred Stock; or (iv) any amendment of the Corporation's Articles of Incorporation, including this Resolution, or Bylaws that results in any adverse change in the rights, preferences or privileges of the Series A Preferred Stock; provided, that nothing in this paragraph shall restrict or limit the rights and powers of the Board of Directors to fix by resolution the rights, preferences, and privileges of, and restrictions and limitations on, stock ranking as Parity Stock or Junior Stock to Series A Preferred Stock.</w:t>
      </w:r>
    </w:p>
    <w:p>
      <w:pPr>
        <w:spacing w:after="0" w:line="125"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80" w:name="page281"/>
    <w:bookmarkEnd w:id="280"/>
    <w:p>
      <w:pPr>
        <w:ind w:left="5" w:hanging="5"/>
        <w:spacing w:after="0" w:line="267" w:lineRule="auto"/>
        <w:tabs>
          <w:tab w:leader="none" w:pos="46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Exclusion of Other Rights</w:t>
      </w:r>
      <w:r>
        <w:rPr>
          <w:rFonts w:ascii="Arial" w:cs="Arial" w:eastAsia="Arial" w:hAnsi="Arial"/>
          <w:sz w:val="16"/>
          <w:szCs w:val="16"/>
          <w:color w:val="auto"/>
        </w:rPr>
        <w:t>. Except as may otherwise be required by law, the Series A Preferred Stock shall not have any rights, preferences, privileges or restrictions other than those specifically set forth in this resolution and in the Corporation's Articles of Incorporation.</w:t>
      </w:r>
    </w:p>
    <w:p>
      <w:pPr>
        <w:spacing w:after="0" w:line="181" w:lineRule="exact"/>
        <w:rPr>
          <w:rFonts w:ascii="Arial" w:cs="Arial" w:eastAsia="Arial" w:hAnsi="Arial"/>
          <w:sz w:val="16"/>
          <w:szCs w:val="16"/>
          <w:color w:val="auto"/>
        </w:rPr>
      </w:pPr>
    </w:p>
    <w:p>
      <w:pPr>
        <w:ind w:left="5" w:right="20" w:hanging="5"/>
        <w:spacing w:after="0" w:line="267" w:lineRule="auto"/>
        <w:tabs>
          <w:tab w:leader="none" w:pos="366"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Headings of Subdivisions</w:t>
      </w:r>
      <w:r>
        <w:rPr>
          <w:rFonts w:ascii="Arial" w:cs="Arial" w:eastAsia="Arial" w:hAnsi="Arial"/>
          <w:sz w:val="16"/>
          <w:szCs w:val="16"/>
          <w:color w:val="auto"/>
        </w:rPr>
        <w:t>. The headings of the various subdivisions hereof are for convenience of reference only and shall not affect the interpretation of any of the provisions hereof.</w:t>
      </w:r>
    </w:p>
    <w:p>
      <w:pPr>
        <w:spacing w:after="0" w:line="181" w:lineRule="exact"/>
        <w:rPr>
          <w:rFonts w:ascii="Arial" w:cs="Arial" w:eastAsia="Arial" w:hAnsi="Arial"/>
          <w:sz w:val="16"/>
          <w:szCs w:val="16"/>
          <w:color w:val="auto"/>
        </w:rPr>
      </w:pPr>
    </w:p>
    <w:p>
      <w:pPr>
        <w:jc w:val="both"/>
        <w:ind w:left="5" w:hanging="5"/>
        <w:spacing w:after="0" w:line="276" w:lineRule="auto"/>
        <w:tabs>
          <w:tab w:leader="none" w:pos="445" w:val="left"/>
        </w:tabs>
        <w:numPr>
          <w:ilvl w:val="0"/>
          <w:numId w:val="172"/>
        </w:numPr>
        <w:rPr>
          <w:rFonts w:ascii="Arial" w:cs="Arial" w:eastAsia="Arial" w:hAnsi="Arial"/>
          <w:sz w:val="15"/>
          <w:szCs w:val="15"/>
          <w:color w:val="auto"/>
        </w:rPr>
      </w:pPr>
      <w:r>
        <w:rPr>
          <w:rFonts w:ascii="Arial" w:cs="Arial" w:eastAsia="Arial" w:hAnsi="Arial"/>
          <w:sz w:val="15"/>
          <w:szCs w:val="15"/>
          <w:u w:val="single" w:color="auto"/>
          <w:color w:val="auto"/>
        </w:rPr>
        <w:t>Severability of Provisions</w:t>
      </w:r>
      <w:r>
        <w:rPr>
          <w:rFonts w:ascii="Arial" w:cs="Arial" w:eastAsia="Arial" w:hAnsi="Arial"/>
          <w:sz w:val="15"/>
          <w:szCs w:val="15"/>
          <w:color w:val="auto"/>
        </w:rPr>
        <w:t>. If any right, preference or limitation of the Series A Preferred Stock set forth in this resolution (as such resolution may be amended from time to time) is invalid, unlawful or incapable of being enforced by reason of any rule of law or public policy, all other rights, preferences and limitations set forth in this resolution (as so amended) which can be given effect without the invalid, unlawful or unenforceable right, preference or limitation shall, nevertheless, remain in full force and effect, and no right, preference or limitation herein set forth shall be deemed dependent upon any other such right, preference or limitation unless so expressed herein.</w:t>
      </w:r>
    </w:p>
    <w:p>
      <w:pPr>
        <w:spacing w:after="0" w:line="175" w:lineRule="exact"/>
        <w:rPr>
          <w:rFonts w:ascii="Arial" w:cs="Arial" w:eastAsia="Arial" w:hAnsi="Arial"/>
          <w:sz w:val="15"/>
          <w:szCs w:val="15"/>
          <w:color w:val="auto"/>
        </w:rPr>
      </w:pPr>
    </w:p>
    <w:p>
      <w:pPr>
        <w:jc w:val="both"/>
        <w:ind w:left="5" w:right="20" w:hanging="5"/>
        <w:spacing w:after="0" w:line="257" w:lineRule="auto"/>
        <w:tabs>
          <w:tab w:leader="none" w:pos="492"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Status of Reacquired Shares</w:t>
      </w:r>
      <w:r>
        <w:rPr>
          <w:rFonts w:ascii="Arial" w:cs="Arial" w:eastAsia="Arial" w:hAnsi="Arial"/>
          <w:sz w:val="16"/>
          <w:szCs w:val="16"/>
          <w:color w:val="auto"/>
        </w:rPr>
        <w:t>. Shares of Series A Preferred Stock which have been issued and reacquired in any manner or which shall have been converted into Common Stock shall (upon compliance with any applicable provisions of the laws of the State of California) have the status of authorized and unissued Preferred Stock of the Corporation undesignated as to series and may be redesignated as to series and reissued.</w:t>
      </w:r>
    </w:p>
    <w:p>
      <w:pPr>
        <w:spacing w:after="0" w:line="188" w:lineRule="exact"/>
        <w:rPr>
          <w:rFonts w:ascii="Arial" w:cs="Arial" w:eastAsia="Arial" w:hAnsi="Arial"/>
          <w:sz w:val="16"/>
          <w:szCs w:val="16"/>
          <w:color w:val="auto"/>
        </w:rPr>
      </w:pPr>
    </w:p>
    <w:p>
      <w:pPr>
        <w:jc w:val="both"/>
        <w:ind w:left="5" w:right="20" w:hanging="5"/>
        <w:spacing w:after="0" w:line="253" w:lineRule="auto"/>
        <w:tabs>
          <w:tab w:leader="none" w:pos="487"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Repurchases</w:t>
      </w:r>
      <w:r>
        <w:rPr>
          <w:rFonts w:ascii="Arial" w:cs="Arial" w:eastAsia="Arial" w:hAnsi="Arial"/>
          <w:sz w:val="16"/>
          <w:szCs w:val="16"/>
          <w:color w:val="auto"/>
        </w:rPr>
        <w:t>. With respect to the holders of Series A Preferred Stock, any repurchase by the Corporation of its outstanding Common Stock upon exercise of a repurchase option contained in an agreement between the Corporation and one or more of its employees, consultants, officers, directors, employee stock ownership plan trustees, or other persons having a business relationship with the Corporation shall be permissible, and each holder of Series A Preferred Stock consents to any such repurchases, regardless of any restrictions on such repurchase under Section 502, 503 or 506 of the California Corporations Code.</w:t>
      </w:r>
    </w:p>
    <w:p>
      <w:pPr>
        <w:spacing w:after="0" w:line="193" w:lineRule="exact"/>
        <w:rPr>
          <w:sz w:val="20"/>
          <w:szCs w:val="20"/>
          <w:color w:val="auto"/>
        </w:rPr>
      </w:pPr>
    </w:p>
    <w:p>
      <w:pPr>
        <w:jc w:val="both"/>
        <w:ind w:left="5" w:right="20"/>
        <w:spacing w:after="0" w:line="257" w:lineRule="auto"/>
        <w:rPr>
          <w:sz w:val="20"/>
          <w:szCs w:val="20"/>
          <w:color w:val="auto"/>
        </w:rPr>
      </w:pPr>
      <w:r>
        <w:rPr>
          <w:rFonts w:ascii="Arial" w:cs="Arial" w:eastAsia="Arial" w:hAnsi="Arial"/>
          <w:sz w:val="16"/>
          <w:szCs w:val="16"/>
          <w:color w:val="auto"/>
        </w:rPr>
        <w:t>RESOLVED FURTHER, that the Chief Executive Officer, President, or any Vice President, and the Secretary or any Assistant Secretary of this Corporation be, and they hereby are, authorized and directed to execute, acknowledge, file and record a certificate of determination of preference in accordance with the foregoing resolution and the provisions of California law."</w:t>
      </w:r>
    </w:p>
    <w:p>
      <w:pPr>
        <w:spacing w:after="0" w:line="189" w:lineRule="exact"/>
        <w:rPr>
          <w:sz w:val="20"/>
          <w:szCs w:val="20"/>
          <w:color w:val="auto"/>
        </w:rPr>
      </w:pPr>
    </w:p>
    <w:p>
      <w:pPr>
        <w:ind w:left="5" w:right="360" w:hanging="5"/>
        <w:spacing w:after="0" w:line="598" w:lineRule="auto"/>
        <w:tabs>
          <w:tab w:leader="none" w:pos="404"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The number of shares of Series A Preferred Stock is 300,000. As of the date of this Certificate of Determination, no shares of Series A Preferred Stock have been issued. We declare under penalty of perjury under the laws of the State of California that the matters set forth in this Certificate are true and correct of our own knowledge.</w:t>
      </w:r>
    </w:p>
    <w:p>
      <w:pPr>
        <w:spacing w:after="0" w:line="1" w:lineRule="exact"/>
        <w:rPr>
          <w:sz w:val="20"/>
          <w:szCs w:val="20"/>
          <w:color w:val="auto"/>
        </w:rPr>
      </w:pPr>
    </w:p>
    <w:p>
      <w:pPr>
        <w:ind w:left="5"/>
        <w:spacing w:after="0"/>
        <w:rPr>
          <w:sz w:val="20"/>
          <w:szCs w:val="20"/>
          <w:color w:val="auto"/>
        </w:rPr>
      </w:pPr>
      <w:r>
        <w:rPr>
          <w:rFonts w:ascii="Arial" w:cs="Arial" w:eastAsia="Arial" w:hAnsi="Arial"/>
          <w:sz w:val="16"/>
          <w:szCs w:val="16"/>
          <w:color w:val="auto"/>
        </w:rPr>
        <w:t>Executed at Alameda, California on March 3, 2014.</w:t>
      </w:r>
    </w:p>
    <w:p>
      <w:pPr>
        <w:spacing w:after="0" w:line="155"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81" w:name="page282"/>
    <w:bookmarkEnd w:id="28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208915</wp:posOffset>
            </wp:positionV>
            <wp:extent cx="2543810" cy="152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43810" cy="15240"/>
                    </a:xfrm>
                    <a:prstGeom prst="rect">
                      <a:avLst/>
                    </a:prstGeom>
                    <a:noFill/>
                  </pic:spPr>
                </pic:pic>
              </a:graphicData>
            </a:graphic>
          </wp:anchor>
        </w:drawing>
        <w:t>Michael D. West,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2543810" cy="152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543810" cy="1524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Judith Segall, Secretary</w:t>
      </w:r>
    </w:p>
    <w:p>
      <w:pPr>
        <w:spacing w:after="0" w:line="368"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19"/>
          </w:cols>
          <w:pgMar w:left="240" w:top="340" w:right="1440" w:bottom="1440" w:gutter="0" w:footer="0" w:header="0"/>
        </w:sectPr>
      </w:pPr>
    </w:p>
    <w:bookmarkStart w:id="282" w:name="page283"/>
    <w:bookmarkEnd w:id="282"/>
    <w:p>
      <w:pPr>
        <w:jc w:val="center"/>
        <w:spacing w:after="0"/>
        <w:rPr>
          <w:sz w:val="20"/>
          <w:szCs w:val="20"/>
          <w:color w:val="auto"/>
        </w:rPr>
      </w:pPr>
      <w:r>
        <w:rPr>
          <w:rFonts w:ascii="Arial" w:cs="Arial" w:eastAsia="Arial" w:hAnsi="Arial"/>
          <w:sz w:val="16"/>
          <w:szCs w:val="16"/>
          <w:color w:val="auto"/>
        </w:rPr>
        <w:t>EXHIBIT B</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123190</wp:posOffset>
            </wp:positionV>
            <wp:extent cx="7263765" cy="152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83" w:name="page284"/>
    <w:bookmarkEnd w:id="283"/>
    <w:p>
      <w:pPr>
        <w:jc w:val="center"/>
        <w:spacing w:after="0"/>
        <w:rPr>
          <w:sz w:val="20"/>
          <w:szCs w:val="20"/>
          <w:color w:val="auto"/>
        </w:rPr>
      </w:pPr>
      <w:r>
        <w:rPr>
          <w:rFonts w:ascii="Arial" w:cs="Arial" w:eastAsia="Arial" w:hAnsi="Arial"/>
          <w:sz w:val="16"/>
          <w:szCs w:val="16"/>
          <w:b w:val="1"/>
          <w:bCs w:val="1"/>
          <w:color w:val="auto"/>
        </w:rPr>
        <w:t>OPTION AGREEMENT</w:t>
      </w:r>
    </w:p>
    <w:p>
      <w:pPr>
        <w:spacing w:after="0" w:line="194"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This Option Agreement (“Option”) is entered into as of March 4, 2014 (the “</w:t>
      </w:r>
      <w:r>
        <w:rPr>
          <w:rFonts w:ascii="Arial" w:cs="Arial" w:eastAsia="Arial" w:hAnsi="Arial"/>
          <w:sz w:val="14"/>
          <w:szCs w:val="14"/>
          <w:b w:val="1"/>
          <w:bCs w:val="1"/>
          <w:color w:val="auto"/>
        </w:rPr>
        <w:t>Effective Date</w:t>
      </w:r>
      <w:r>
        <w:rPr>
          <w:rFonts w:ascii="Arial" w:cs="Arial" w:eastAsia="Arial" w:hAnsi="Arial"/>
          <w:sz w:val="14"/>
          <w:szCs w:val="14"/>
          <w:color w:val="auto"/>
        </w:rPr>
        <w:t>”) by BioTime, Inc., a California 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_________ (the “</w:t>
      </w:r>
      <w:r>
        <w:rPr>
          <w:rFonts w:ascii="Arial" w:cs="Arial" w:eastAsia="Arial" w:hAnsi="Arial"/>
          <w:sz w:val="14"/>
          <w:szCs w:val="14"/>
          <w:b w:val="1"/>
          <w:bCs w:val="1"/>
          <w:color w:val="auto"/>
        </w:rPr>
        <w:t>Purchaser</w:t>
      </w:r>
      <w:r>
        <w:rPr>
          <w:rFonts w:ascii="Arial" w:cs="Arial" w:eastAsia="Arial" w:hAnsi="Arial"/>
          <w:sz w:val="14"/>
          <w:szCs w:val="14"/>
          <w:color w:val="auto"/>
        </w:rPr>
        <w:t>”) in connection that certain Preferred Stock Purchase Agreement, dated March 4, 2014, between the Company and Purchaser (the “</w:t>
      </w:r>
      <w:r>
        <w:rPr>
          <w:rFonts w:ascii="Arial" w:cs="Arial" w:eastAsia="Arial" w:hAnsi="Arial"/>
          <w:sz w:val="14"/>
          <w:szCs w:val="14"/>
          <w:b w:val="1"/>
          <w:bCs w:val="1"/>
          <w:color w:val="auto"/>
        </w:rPr>
        <w:t>Securities Purchase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207" w:lineRule="exact"/>
        <w:rPr>
          <w:sz w:val="20"/>
          <w:szCs w:val="20"/>
          <w:color w:val="auto"/>
        </w:rPr>
      </w:pPr>
    </w:p>
    <w:p>
      <w:pPr>
        <w:ind w:left="1660" w:hanging="531"/>
        <w:spacing w:after="0"/>
        <w:tabs>
          <w:tab w:leader="none" w:pos="166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GRANT OF OPTION.</w:t>
      </w:r>
    </w:p>
    <w:p>
      <w:pPr>
        <w:spacing w:after="0" w:line="213" w:lineRule="exact"/>
        <w:rPr>
          <w:rFonts w:ascii="Arial" w:cs="Arial" w:eastAsia="Arial" w:hAnsi="Arial"/>
          <w:sz w:val="16"/>
          <w:szCs w:val="16"/>
          <w:color w:val="auto"/>
        </w:rPr>
      </w:pPr>
    </w:p>
    <w:p>
      <w:pPr>
        <w:jc w:val="both"/>
        <w:ind w:right="20" w:firstLine="1696"/>
        <w:spacing w:after="0" w:line="298" w:lineRule="auto"/>
        <w:tabs>
          <w:tab w:leader="none" w:pos="2130" w:val="left"/>
        </w:tabs>
        <w:numPr>
          <w:ilvl w:val="1"/>
          <w:numId w:val="174"/>
        </w:numPr>
        <w:rPr>
          <w:rFonts w:ascii="Arial" w:cs="Arial" w:eastAsia="Arial" w:hAnsi="Arial"/>
          <w:sz w:val="14"/>
          <w:szCs w:val="14"/>
          <w:color w:val="auto"/>
        </w:rPr>
      </w:pPr>
      <w:r>
        <w:rPr>
          <w:rFonts w:ascii="Arial" w:cs="Arial" w:eastAsia="Arial" w:hAnsi="Arial"/>
          <w:sz w:val="14"/>
          <w:szCs w:val="14"/>
          <w:u w:val="single" w:color="auto"/>
          <w:color w:val="auto"/>
        </w:rPr>
        <w:t>Option</w:t>
      </w:r>
      <w:r>
        <w:rPr>
          <w:rFonts w:ascii="Arial" w:cs="Arial" w:eastAsia="Arial" w:hAnsi="Arial"/>
          <w:sz w:val="14"/>
          <w:szCs w:val="14"/>
          <w:color w:val="auto"/>
        </w:rPr>
        <w:t>. The Company hereby grants to Purchaser the option (the “</w:t>
      </w:r>
      <w:r>
        <w:rPr>
          <w:rFonts w:ascii="Arial" w:cs="Arial" w:eastAsia="Arial" w:hAnsi="Arial"/>
          <w:sz w:val="14"/>
          <w:szCs w:val="14"/>
          <w:b w:val="1"/>
          <w:bCs w:val="1"/>
          <w:color w:val="auto"/>
        </w:rPr>
        <w:t>Option</w:t>
      </w:r>
      <w:r>
        <w:rPr>
          <w:rFonts w:ascii="Arial" w:cs="Arial" w:eastAsia="Arial" w:hAnsi="Arial"/>
          <w:sz w:val="14"/>
          <w:szCs w:val="14"/>
          <w:color w:val="auto"/>
        </w:rPr>
        <w:t>”) to exchange shares of the Company’s Series A Convertible Preferred Stock (“</w:t>
      </w:r>
      <w:r>
        <w:rPr>
          <w:rFonts w:ascii="Arial" w:cs="Arial" w:eastAsia="Arial" w:hAnsi="Arial"/>
          <w:sz w:val="14"/>
          <w:szCs w:val="14"/>
          <w:b w:val="1"/>
          <w:bCs w:val="1"/>
          <w:color w:val="auto"/>
        </w:rPr>
        <w:t>Series A Preferred Stock”)</w:t>
      </w:r>
      <w:r>
        <w:rPr>
          <w:rFonts w:ascii="Arial" w:cs="Arial" w:eastAsia="Arial" w:hAnsi="Arial"/>
          <w:sz w:val="14"/>
          <w:szCs w:val="14"/>
          <w:color w:val="auto"/>
        </w:rPr>
        <w:t xml:space="preserve"> for Common Stock of LifeMap Sciences, Inc. (“</w:t>
      </w:r>
      <w:r>
        <w:rPr>
          <w:rFonts w:ascii="Arial" w:cs="Arial" w:eastAsia="Arial" w:hAnsi="Arial"/>
          <w:sz w:val="14"/>
          <w:szCs w:val="14"/>
          <w:b w:val="1"/>
          <w:bCs w:val="1"/>
          <w:color w:val="auto"/>
        </w:rPr>
        <w:t>LifeMap</w:t>
      </w:r>
      <w:r>
        <w:rPr>
          <w:rFonts w:ascii="Arial" w:cs="Arial" w:eastAsia="Arial" w:hAnsi="Arial"/>
          <w:sz w:val="14"/>
          <w:szCs w:val="14"/>
          <w:color w:val="auto"/>
        </w:rPr>
        <w:t>”) owned by the Company (the “</w:t>
      </w:r>
      <w:r>
        <w:rPr>
          <w:rFonts w:ascii="Arial" w:cs="Arial" w:eastAsia="Arial" w:hAnsi="Arial"/>
          <w:sz w:val="14"/>
          <w:szCs w:val="14"/>
          <w:b w:val="1"/>
          <w:bCs w:val="1"/>
          <w:color w:val="auto"/>
        </w:rPr>
        <w:t>LifeMap Shares</w:t>
      </w:r>
      <w:r>
        <w:rPr>
          <w:rFonts w:ascii="Arial" w:cs="Arial" w:eastAsia="Arial" w:hAnsi="Arial"/>
          <w:sz w:val="14"/>
          <w:szCs w:val="14"/>
          <w:color w:val="auto"/>
        </w:rPr>
        <w:t>”), free of any liens and charges and preemptive or similar rights. The Option shall expire if not exercised on or before the earliest to occur of (a) 5:00 p.m. New York time on March 4, 2019</w:t>
      </w:r>
      <w:r>
        <w:rPr>
          <w:rFonts w:ascii="Arial" w:cs="Arial" w:eastAsia="Arial" w:hAnsi="Arial"/>
          <w:sz w:val="14"/>
          <w:szCs w:val="14"/>
          <w:i w:val="1"/>
          <w:iCs w:val="1"/>
          <w:color w:val="auto"/>
        </w:rPr>
        <w:t>,</w:t>
      </w:r>
      <w:r>
        <w:rPr>
          <w:rFonts w:ascii="Arial" w:cs="Arial" w:eastAsia="Arial" w:hAnsi="Arial"/>
          <w:sz w:val="14"/>
          <w:szCs w:val="14"/>
          <w:color w:val="auto"/>
        </w:rPr>
        <w:t xml:space="preserve"> (b) the date on which all of the share of Series A Preferred Stock held by Purchaser have been converted into common shares of the Company, or the date on which all of the shares of Series A Preferred Stock issued by the Company to Purchaser shall have been sold or transferred otherwise than in a sale or transfer described in Section 4(a) (the “</w:t>
      </w:r>
      <w:r>
        <w:rPr>
          <w:rFonts w:ascii="Arial" w:cs="Arial" w:eastAsia="Arial" w:hAnsi="Arial"/>
          <w:sz w:val="14"/>
          <w:szCs w:val="14"/>
          <w:b w:val="1"/>
          <w:bCs w:val="1"/>
          <w:color w:val="auto"/>
        </w:rPr>
        <w:t>Expiration Date</w:t>
      </w:r>
      <w:r>
        <w:rPr>
          <w:rFonts w:ascii="Arial" w:cs="Arial" w:eastAsia="Arial" w:hAnsi="Arial"/>
          <w:sz w:val="14"/>
          <w:szCs w:val="14"/>
          <w:color w:val="auto"/>
        </w:rPr>
        <w:t>”).</w:t>
      </w:r>
    </w:p>
    <w:p>
      <w:pPr>
        <w:spacing w:after="0" w:line="162" w:lineRule="exact"/>
        <w:rPr>
          <w:rFonts w:ascii="Arial" w:cs="Arial" w:eastAsia="Arial" w:hAnsi="Arial"/>
          <w:sz w:val="14"/>
          <w:szCs w:val="14"/>
          <w:color w:val="auto"/>
        </w:rPr>
      </w:pPr>
    </w:p>
    <w:p>
      <w:pPr>
        <w:ind w:right="20" w:firstLine="1696"/>
        <w:spacing w:after="0" w:line="267" w:lineRule="auto"/>
        <w:tabs>
          <w:tab w:leader="none" w:pos="2186"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Exchange Ratio</w:t>
      </w:r>
      <w:r>
        <w:rPr>
          <w:rFonts w:ascii="Arial" w:cs="Arial" w:eastAsia="Arial" w:hAnsi="Arial"/>
          <w:sz w:val="16"/>
          <w:szCs w:val="16"/>
          <w:color w:val="auto"/>
        </w:rPr>
        <w:t>. Series A Preferred Stock may be exchanged for LifeMap Shares at the ratio of one share of Series A Preferred Stock for 12.5 LifeMap Shares, subject to adjustment as provided in Section 3 (the “</w:t>
      </w:r>
      <w:r>
        <w:rPr>
          <w:rFonts w:ascii="Arial" w:cs="Arial" w:eastAsia="Arial" w:hAnsi="Arial"/>
          <w:sz w:val="16"/>
          <w:szCs w:val="16"/>
          <w:b w:val="1"/>
          <w:bCs w:val="1"/>
          <w:color w:val="auto"/>
        </w:rPr>
        <w:t>Exchange Ratio</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right="60" w:firstLine="1696"/>
        <w:spacing w:after="0" w:line="340" w:lineRule="auto"/>
        <w:tabs>
          <w:tab w:leader="none" w:pos="2083" w:val="left"/>
        </w:tabs>
        <w:numPr>
          <w:ilvl w:val="1"/>
          <w:numId w:val="174"/>
        </w:numPr>
        <w:rPr>
          <w:rFonts w:ascii="Arial" w:cs="Arial" w:eastAsia="Arial" w:hAnsi="Arial"/>
          <w:sz w:val="14"/>
          <w:szCs w:val="14"/>
          <w:color w:val="auto"/>
        </w:rPr>
      </w:pPr>
      <w:r>
        <w:rPr>
          <w:rFonts w:ascii="Arial" w:cs="Arial" w:eastAsia="Arial" w:hAnsi="Arial"/>
          <w:sz w:val="14"/>
          <w:szCs w:val="14"/>
          <w:u w:val="single" w:color="auto"/>
          <w:color w:val="auto"/>
        </w:rPr>
        <w:t>Minimum Exercise</w:t>
      </w:r>
      <w:r>
        <w:rPr>
          <w:rFonts w:ascii="Arial" w:cs="Arial" w:eastAsia="Arial" w:hAnsi="Arial"/>
          <w:sz w:val="14"/>
          <w:szCs w:val="14"/>
          <w:color w:val="auto"/>
        </w:rPr>
        <w:t xml:space="preserve">. This Option may be exercised by Purchaser in whole or in part;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partial exercise of this Option shall not be for less than the lower of (i) 10,000 LifeMap Shares and (ii) all of the remaining LifeMap Shares that are issuable upon the exercise of the Option held by the Purchaser.</w:t>
      </w:r>
    </w:p>
    <w:p>
      <w:pPr>
        <w:spacing w:after="0" w:line="134" w:lineRule="exact"/>
        <w:rPr>
          <w:rFonts w:ascii="Arial" w:cs="Arial" w:eastAsia="Arial" w:hAnsi="Arial"/>
          <w:sz w:val="14"/>
          <w:szCs w:val="14"/>
          <w:color w:val="auto"/>
        </w:rPr>
      </w:pPr>
    </w:p>
    <w:p>
      <w:pPr>
        <w:ind w:left="1660" w:hanging="531"/>
        <w:spacing w:after="0"/>
        <w:tabs>
          <w:tab w:leader="none" w:pos="166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p>
    <w:p>
      <w:pPr>
        <w:spacing w:after="0" w:line="217" w:lineRule="exact"/>
        <w:rPr>
          <w:rFonts w:ascii="Arial" w:cs="Arial" w:eastAsia="Arial" w:hAnsi="Arial"/>
          <w:sz w:val="16"/>
          <w:szCs w:val="16"/>
          <w:color w:val="auto"/>
        </w:rPr>
      </w:pPr>
    </w:p>
    <w:p>
      <w:pPr>
        <w:jc w:val="both"/>
        <w:ind w:firstLine="1696"/>
        <w:spacing w:after="0" w:line="274" w:lineRule="auto"/>
        <w:tabs>
          <w:tab w:leader="none" w:pos="2176" w:val="left"/>
        </w:tabs>
        <w:numPr>
          <w:ilvl w:val="1"/>
          <w:numId w:val="174"/>
        </w:numPr>
        <w:rPr>
          <w:rFonts w:ascii="Arial" w:cs="Arial" w:eastAsia="Arial" w:hAnsi="Arial"/>
          <w:sz w:val="14"/>
          <w:szCs w:val="14"/>
          <w:color w:val="auto"/>
        </w:rPr>
      </w:pPr>
      <w:r>
        <w:rPr>
          <w:rFonts w:ascii="Arial" w:cs="Arial" w:eastAsia="Arial" w:hAnsi="Arial"/>
          <w:sz w:val="14"/>
          <w:szCs w:val="14"/>
          <w:u w:val="single" w:color="auto"/>
          <w:color w:val="auto"/>
        </w:rPr>
        <w:t>Mechanics of Exercise</w:t>
      </w:r>
      <w:r>
        <w:rPr>
          <w:rFonts w:ascii="Arial" w:cs="Arial" w:eastAsia="Arial" w:hAnsi="Arial"/>
          <w:sz w:val="14"/>
          <w:szCs w:val="14"/>
          <w:color w:val="auto"/>
        </w:rPr>
        <w:t xml:space="preserve">. Subject to the terms and conditions hereof (including, without limitation, the limitations set forth in Section 1(c) and Section 4), this Option may be exercised by the Purchaser at any time or times on or after the Effective Date, in whole or in part, subject to Section 1(c), by (i) delivery of a written notice, in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(the "</w:t>
      </w:r>
      <w:r>
        <w:rPr>
          <w:rFonts w:ascii="Arial" w:cs="Arial" w:eastAsia="Arial" w:hAnsi="Arial"/>
          <w:sz w:val="14"/>
          <w:szCs w:val="14"/>
          <w:b w:val="1"/>
          <w:bCs w:val="1"/>
          <w:color w:val="auto"/>
        </w:rPr>
        <w:t>Exercise Notice</w:t>
      </w:r>
      <w:r>
        <w:rPr>
          <w:rFonts w:ascii="Arial" w:cs="Arial" w:eastAsia="Arial" w:hAnsi="Arial"/>
          <w:sz w:val="14"/>
          <w:szCs w:val="14"/>
          <w:color w:val="auto"/>
        </w:rPr>
        <w:t>"), duly completed and executed by Purchaser, stating Purchaser's election to exercise this Option, the number of shares of Series A Preferred Stock being tendered in exchange for LifeMap Shares upon exercise of this Option, and the number of LifeMap Shares being issued upon such exchange, and (ii) delivery of shares of Series A Preferred Stock, endorsed in blank, to the Company to be exchange for LifeMap Shares at the Exchange Ratio then in effect. On or before the first (1</w:t>
      </w:r>
      <w:r>
        <w:rPr>
          <w:rFonts w:ascii="Arial" w:cs="Arial" w:eastAsia="Arial" w:hAnsi="Arial"/>
          <w:sz w:val="23"/>
          <w:szCs w:val="23"/>
          <w:color w:val="auto"/>
          <w:vertAlign w:val="superscript"/>
        </w:rPr>
        <w:t>st</w:t>
      </w:r>
      <w:r>
        <w:rPr>
          <w:rFonts w:ascii="Arial" w:cs="Arial" w:eastAsia="Arial" w:hAnsi="Arial"/>
          <w:sz w:val="14"/>
          <w:szCs w:val="14"/>
          <w:color w:val="auto"/>
        </w:rPr>
        <w:t>) Trading Day following the date on which the Company has received the Exercise Notice and shares of Series A Preferred Stock, the Company shall transmit by facsimile an acknowledgment of confirmation of receipt of the Exercise Notice to the Purchaser and the transfer agent of the LifeMap Shares (the "</w:t>
      </w:r>
      <w:r>
        <w:rPr>
          <w:rFonts w:ascii="Arial" w:cs="Arial" w:eastAsia="Arial" w:hAnsi="Arial"/>
          <w:sz w:val="14"/>
          <w:szCs w:val="14"/>
          <w:b w:val="1"/>
          <w:bCs w:val="1"/>
          <w:color w:val="auto"/>
        </w:rPr>
        <w:t>Transfer Agent</w:t>
      </w:r>
      <w:r>
        <w:rPr>
          <w:rFonts w:ascii="Arial" w:cs="Arial" w:eastAsia="Arial" w:hAnsi="Arial"/>
          <w:sz w:val="14"/>
          <w:szCs w:val="14"/>
          <w:color w:val="auto"/>
        </w:rPr>
        <w:t>"), if any. On or before the third (3rd) Trading Day following the date on which the Company has received the Exercise Notice, so long as the Purchaser delivers a number of shares of Series A Preferred Stock sufficient for such exercise at the Exchange Ratio (the “</w:t>
      </w:r>
      <w:r>
        <w:rPr>
          <w:rFonts w:ascii="Arial" w:cs="Arial" w:eastAsia="Arial" w:hAnsi="Arial"/>
          <w:sz w:val="14"/>
          <w:szCs w:val="14"/>
          <w:b w:val="1"/>
          <w:bCs w:val="1"/>
          <w:color w:val="auto"/>
        </w:rPr>
        <w:t>Aggregate Option Exchange Shares</w:t>
      </w:r>
      <w:r>
        <w:rPr>
          <w:rFonts w:ascii="Arial" w:cs="Arial" w:eastAsia="Arial" w:hAnsi="Arial"/>
          <w:sz w:val="14"/>
          <w:szCs w:val="14"/>
          <w:color w:val="auto"/>
        </w:rPr>
        <w:t>”) on or prior to the second (2nd) Trading Day following the date on which the Company has received the Exercise Notice (the "</w:t>
      </w:r>
      <w:r>
        <w:rPr>
          <w:rFonts w:ascii="Arial" w:cs="Arial" w:eastAsia="Arial" w:hAnsi="Arial"/>
          <w:sz w:val="14"/>
          <w:szCs w:val="14"/>
          <w:b w:val="1"/>
          <w:bCs w:val="1"/>
          <w:color w:val="auto"/>
        </w:rPr>
        <w:t>Share Delivery Date</w:t>
      </w:r>
      <w:r>
        <w:rPr>
          <w:rFonts w:ascii="Arial" w:cs="Arial" w:eastAsia="Arial" w:hAnsi="Arial"/>
          <w:sz w:val="14"/>
          <w:szCs w:val="14"/>
          <w:color w:val="auto"/>
        </w:rPr>
        <w:t>") (provided that if the Aggregate Option Exchange Shares have not been delivered by such date, the Share Delivery Date shall be one (1) Trading Day after the Aggregate Option Exchange Shares are delivered), the Company shall (X) provided that the Transfer Agent is participating in The Depository Trust Company ("</w:t>
      </w:r>
      <w:r>
        <w:rPr>
          <w:rFonts w:ascii="Arial" w:cs="Arial" w:eastAsia="Arial" w:hAnsi="Arial"/>
          <w:sz w:val="14"/>
          <w:szCs w:val="14"/>
          <w:b w:val="1"/>
          <w:bCs w:val="1"/>
          <w:color w:val="auto"/>
        </w:rPr>
        <w:t>DTC</w:t>
      </w:r>
      <w:r>
        <w:rPr>
          <w:rFonts w:ascii="Arial" w:cs="Arial" w:eastAsia="Arial" w:hAnsi="Arial"/>
          <w:sz w:val="14"/>
          <w:szCs w:val="14"/>
          <w:color w:val="auto"/>
        </w:rPr>
        <w:t>") Fast Automated Securities Transfer Program, credit such aggregate number of LifeMap Shares to which the Purchaser is entitled pursuant to such exercise to the Purchaser's or its designee's balance account with DTC through its Deposit / Withdrawal At Custodian system, or (Y) if the Transfer Agent is not participating in the DTC Fast Automated Securities Transfer Program, or if there is no Transfer Agent, issue and dispatch by overnight courier to the address as specified in the Exercise Notice, a certificate, registered in the name of the Purchaser or its designee, for the number of LifeMap Shares to which the Purchaser is entitled pursuant to such exercise. The Company shall be responsible for all fees and expenses of the Transfer Agent and all fees and expenses with respect to the transfer of LifeMap Shares to the Purchaser, if any. No fractional LifeMap Shares are to be issued upon the exercise of this Option, but rather the number of LifeMap Shares to be issued shall be rounded down to the nearest whole number. The Company shall pay any and all taxes which may be payable with respect to the transfer of LifeMap Shares to the Purchaser upon exercise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7263765" cy="152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84" w:name="page285"/>
    <w:bookmarkEnd w:id="284"/>
    <w:p>
      <w:pPr>
        <w:jc w:val="both"/>
        <w:ind w:firstLine="1696"/>
        <w:spacing w:after="0" w:line="257" w:lineRule="auto"/>
        <w:tabs>
          <w:tab w:leader="none" w:pos="2102"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Reissue of Stock Certificate</w:t>
      </w:r>
      <w:r>
        <w:rPr>
          <w:rFonts w:ascii="Arial" w:cs="Arial" w:eastAsia="Arial" w:hAnsi="Arial"/>
          <w:sz w:val="16"/>
          <w:szCs w:val="16"/>
          <w:color w:val="auto"/>
        </w:rPr>
        <w:t>. If the Purchaser delivers to the Company a number of shares of Series A Preferred Stock greater than the Aggregate Option Exchange Shares upon the exercise of this Option, the Company shall issue to Purchaser a replacement Series A Preferred Stock certificate for the number of shares of Series A Preferred Stock in excess of the Aggregate Option Exchange Shares.</w:t>
      </w:r>
    </w:p>
    <w:p>
      <w:pPr>
        <w:spacing w:after="0" w:line="188" w:lineRule="exact"/>
        <w:rPr>
          <w:rFonts w:ascii="Arial" w:cs="Arial" w:eastAsia="Arial" w:hAnsi="Arial"/>
          <w:sz w:val="16"/>
          <w:szCs w:val="16"/>
          <w:color w:val="auto"/>
        </w:rPr>
      </w:pPr>
    </w:p>
    <w:p>
      <w:pPr>
        <w:jc w:val="both"/>
        <w:ind w:firstLine="1696"/>
        <w:spacing w:after="0" w:line="275" w:lineRule="auto"/>
        <w:tabs>
          <w:tab w:leader="none" w:pos="2129"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Company's Failure to Timely Deliver Securities</w:t>
      </w:r>
      <w:r>
        <w:rPr>
          <w:rFonts w:ascii="Arial" w:cs="Arial" w:eastAsia="Arial" w:hAnsi="Arial"/>
          <w:sz w:val="14"/>
          <w:szCs w:val="14"/>
          <w:color w:val="auto"/>
        </w:rPr>
        <w:t>. If the Company shall fail for any reason or for no reason to transfer to the Purchaser, or cause LifeMap to issue, on or prior to the Share Delivery Date, a certificate for the number of LifeMap Shares to which the Purchaser is entitled and cause such LifeMap Shares to be registered on LifeMap's share register or to credit the Purchaser's balance account with DTC for such number of LifeMap Shares to which the Purchaser is entitled upon the Purchaser's exercise of this Option, then, in addition to all other remedies available to the Purchaser, the Company (X) shall pay in cash to the Purchaser on each day after such third (3</w:t>
      </w:r>
      <w:r>
        <w:rPr>
          <w:rFonts w:ascii="Arial" w:cs="Arial" w:eastAsia="Arial" w:hAnsi="Arial"/>
          <w:sz w:val="23"/>
          <w:szCs w:val="23"/>
          <w:color w:val="auto"/>
          <w:vertAlign w:val="superscript"/>
        </w:rPr>
        <w:t>rd</w:t>
      </w:r>
      <w:r>
        <w:rPr>
          <w:rFonts w:ascii="Arial" w:cs="Arial" w:eastAsia="Arial" w:hAnsi="Arial"/>
          <w:sz w:val="14"/>
          <w:szCs w:val="14"/>
          <w:color w:val="auto"/>
        </w:rPr>
        <w:t>) Trading Day that the transfer of such LifeMap Shares is not timely effected an amount equal to 1.5% of the product of (A) the sum of the number of LifeMap Shares not transferred to the Purchaser on a timely basis and to which the Purchaser is entitled and (B) the Closing Sale Price of the LifeMap Shares on the Trading Day immediately preceding the last possible date which the Company could have transferred such LifeMap Shares to the Purchaser without violating Section 2(a), or if the LifeMap Shares are then not traded on an Eligible Market, $4.00 (the “</w:t>
      </w:r>
      <w:r>
        <w:rPr>
          <w:rFonts w:ascii="Arial" w:cs="Arial" w:eastAsia="Arial" w:hAnsi="Arial"/>
          <w:sz w:val="14"/>
          <w:szCs w:val="14"/>
          <w:b w:val="1"/>
          <w:bCs w:val="1"/>
          <w:color w:val="auto"/>
        </w:rPr>
        <w:t>Designated Price</w:t>
      </w:r>
      <w:r>
        <w:rPr>
          <w:rFonts w:ascii="Arial" w:cs="Arial" w:eastAsia="Arial" w:hAnsi="Arial"/>
          <w:sz w:val="14"/>
          <w:szCs w:val="14"/>
          <w:color w:val="auto"/>
        </w:rPr>
        <w:t>”), and (Y) the Purchaser, upon written notice to the Company, may void its Exercise Notice with respect to, and retain or have returned, as the case may be, any shares of Series A Preferred Stock cancelled in connection with such voided exercise; provided that the voiding of an exercise shall not affect the Company's obligations to make any payments which have accrued prior to the date of such notice pursuant to this Section 2(c) or otherwise. In addition to the foregoing, if on or prior to the Share Delivery Date, the Company shall fail to transfer, or cause LifeMap to issue, a certificate to the Purchaser and cause the registration of such LifeMap Shares on LifeMap's share register or credit the Purchaser's balance account with DTC for the number of LifeMap Shares to which the Purchaser is entitled upon the Purchaser's exercise of this Option or pursuant to the Company's obligation pursuant to clause (ii) below, as applicable, and if on or after such Trading Day the Purchaser purchases (in an open market transaction or otherwise) LifeMap Shares to deliver in satisfaction of a sale by the Purchaser of LifeMap Shares issuable upon such exercise that the Purchaser anticipated receiving from the Company (a "</w:t>
      </w:r>
      <w:r>
        <w:rPr>
          <w:rFonts w:ascii="Arial" w:cs="Arial" w:eastAsia="Arial" w:hAnsi="Arial"/>
          <w:sz w:val="14"/>
          <w:szCs w:val="14"/>
          <w:b w:val="1"/>
          <w:bCs w:val="1"/>
          <w:color w:val="auto"/>
        </w:rPr>
        <w:t>Buy-In</w:t>
      </w:r>
      <w:r>
        <w:rPr>
          <w:rFonts w:ascii="Arial" w:cs="Arial" w:eastAsia="Arial" w:hAnsi="Arial"/>
          <w:sz w:val="14"/>
          <w:szCs w:val="14"/>
          <w:color w:val="auto"/>
        </w:rPr>
        <w:t>"), then the Company shall, within three (3) Trading Days after the Purchaser's request and in the Purchaser's discretion, either (i) pay cash to the Purchaser in an amount equal to the Purchaser's total purchase price (including brokerage commissions and other out-of-pocket expenses, if any) for the LifeMap Shares so purchased (the "</w:t>
      </w:r>
      <w:r>
        <w:rPr>
          <w:rFonts w:ascii="Arial" w:cs="Arial" w:eastAsia="Arial" w:hAnsi="Arial"/>
          <w:sz w:val="14"/>
          <w:szCs w:val="14"/>
          <w:b w:val="1"/>
          <w:bCs w:val="1"/>
          <w:color w:val="auto"/>
        </w:rPr>
        <w:t>Buy-In Price</w:t>
      </w:r>
      <w:r>
        <w:rPr>
          <w:rFonts w:ascii="Arial" w:cs="Arial" w:eastAsia="Arial" w:hAnsi="Arial"/>
          <w:sz w:val="14"/>
          <w:szCs w:val="14"/>
          <w:color w:val="auto"/>
        </w:rPr>
        <w:t>"), at which point the Company's obligation to deliver such certificate (and to transfer LifeMap Shares) or credit such Purchaser's balance account with DTC for such LifeMap Shares shall terminate, or (ii) promptly honor its obligation to deliver to the Purchaser a certificate or certificates representing such LifeMap Shares or credit such Purchaser's balance account with DTC and pay cash to the Purchaser in an amount equal to the excess (if any) of the Buy-In Price over the product of (A) such number of LifeMap Shares, times (B) the Closing Bid Price on the date of exercise. Nothing shall limit the Purchaser's right to pursue a decree of specific performance and/or injunctive relief with respect to the Company's failure to timely deliver certificates representing LifeMap Shares (or to electronically deliver such LifeMap Shares) upon the exercise of this Option as required pursuant to the terms hereof.</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85" w:name="page286"/>
    <w:bookmarkEnd w:id="285"/>
    <w:p>
      <w:pPr>
        <w:ind w:right="20" w:firstLine="1696"/>
        <w:spacing w:after="0" w:line="301" w:lineRule="auto"/>
        <w:tabs>
          <w:tab w:leader="none" w:pos="2090" w:val="left"/>
        </w:tabs>
        <w:numPr>
          <w:ilvl w:val="1"/>
          <w:numId w:val="176"/>
        </w:numPr>
        <w:rPr>
          <w:rFonts w:ascii="Arial" w:cs="Arial" w:eastAsia="Arial" w:hAnsi="Arial"/>
          <w:sz w:val="15"/>
          <w:szCs w:val="15"/>
          <w:color w:val="auto"/>
        </w:rPr>
      </w:pPr>
      <w:r>
        <w:rPr>
          <w:rFonts w:ascii="Arial" w:cs="Arial" w:eastAsia="Arial" w:hAnsi="Arial"/>
          <w:sz w:val="15"/>
          <w:szCs w:val="15"/>
          <w:u w:val="single" w:color="auto"/>
          <w:color w:val="auto"/>
        </w:rPr>
        <w:t>Disputes</w:t>
      </w:r>
      <w:r>
        <w:rPr>
          <w:rFonts w:ascii="Arial" w:cs="Arial" w:eastAsia="Arial" w:hAnsi="Arial"/>
          <w:sz w:val="15"/>
          <w:szCs w:val="15"/>
          <w:color w:val="auto"/>
        </w:rPr>
        <w:t>. In the case of a dispute as to the determination of the Exchange Ratio or the arithmetic calculation of the LifeMap Shares, the Company shall promptly transfer to the Purchaser the number of LifeMap Shares that are not disputed and resolve such dispute in accordance with Section 12.</w:t>
      </w:r>
    </w:p>
    <w:p>
      <w:pPr>
        <w:spacing w:after="0" w:line="158" w:lineRule="exact"/>
        <w:rPr>
          <w:rFonts w:ascii="Arial" w:cs="Arial" w:eastAsia="Arial" w:hAnsi="Arial"/>
          <w:sz w:val="15"/>
          <w:szCs w:val="15"/>
          <w:color w:val="auto"/>
        </w:rPr>
      </w:pPr>
    </w:p>
    <w:p>
      <w:pPr>
        <w:ind w:left="1860" w:hanging="731"/>
        <w:spacing w:after="0"/>
        <w:tabs>
          <w:tab w:leader="none" w:pos="1860" w:val="left"/>
        </w:tabs>
        <w:numPr>
          <w:ilvl w:val="0"/>
          <w:numId w:val="177"/>
        </w:numPr>
        <w:rPr>
          <w:rFonts w:ascii="Arial" w:cs="Arial" w:eastAsia="Arial" w:hAnsi="Arial"/>
          <w:sz w:val="14"/>
          <w:szCs w:val="14"/>
          <w:color w:val="auto"/>
        </w:rPr>
      </w:pPr>
      <w:r>
        <w:rPr>
          <w:rFonts w:ascii="Arial" w:cs="Arial" w:eastAsia="Arial" w:hAnsi="Arial"/>
          <w:sz w:val="14"/>
          <w:szCs w:val="14"/>
          <w:u w:val="single" w:color="auto"/>
          <w:color w:val="auto"/>
        </w:rPr>
        <w:t>CERTAIN ADJUSTMENTS</w:t>
      </w:r>
      <w:r>
        <w:rPr>
          <w:rFonts w:ascii="Arial" w:cs="Arial" w:eastAsia="Arial" w:hAnsi="Arial"/>
          <w:sz w:val="14"/>
          <w:szCs w:val="14"/>
          <w:color w:val="auto"/>
        </w:rPr>
        <w:t>.  The Exchange Ratio and the number of LifeMap Shares purchasable hereunder shall be adjusted from time to time as</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follows:</w:t>
      </w:r>
    </w:p>
    <w:p>
      <w:pPr>
        <w:spacing w:after="0" w:line="206" w:lineRule="exact"/>
        <w:rPr>
          <w:rFonts w:ascii="Arial" w:cs="Arial" w:eastAsia="Arial" w:hAnsi="Arial"/>
          <w:sz w:val="14"/>
          <w:szCs w:val="14"/>
          <w:color w:val="auto"/>
        </w:rPr>
      </w:pPr>
    </w:p>
    <w:p>
      <w:pPr>
        <w:jc w:val="both"/>
        <w:ind w:firstLine="1696"/>
        <w:spacing w:after="0" w:line="269" w:lineRule="auto"/>
        <w:tabs>
          <w:tab w:leader="none" w:pos="2070" w:val="left"/>
        </w:tabs>
        <w:numPr>
          <w:ilvl w:val="1"/>
          <w:numId w:val="177"/>
        </w:numPr>
        <w:rPr>
          <w:rFonts w:ascii="Arial" w:cs="Arial" w:eastAsia="Arial" w:hAnsi="Arial"/>
          <w:sz w:val="15"/>
          <w:szCs w:val="15"/>
          <w:color w:val="auto"/>
        </w:rPr>
      </w:pPr>
      <w:r>
        <w:rPr>
          <w:rFonts w:ascii="Arial" w:cs="Arial" w:eastAsia="Arial" w:hAnsi="Arial"/>
          <w:sz w:val="15"/>
          <w:szCs w:val="15"/>
          <w:u w:val="single" w:color="auto"/>
          <w:color w:val="auto"/>
        </w:rPr>
        <w:t>Stock Splits, Combinations, Reclassifications and Other Changes in Common Stock</w:t>
      </w:r>
      <w:r>
        <w:rPr>
          <w:rFonts w:ascii="Arial" w:cs="Arial" w:eastAsia="Arial" w:hAnsi="Arial"/>
          <w:sz w:val="15"/>
          <w:szCs w:val="15"/>
          <w:color w:val="auto"/>
        </w:rPr>
        <w:t>. If LifeMap, at any time after the Effective Date, shall (A) pay a dividend in its Common Stock or make a distribution in Common Stock, (B) subdivide its outstanding Common Stock, (C) combine its outstanding Common Stock into a smaller number of shares, or (D) reclassify or change (including a change to the right to receive, or a change into, as the case may be, shares of stock, other securities, property, cash or any combination thereof) its Common Stock (including any such reclassification or change in connection with a consolidation or merger in which LifeMap is the surviving corporation), upon the exercise of this Option the Purchaser shall be entitled to receive from the Company the kind and number of LifeMap Shares or other securities of LifeMap or other property which the Purchaser would have owned or have been entitled to receive upon the happening of any of the events described above, had this Option been exercised at the Exchange Ratio immediately prior to the happening of such event or any record date with respect thereto.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86" w:name="page287"/>
    <w:bookmarkEnd w:id="286"/>
    <w:p>
      <w:pPr>
        <w:jc w:val="both"/>
        <w:ind w:left="5" w:firstLine="1696"/>
        <w:spacing w:after="0" w:line="284" w:lineRule="auto"/>
        <w:tabs>
          <w:tab w:leader="none" w:pos="2131" w:val="left"/>
        </w:tabs>
        <w:numPr>
          <w:ilvl w:val="2"/>
          <w:numId w:val="178"/>
        </w:numPr>
        <w:rPr>
          <w:rFonts w:ascii="Arial" w:cs="Arial" w:eastAsia="Arial" w:hAnsi="Arial"/>
          <w:sz w:val="14"/>
          <w:szCs w:val="14"/>
          <w:color w:val="auto"/>
        </w:rPr>
      </w:pPr>
      <w:r>
        <w:rPr>
          <w:rFonts w:ascii="Arial" w:cs="Arial" w:eastAsia="Arial" w:hAnsi="Arial"/>
          <w:sz w:val="14"/>
          <w:szCs w:val="14"/>
          <w:u w:val="single" w:color="auto"/>
          <w:color w:val="auto"/>
        </w:rPr>
        <w:t>Distribution of Options, Warrants, Warrants, Rights, and Convertible Securities or Other Assets.</w:t>
      </w:r>
      <w:r>
        <w:rPr>
          <w:rFonts w:ascii="Arial" w:cs="Arial" w:eastAsia="Arial" w:hAnsi="Arial"/>
          <w:sz w:val="14"/>
          <w:szCs w:val="14"/>
          <w:color w:val="auto"/>
        </w:rPr>
        <w:t xml:space="preserve"> If LifeMap at any time after the Effective Date, shall distribute to all holders of its Common Stock (including any distribution made in connection with a merger in which LifeMap is the surviving corporation) (i) rights, options or warrants, or convertible or exchangeable securities containing the right to subscribe for or purchase Common Stock, or (ii) evidences of its indebtedness or assets, including cash but excluding Ordinary Cash Dividends (as defined below), then in each case with respect to each LifeMap Share issued upon the exercise of this Option, the Purchaser shall also receive from the Company either (a) the portion of the subscription rights, options or warrants, or convertible or exchangeable securities (or securities issued upon the conversion of convertible securities) or assets or evidences of indebtedness so distributed to the Company applicable to one LifeMap Share, or (b) the then fair value of the securities described in</w:t>
      </w:r>
    </w:p>
    <w:p>
      <w:pPr>
        <w:spacing w:after="0" w:line="2" w:lineRule="exact"/>
        <w:rPr>
          <w:rFonts w:ascii="Arial" w:cs="Arial" w:eastAsia="Arial" w:hAnsi="Arial"/>
          <w:sz w:val="14"/>
          <w:szCs w:val="14"/>
          <w:color w:val="auto"/>
        </w:rPr>
      </w:pPr>
    </w:p>
    <w:p>
      <w:pPr>
        <w:jc w:val="both"/>
        <w:ind w:left="5" w:hanging="5"/>
        <w:spacing w:after="0" w:line="295" w:lineRule="auto"/>
        <w:tabs>
          <w:tab w:leader="none" w:pos="228" w:val="left"/>
        </w:tabs>
        <w:numPr>
          <w:ilvl w:val="0"/>
          <w:numId w:val="179"/>
        </w:numPr>
        <w:rPr>
          <w:rFonts w:ascii="Arial" w:cs="Arial" w:eastAsia="Arial" w:hAnsi="Arial"/>
          <w:sz w:val="14"/>
          <w:szCs w:val="14"/>
          <w:color w:val="auto"/>
        </w:rPr>
      </w:pPr>
      <w:r>
        <w:rPr>
          <w:rFonts w:ascii="Arial" w:cs="Arial" w:eastAsia="Arial" w:hAnsi="Arial"/>
          <w:sz w:val="14"/>
          <w:szCs w:val="14"/>
          <w:color w:val="auto"/>
        </w:rPr>
        <w:t>as determined in good faith by the Board of Directors of the Company whose determination shall be conclusive; provided, that the Company need not deliver any subscription rights, options or warrants that shall have expired by their terms. The Company shall determine whether to deliver the consideration described in clause (a) or clause (b) of the preceding sentence upon the exercise of this Option. A cash dividend shall be deemed an “Ordinary Cash Dividend” for purposes of this Option if the dividend is paid out of consolidated earnings or earned surplus and is declared by the Board of Directors of LifeMap to be a regular or ordinary quarterly, semi-annual or annual dividend.</w:t>
      </w:r>
    </w:p>
    <w:p>
      <w:pPr>
        <w:spacing w:after="0" w:line="166" w:lineRule="exact"/>
        <w:rPr>
          <w:rFonts w:ascii="Arial" w:cs="Arial" w:eastAsia="Arial" w:hAnsi="Arial"/>
          <w:sz w:val="14"/>
          <w:szCs w:val="14"/>
          <w:color w:val="auto"/>
        </w:rPr>
      </w:pPr>
    </w:p>
    <w:p>
      <w:pPr>
        <w:ind w:left="5" w:firstLine="1696"/>
        <w:spacing w:after="0" w:line="267" w:lineRule="auto"/>
        <w:tabs>
          <w:tab w:leader="none" w:pos="2099" w:val="left"/>
        </w:tabs>
        <w:numPr>
          <w:ilvl w:val="2"/>
          <w:numId w:val="179"/>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Whenever an event described in paragraph (a) or paragraph (b) of this Section 3 occurs, the Company shall promptly, in any event within ten (10) days, send to the Purchaser notice of such event.</w:t>
      </w:r>
    </w:p>
    <w:p>
      <w:pPr>
        <w:spacing w:after="0" w:line="181" w:lineRule="exact"/>
        <w:rPr>
          <w:rFonts w:ascii="Arial" w:cs="Arial" w:eastAsia="Arial" w:hAnsi="Arial"/>
          <w:sz w:val="16"/>
          <w:szCs w:val="16"/>
          <w:color w:val="auto"/>
        </w:rPr>
      </w:pPr>
    </w:p>
    <w:p>
      <w:pPr>
        <w:jc w:val="both"/>
        <w:ind w:left="5" w:firstLine="1696"/>
        <w:spacing w:after="0" w:line="253" w:lineRule="auto"/>
        <w:tabs>
          <w:tab w:leader="none" w:pos="2084" w:val="left"/>
        </w:tabs>
        <w:numPr>
          <w:ilvl w:val="2"/>
          <w:numId w:val="179"/>
        </w:numPr>
        <w:rPr>
          <w:rFonts w:ascii="Arial" w:cs="Arial" w:eastAsia="Arial" w:hAnsi="Arial"/>
          <w:sz w:val="16"/>
          <w:szCs w:val="16"/>
          <w:color w:val="auto"/>
        </w:rPr>
      </w:pPr>
      <w:r>
        <w:rPr>
          <w:rFonts w:ascii="Arial" w:cs="Arial" w:eastAsia="Arial" w:hAnsi="Arial"/>
          <w:sz w:val="16"/>
          <w:szCs w:val="16"/>
          <w:u w:val="single" w:color="auto"/>
          <w:color w:val="auto"/>
        </w:rPr>
        <w:t>No Adjustment for Dividends</w:t>
      </w:r>
      <w:r>
        <w:rPr>
          <w:rFonts w:ascii="Arial" w:cs="Arial" w:eastAsia="Arial" w:hAnsi="Arial"/>
          <w:sz w:val="16"/>
          <w:szCs w:val="16"/>
          <w:color w:val="auto"/>
        </w:rPr>
        <w:t>. No adjustment in respect of any Ordinary Cash Dividends shall be made during the term of this Option or upon the exercise of this Option, nor shall the Purchaser be entitled to acquire from the Company upon the exercise of this Option any Ordinary Cash Dividends received by the Company with respect to LifeMap Shares or any other LifeMap securities owned or acquired by the Company upon the exercise of any subscription rights, options, warrants or exchangeable securities.</w:t>
      </w:r>
    </w:p>
    <w:p>
      <w:pPr>
        <w:spacing w:after="0" w:line="193" w:lineRule="exact"/>
        <w:rPr>
          <w:rFonts w:ascii="Arial" w:cs="Arial" w:eastAsia="Arial" w:hAnsi="Arial"/>
          <w:sz w:val="16"/>
          <w:szCs w:val="16"/>
          <w:color w:val="auto"/>
        </w:rPr>
      </w:pPr>
    </w:p>
    <w:p>
      <w:pPr>
        <w:ind w:left="1665" w:hanging="531"/>
        <w:spacing w:after="0"/>
        <w:tabs>
          <w:tab w:leader="none" w:pos="1665"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17" w:lineRule="exact"/>
        <w:rPr>
          <w:rFonts w:ascii="Arial" w:cs="Arial" w:eastAsia="Arial" w:hAnsi="Arial"/>
          <w:sz w:val="16"/>
          <w:szCs w:val="16"/>
          <w:color w:val="auto"/>
        </w:rPr>
      </w:pPr>
    </w:p>
    <w:p>
      <w:pPr>
        <w:jc w:val="both"/>
        <w:ind w:left="1125" w:right="20" w:firstLine="1711"/>
        <w:spacing w:after="0" w:line="311" w:lineRule="auto"/>
        <w:tabs>
          <w:tab w:leader="none" w:pos="3398" w:val="left"/>
        </w:tabs>
        <w:numPr>
          <w:ilvl w:val="4"/>
          <w:numId w:val="179"/>
        </w:numPr>
        <w:rPr>
          <w:rFonts w:ascii="Arial" w:cs="Arial" w:eastAsia="Arial" w:hAnsi="Arial"/>
          <w:sz w:val="14"/>
          <w:szCs w:val="14"/>
          <w:color w:val="auto"/>
        </w:rPr>
      </w:pPr>
      <w:r>
        <w:rPr>
          <w:rFonts w:ascii="Arial" w:cs="Arial" w:eastAsia="Arial" w:hAnsi="Arial"/>
          <w:sz w:val="14"/>
          <w:szCs w:val="14"/>
          <w:u w:val="single" w:color="auto"/>
          <w:color w:val="auto"/>
        </w:rPr>
        <w:t>Transfer</w:t>
      </w:r>
      <w:r>
        <w:rPr>
          <w:rFonts w:ascii="Arial" w:cs="Arial" w:eastAsia="Arial" w:hAnsi="Arial"/>
          <w:sz w:val="14"/>
          <w:szCs w:val="14"/>
          <w:color w:val="auto"/>
        </w:rPr>
        <w:t>. This Option is personal to the Purchaser and may not be sold, transferred or assigned, except (i) to a successor in interest of the Purchaser as a result of any consolidation of the Purchaser with or merger of the Purchaser into another Person, (ii) to another Purchaser (as defined in the Securities Purchase Agreement) or (iii) to another Person as part of a sale of all or substantially all the property of the Purchaser to such other Person.</w:t>
      </w:r>
    </w:p>
    <w:p>
      <w:pPr>
        <w:spacing w:after="0" w:line="154" w:lineRule="exact"/>
        <w:rPr>
          <w:rFonts w:ascii="Arial" w:cs="Arial" w:eastAsia="Arial" w:hAnsi="Arial"/>
          <w:sz w:val="14"/>
          <w:szCs w:val="14"/>
          <w:color w:val="auto"/>
        </w:rPr>
      </w:pPr>
    </w:p>
    <w:p>
      <w:pPr>
        <w:ind w:left="3265" w:hanging="429"/>
        <w:spacing w:after="0"/>
        <w:tabs>
          <w:tab w:leader="none" w:pos="3265" w:val="left"/>
        </w:tabs>
        <w:numPr>
          <w:ilvl w:val="4"/>
          <w:numId w:val="179"/>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LifeMap Shares</w:t>
      </w:r>
      <w:r>
        <w:rPr>
          <w:rFonts w:ascii="Arial" w:cs="Arial" w:eastAsia="Arial" w:hAnsi="Arial"/>
          <w:sz w:val="16"/>
          <w:szCs w:val="16"/>
          <w:color w:val="auto"/>
        </w:rPr>
        <w:t>.</w:t>
      </w:r>
    </w:p>
    <w:p>
      <w:pPr>
        <w:spacing w:after="0" w:line="217" w:lineRule="exact"/>
        <w:rPr>
          <w:rFonts w:ascii="Arial" w:cs="Arial" w:eastAsia="Arial" w:hAnsi="Arial"/>
          <w:sz w:val="16"/>
          <w:szCs w:val="16"/>
          <w:color w:val="auto"/>
        </w:rPr>
      </w:pPr>
    </w:p>
    <w:p>
      <w:pPr>
        <w:jc w:val="both"/>
        <w:ind w:left="5" w:firstLine="1980"/>
        <w:spacing w:after="0" w:line="269" w:lineRule="auto"/>
        <w:tabs>
          <w:tab w:leader="none" w:pos="2269" w:val="left"/>
        </w:tabs>
        <w:numPr>
          <w:ilvl w:val="3"/>
          <w:numId w:val="179"/>
        </w:numPr>
        <w:rPr>
          <w:rFonts w:ascii="Arial" w:cs="Arial" w:eastAsia="Arial" w:hAnsi="Arial"/>
          <w:sz w:val="15"/>
          <w:szCs w:val="15"/>
          <w:color w:val="auto"/>
        </w:rPr>
      </w:pPr>
      <w:r>
        <w:rPr>
          <w:rFonts w:ascii="Arial" w:cs="Arial" w:eastAsia="Arial" w:hAnsi="Arial"/>
          <w:sz w:val="15"/>
          <w:szCs w:val="15"/>
          <w:color w:val="auto"/>
        </w:rPr>
        <w:t>Any LifeMap Shares issued to Purchaser upon the exercise of this Option, may not be sold, pledged, hypothecated, transferred or assigned, in whole or in part, unless (A) a registration statement under the Securities Act and under any applicable state securities laws is effective therefor or (B) an exemption from such registration is then available and an opinion of counsel, reasonably acceptable to LifeMap and the Transfer Agent, if any, has been rendered stating that such sale, pledge, hypothecation, transfer or assignment will not violate the Securities Act. Notwithstanding anything to the contrary contained herein (x) the LifeMap Shares may be pledged in connection with a bona fide margin account or other loan or financing arrangement secured by the securities and no legal opinion shall be required therefor and (y) no representation, warranty, covenant or opinion shall be required for the sale, pledge, hypothecation, transfer or assignment of any LifeMap Shares if a registration statement with respect to the resale of such LifeMap Shares is effective at the time of any such sale, pledge, hypothecation, transfer or assignment.</w:t>
      </w:r>
    </w:p>
    <w:p>
      <w:pPr>
        <w:spacing w:after="0" w:line="121"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87" w:name="page288"/>
    <w:bookmarkEnd w:id="287"/>
    <w:p>
      <w:pPr>
        <w:jc w:val="both"/>
        <w:ind w:right="20" w:firstLine="1980"/>
        <w:spacing w:after="0" w:line="276" w:lineRule="auto"/>
        <w:tabs>
          <w:tab w:leader="none" w:pos="2343" w:val="left"/>
        </w:tabs>
        <w:numPr>
          <w:ilvl w:val="0"/>
          <w:numId w:val="180"/>
        </w:numPr>
        <w:rPr>
          <w:rFonts w:ascii="Arial" w:cs="Arial" w:eastAsia="Arial" w:hAnsi="Arial"/>
          <w:sz w:val="15"/>
          <w:szCs w:val="15"/>
          <w:color w:val="auto"/>
        </w:rPr>
      </w:pPr>
      <w:r>
        <w:rPr>
          <w:rFonts w:ascii="Arial" w:cs="Arial" w:eastAsia="Arial" w:hAnsi="Arial"/>
          <w:sz w:val="15"/>
          <w:szCs w:val="15"/>
          <w:color w:val="auto"/>
        </w:rPr>
        <w:t>As a condition precedent to the registration of transfer of any certificates representing LifeMap Shares upon the exercise of this Option or transfer of LifeMap Shares, the Company and LifeMap shall be entitled to obtain a letter or other instrument from the Purchaser containing such covenants, representations or warranties by such Purchaser similar to those contained in this Section 4 as reasonably deemed necessary by the Company or LifeMap to effect compliance by the Company or LifeMap with the requirements of the Securities Act and any other applicable federal and/or state securities laws.</w:t>
      </w:r>
    </w:p>
    <w:p>
      <w:pPr>
        <w:spacing w:after="0" w:line="175" w:lineRule="exact"/>
        <w:rPr>
          <w:rFonts w:ascii="Arial" w:cs="Arial" w:eastAsia="Arial" w:hAnsi="Arial"/>
          <w:sz w:val="15"/>
          <w:szCs w:val="15"/>
          <w:color w:val="auto"/>
        </w:rPr>
      </w:pPr>
    </w:p>
    <w:p>
      <w:pPr>
        <w:ind w:right="20" w:firstLine="1980"/>
        <w:spacing w:after="0" w:line="267" w:lineRule="auto"/>
        <w:tabs>
          <w:tab w:leader="none" w:pos="225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Any sale, pledge, hypothecation, transfer, or assignment of this Option or LifeMap Shares in violation of the foregoing restrictions shall be deemed null and void and of no binding effect.</w:t>
      </w:r>
    </w:p>
    <w:p>
      <w:pPr>
        <w:spacing w:after="0" w:line="181" w:lineRule="exact"/>
        <w:rPr>
          <w:rFonts w:ascii="Arial" w:cs="Arial" w:eastAsia="Arial" w:hAnsi="Arial"/>
          <w:sz w:val="16"/>
          <w:szCs w:val="16"/>
          <w:color w:val="auto"/>
        </w:rPr>
      </w:pPr>
    </w:p>
    <w:p>
      <w:pPr>
        <w:jc w:val="both"/>
        <w:ind w:right="20" w:firstLine="1980"/>
        <w:spacing w:after="0" w:line="257" w:lineRule="auto"/>
        <w:tabs>
          <w:tab w:leader="none" w:pos="223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Company will, and will request that LifeMap will, issue instructions to any Transfer Agent and registrar of the Common Stock to refuse to register the transfer of any LifeMap Shares not made pursuant to registration under the Securities Act and applicable state securities laws, or pursuant to an available exemption from registration under the Securities Act and applicable state securities laws.</w:t>
      </w:r>
    </w:p>
    <w:p>
      <w:pPr>
        <w:spacing w:after="0" w:line="165" w:lineRule="exact"/>
        <w:rPr>
          <w:rFonts w:ascii="Arial" w:cs="Arial" w:eastAsia="Arial" w:hAnsi="Arial"/>
          <w:sz w:val="16"/>
          <w:szCs w:val="16"/>
          <w:color w:val="auto"/>
        </w:rPr>
      </w:pPr>
    </w:p>
    <w:p>
      <w:pPr>
        <w:jc w:val="both"/>
        <w:ind w:firstLine="1980"/>
        <w:spacing w:after="0" w:line="291" w:lineRule="auto"/>
        <w:tabs>
          <w:tab w:leader="none" w:pos="2206"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The LifeMap Shares shall bear an appropriate legend, conspicuously disclosing the restrictions on transfer, under this Section 4, until the same are registered for sale under the Securities Act or are transferred in a transaction exempt from registration under the Securities Act entitling the transferee to receive securities that are not deemed to be “restricted securities” as such term is defined in Rule 144 under the Securities Act. The Company agrees that upon the sale of LifeMap Shares pursuant to a registration statement or an exemption entitling the transferee to receive securities that are not deemed to be “restricted securities,” or at such time as registration under the Securities Act shall no longer be required, upon the presentation of the certificates containing such a legend to the transfer agent or warrant agent, if any, it will request removal of such legend; provided, that unless the request for removal of the legend is in connection with a sale registered under the Securities Act, the Purchaser shall have provided an opinion of counsel, acceptable to the Company and the Transfer Agent to the effect that such legend may be removed in compliance with the Securities Act.</w:t>
      </w:r>
    </w:p>
    <w:p>
      <w:pPr>
        <w:spacing w:after="0" w:line="170" w:lineRule="exact"/>
        <w:rPr>
          <w:sz w:val="20"/>
          <w:szCs w:val="20"/>
          <w:color w:val="auto"/>
        </w:rPr>
      </w:pPr>
    </w:p>
    <w:p>
      <w:pPr>
        <w:ind w:left="1120" w:right="20" w:firstLine="1711"/>
        <w:spacing w:after="0" w:line="267" w:lineRule="auto"/>
        <w:tabs>
          <w:tab w:leader="none" w:pos="3393"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Each Purchaser makes the following representations, severally and not jointly and severally, in connection with its acquisition of this Option and any LifeMap Shares upon the exercise of this Option:</w:t>
      </w:r>
    </w:p>
    <w:p>
      <w:pPr>
        <w:spacing w:after="0" w:line="181" w:lineRule="exact"/>
        <w:rPr>
          <w:rFonts w:ascii="Arial" w:cs="Arial" w:eastAsia="Arial" w:hAnsi="Arial"/>
          <w:sz w:val="16"/>
          <w:szCs w:val="16"/>
          <w:color w:val="auto"/>
        </w:rPr>
      </w:pPr>
    </w:p>
    <w:p>
      <w:pPr>
        <w:jc w:val="both"/>
        <w:ind w:firstLine="1980"/>
        <w:spacing w:after="0" w:line="250" w:lineRule="auto"/>
        <w:tabs>
          <w:tab w:leader="none" w:pos="22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Purchaser has made such investigation of LifeMap as Purchaser deemed appropriate for determining to acquire (and thereby make an investment in) this Option and LifeMap Shares, and in making such investigation Purchaser has had access to such financial and other information concerning LifeMap as Purchaser requested. Purchaser is relying on the information communicated to Purchaser in writing by LifeMap or the Company. Purchaser has not relied on any statement or representations inconsistent with those communicated to Purchaser in writing by LifeMap or the Company. Purchaser has had a reasonable opportunity to ask questions of and receive answers from the executive officers of LifeMap and the Company concerning LifeMap, and to obtain additional information, to the extent possessed or obtainable by LifeMap or the Company without unreasonable effort or expense, necessary to verify the information communicated or provided to Purchaser. All such questions have been answered to Purchaser’s satisfaction.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88" w:name="page289"/>
    <w:bookmarkEnd w:id="288"/>
    <w:p>
      <w:pPr>
        <w:jc w:val="both"/>
        <w:ind w:firstLine="1980"/>
        <w:spacing w:after="0" w:line="253" w:lineRule="auto"/>
        <w:tabs>
          <w:tab w:leader="none" w:pos="2343" w:val="left"/>
        </w:tabs>
        <w:numPr>
          <w:ilvl w:val="1"/>
          <w:numId w:val="183"/>
        </w:numPr>
        <w:rPr>
          <w:rFonts w:ascii="Arial" w:cs="Arial" w:eastAsia="Arial" w:hAnsi="Arial"/>
          <w:sz w:val="16"/>
          <w:szCs w:val="16"/>
          <w:color w:val="auto"/>
        </w:rPr>
      </w:pPr>
      <w:r>
        <w:rPr>
          <w:rFonts w:ascii="Arial" w:cs="Arial" w:eastAsia="Arial" w:hAnsi="Arial"/>
          <w:sz w:val="16"/>
          <w:szCs w:val="16"/>
          <w:color w:val="auto"/>
        </w:rPr>
        <w:t>Purchaser is acquiring this Option and upon exercise of this Option will purchase LifeMap Shares solely for Purchaser's own account, and Purchaser has no direct or indirect arrangement or understandings with any other persons to distribute or regarding the distribution of the LifeMap Shares or this Option; provided, that this representation and warranty shall not prohibit Purchaser from selling LifeMap Shares in the ordinary course of business pursuant to a registration statement under the Securities Act or otherwise in compliance with the Securities Act and applicable state securities or “blue sky” laws.</w:t>
      </w:r>
    </w:p>
    <w:p>
      <w:pPr>
        <w:spacing w:after="0" w:line="193" w:lineRule="exact"/>
        <w:rPr>
          <w:rFonts w:ascii="Arial" w:cs="Arial" w:eastAsia="Arial" w:hAnsi="Arial"/>
          <w:sz w:val="16"/>
          <w:szCs w:val="16"/>
          <w:color w:val="auto"/>
        </w:rPr>
      </w:pPr>
    </w:p>
    <w:p>
      <w:pPr>
        <w:ind w:left="2240" w:hanging="260"/>
        <w:spacing w:after="0"/>
        <w:tabs>
          <w:tab w:leader="none" w:pos="224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Purchaser is an “accredited investor” as defined in Rule 501 under the Securities Act.</w:t>
      </w:r>
    </w:p>
    <w:p>
      <w:pPr>
        <w:spacing w:after="0" w:line="217" w:lineRule="exact"/>
        <w:rPr>
          <w:rFonts w:ascii="Arial" w:cs="Arial" w:eastAsia="Arial" w:hAnsi="Arial"/>
          <w:sz w:val="16"/>
          <w:szCs w:val="16"/>
          <w:color w:val="auto"/>
        </w:rPr>
      </w:pPr>
    </w:p>
    <w:p>
      <w:pPr>
        <w:jc w:val="both"/>
        <w:ind w:right="20" w:firstLine="1980"/>
        <w:spacing w:after="0" w:line="311" w:lineRule="auto"/>
        <w:tabs>
          <w:tab w:leader="none" w:pos="2232" w:val="left"/>
        </w:tabs>
        <w:numPr>
          <w:ilvl w:val="1"/>
          <w:numId w:val="183"/>
        </w:numPr>
        <w:rPr>
          <w:rFonts w:ascii="Arial" w:cs="Arial" w:eastAsia="Arial" w:hAnsi="Arial"/>
          <w:sz w:val="14"/>
          <w:szCs w:val="14"/>
          <w:color w:val="auto"/>
        </w:rPr>
      </w:pPr>
      <w:r>
        <w:rPr>
          <w:rFonts w:ascii="Arial" w:cs="Arial" w:eastAsia="Arial" w:hAnsi="Arial"/>
          <w:sz w:val="14"/>
          <w:szCs w:val="14"/>
          <w:color w:val="auto"/>
        </w:rPr>
        <w:t>Purchaser, either alone or together with its representatives, has such knowledge, sophistication and experience in business and financial matters so as to be capable of evaluating the merits and risks of the prospective investment in this Option and LifeMap Shares, and has so evaluated the merits and risks of such investment. Such Purchaser is able to bear the economic risk of an investment in this Option and LifeMap Shares and, at the present time, is able to afford a complete loss of such investment.</w:t>
      </w:r>
    </w:p>
    <w:p>
      <w:pPr>
        <w:spacing w:after="0" w:line="154" w:lineRule="exact"/>
        <w:rPr>
          <w:rFonts w:ascii="Arial" w:cs="Arial" w:eastAsia="Arial" w:hAnsi="Arial"/>
          <w:sz w:val="14"/>
          <w:szCs w:val="14"/>
          <w:color w:val="auto"/>
        </w:rPr>
      </w:pPr>
    </w:p>
    <w:p>
      <w:pPr>
        <w:jc w:val="both"/>
        <w:ind w:right="20" w:firstLine="1129"/>
        <w:spacing w:after="0" w:line="289" w:lineRule="auto"/>
        <w:tabs>
          <w:tab w:leader="none" w:pos="1719" w:val="left"/>
        </w:tabs>
        <w:numPr>
          <w:ilvl w:val="0"/>
          <w:numId w:val="184"/>
        </w:numPr>
        <w:rPr>
          <w:rFonts w:ascii="Arial" w:cs="Arial" w:eastAsia="Arial" w:hAnsi="Arial"/>
          <w:sz w:val="14"/>
          <w:szCs w:val="14"/>
          <w:color w:val="auto"/>
        </w:rPr>
      </w:pPr>
      <w:r>
        <w:rPr>
          <w:rFonts w:ascii="Arial" w:cs="Arial" w:eastAsia="Arial" w:hAnsi="Arial"/>
          <w:sz w:val="14"/>
          <w:szCs w:val="14"/>
          <w:u w:val="single" w:color="auto"/>
          <w:color w:val="auto"/>
        </w:rPr>
        <w:t>REGISTRATION RIGHTS</w:t>
      </w:r>
      <w:r>
        <w:rPr>
          <w:rFonts w:ascii="Arial" w:cs="Arial" w:eastAsia="Arial" w:hAnsi="Arial"/>
          <w:sz w:val="14"/>
          <w:szCs w:val="14"/>
          <w:color w:val="auto"/>
        </w:rPr>
        <w:t>. The Company hereby covenants and agrees that in the event the Company receives any registration rights from LifeMap in respect of any LifeMap Shares owned by the Company, simultaneously with the exercise of any such registration rights at any time that this Option remains exercisable in whole or in part, the Company shall cause LifeMap to register all of the LifeMap Shares issuable to the Purchaser as of the applicable date of determination pursuant to the terms of this Option. The Company acknowledges and agrees that prior to excluding any LifeMap Shares from any registration statement, it shall first exclude all other LifeMap Shares owned by the Company other than any LifeMap Shares that are subject to an option provided to another Purchaser (as defined in the Securities Purchase Agreement) which shall be subject to exclusion on a pro rata basis with all other Purchasers (as defined in the Securities Purchase Agreement). The Company shall do and perform, or cause to be done and performed, all such further acts and things, and shall execute and deliver all such other agreements, certificates, instruments and documents, including, without limitation, any assignment of any registration rights with respect to the Common Stock purchasable pursuant to this Option granted to the Company under any registration rights agreement by LifeMap and the Company or under any registration statement, as Purchaser may reasonably request in order to carry out the intent and accomplish the purposes of this Section 5.</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89" w:name="page290"/>
    <w:bookmarkEnd w:id="289"/>
    <w:p>
      <w:pPr>
        <w:jc w:val="both"/>
        <w:ind w:firstLine="1129"/>
        <w:spacing w:after="0" w:line="270" w:lineRule="auto"/>
        <w:tabs>
          <w:tab w:leader="none" w:pos="1648" w:val="left"/>
        </w:tabs>
        <w:numPr>
          <w:ilvl w:val="0"/>
          <w:numId w:val="185"/>
        </w:numPr>
        <w:rPr>
          <w:rFonts w:ascii="Arial" w:cs="Arial" w:eastAsia="Arial" w:hAnsi="Arial"/>
          <w:sz w:val="15"/>
          <w:szCs w:val="15"/>
          <w:color w:val="auto"/>
        </w:rPr>
      </w:pPr>
      <w:r>
        <w:rPr>
          <w:rFonts w:ascii="Arial" w:cs="Arial" w:eastAsia="Arial" w:hAnsi="Arial"/>
          <w:sz w:val="15"/>
          <w:szCs w:val="15"/>
          <w:u w:val="single" w:color="auto"/>
          <w:color w:val="auto"/>
        </w:rPr>
        <w:t>NONCIRCUMVENTION</w:t>
      </w:r>
      <w:r>
        <w:rPr>
          <w:rFonts w:ascii="Arial" w:cs="Arial" w:eastAsia="Arial" w:hAnsi="Arial"/>
          <w:sz w:val="15"/>
          <w:szCs w:val="15"/>
          <w:color w:val="auto"/>
        </w:rPr>
        <w:t>. The Company hereby covenants and agrees that the Company will not, by amendment of its Articles of Incorporation, Bylaws, or through any reorganization, transfer of assets, consolidation, merger, scheme of arrangement, dissolution, issue or sale of securities, or any other voluntary action, avoid or seek to avoid the observance or performance of any of the terms of this Option, and will at all times in good faith carry out all the provisions of this Option and take all action as may be required to protect the rights of the Purchaser. Without limiting the generality of the foregoing, the Company shall continue to hold a sufficient number of LifeMap Shares to permit Purchaser to exercise this Option in full. The Company will, and will request that LifeMap will, issue instructions to any Transfer Agent and registrar of the Common Stock to refuse to register the transfer of any LifeMap Shares in violation of the immediately preceding sentence.</w:t>
      </w:r>
    </w:p>
    <w:p>
      <w:pPr>
        <w:spacing w:after="0" w:line="182" w:lineRule="exact"/>
        <w:rPr>
          <w:rFonts w:ascii="Arial" w:cs="Arial" w:eastAsia="Arial" w:hAnsi="Arial"/>
          <w:sz w:val="15"/>
          <w:szCs w:val="15"/>
          <w:color w:val="auto"/>
        </w:rPr>
      </w:pPr>
    </w:p>
    <w:p>
      <w:pPr>
        <w:jc w:val="both"/>
        <w:ind w:firstLine="1129"/>
        <w:spacing w:after="0" w:line="267" w:lineRule="auto"/>
        <w:tabs>
          <w:tab w:leader="none" w:pos="1692" w:val="left"/>
        </w:tabs>
        <w:numPr>
          <w:ilvl w:val="0"/>
          <w:numId w:val="185"/>
        </w:numPr>
        <w:rPr>
          <w:rFonts w:ascii="Arial" w:cs="Arial" w:eastAsia="Arial" w:hAnsi="Arial"/>
          <w:sz w:val="15"/>
          <w:szCs w:val="15"/>
          <w:color w:val="auto"/>
        </w:rPr>
      </w:pPr>
      <w:r>
        <w:rPr>
          <w:rFonts w:ascii="Arial" w:cs="Arial" w:eastAsia="Arial" w:hAnsi="Arial"/>
          <w:sz w:val="15"/>
          <w:szCs w:val="15"/>
          <w:u w:val="single" w:color="auto"/>
          <w:color w:val="auto"/>
        </w:rPr>
        <w:t>PURCHASER NOT DEEMED A LIFEMAP SHAREHOLDER</w:t>
      </w:r>
      <w:r>
        <w:rPr>
          <w:rFonts w:ascii="Arial" w:cs="Arial" w:eastAsia="Arial" w:hAnsi="Arial"/>
          <w:sz w:val="15"/>
          <w:szCs w:val="15"/>
          <w:color w:val="auto"/>
        </w:rPr>
        <w:t>. The Purchaser, solely in such Person's capacity as the holder of this Option, shall not be entitled to vote or receive dividends or be deemed the holder of share capital of LifeMap for any purpose, nor shall anything contained in this Option be construed to confer upon the Purchaser, solely in such Person's capacity as the holder of this Option, any of the rights of a shareholder of LifeMap or any right to vote, give or withhold consent to any corporate action (whether any reorganization, issue of stock, reclassification of stock, consolidation, merger, conveyance or otherwise), receive notice of meetings, receive dividends or subscription rights, or otherwise, prior to the purchase of the LifeMap Shares through the due exercise of this Option. In addition, nothing contained in this Option shall be construed as imposing any liabilities on the Purchaser to purchase any securities or as a shareholder of the Company or LifeMap (other than upon exercise of this Option), whether such liabilities are asserted by the Company or LifeMap or by their respective creditors. Notwithstanding this Section, the Company shall provide the Purchaser with copies of such notices and other information given to the Common Stock holders of LifeMap generally, promptly after receipt thereof by the Company, unless the Company believes that such information is material, nonpublic information regarding the Company or LifeMap.</w:t>
      </w:r>
    </w:p>
    <w:p>
      <w:pPr>
        <w:spacing w:after="0" w:line="187" w:lineRule="exact"/>
        <w:rPr>
          <w:rFonts w:ascii="Arial" w:cs="Arial" w:eastAsia="Arial" w:hAnsi="Arial"/>
          <w:sz w:val="15"/>
          <w:szCs w:val="15"/>
          <w:color w:val="auto"/>
        </w:rPr>
      </w:pPr>
    </w:p>
    <w:p>
      <w:pPr>
        <w:jc w:val="both"/>
        <w:ind w:firstLine="1129"/>
        <w:spacing w:after="0" w:line="270" w:lineRule="auto"/>
        <w:tabs>
          <w:tab w:leader="none" w:pos="1731" w:val="left"/>
        </w:tabs>
        <w:numPr>
          <w:ilvl w:val="0"/>
          <w:numId w:val="185"/>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pursuant to this Agreement by the Purchaser to the Company shall be in writing and shall be delivered in person, or mailed first class, postage prepaid, or sent by air delivery service or by facsimile transmission (FAX) or email to the Company, at its office, Attention: Chief Financial Officer. The address of the principal office of the Company is 1301 Harbor Bay Parkway, Alameda, California 94502; FAX (510) 521-3389; email rpeabody@biotimemail.com. Any notice given pursuant to this Agreement by the Company to the Purchaser shall be in writing and shall be mailed first class, postage prepaid, or sent by air delivery service, or by facsimile transmission (FAX) or email or otherwise delivered to the Purchaser at the Purchaser’s address shown on the signature page of this Option. Each party hereto may from time to time change the address to which notices to it are to be delivered or mailed hereunder by notice to the other party.</w:t>
      </w:r>
    </w:p>
    <w:p>
      <w:pPr>
        <w:spacing w:after="0" w:line="182" w:lineRule="exact"/>
        <w:rPr>
          <w:rFonts w:ascii="Arial" w:cs="Arial" w:eastAsia="Arial" w:hAnsi="Arial"/>
          <w:sz w:val="15"/>
          <w:szCs w:val="15"/>
          <w:color w:val="auto"/>
        </w:rPr>
      </w:pPr>
    </w:p>
    <w:p>
      <w:pPr>
        <w:ind w:right="20" w:firstLine="1129"/>
        <w:spacing w:after="0" w:line="267" w:lineRule="auto"/>
        <w:tabs>
          <w:tab w:leader="none" w:pos="1950"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Option may only be amended by a written instrument signed by the Company and the Purchaser.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90" w:name="page291"/>
    <w:bookmarkEnd w:id="290"/>
    <w:p>
      <w:pPr>
        <w:jc w:val="both"/>
        <w:ind w:firstLine="1129"/>
        <w:spacing w:after="0" w:line="291" w:lineRule="auto"/>
        <w:tabs>
          <w:tab w:leader="none" w:pos="1758" w:val="left"/>
        </w:tabs>
        <w:numPr>
          <w:ilvl w:val="0"/>
          <w:numId w:val="186"/>
        </w:numPr>
        <w:rPr>
          <w:rFonts w:ascii="Arial" w:cs="Arial" w:eastAsia="Arial" w:hAnsi="Arial"/>
          <w:sz w:val="14"/>
          <w:szCs w:val="14"/>
          <w:color w:val="auto"/>
        </w:rPr>
      </w:pPr>
      <w:r>
        <w:rPr>
          <w:rFonts w:ascii="Arial" w:cs="Arial" w:eastAsia="Arial" w:hAnsi="Arial"/>
          <w:sz w:val="14"/>
          <w:szCs w:val="14"/>
          <w:u w:val="single" w:color="auto"/>
          <w:color w:val="auto"/>
        </w:rPr>
        <w:t>GOVERNING LAW; JURISDICTION</w:t>
      </w:r>
      <w:r>
        <w:rPr>
          <w:rFonts w:ascii="Arial" w:cs="Arial" w:eastAsia="Arial" w:hAnsi="Arial"/>
          <w:sz w:val="14"/>
          <w:szCs w:val="14"/>
          <w:color w:val="auto"/>
        </w:rPr>
        <w:t>. This Option shall be governed by and construed and enforced in accordance with, and all questions concerning the construction, validity, interpretation and performance of this Option shall be governed by, the internal laws of the State of California, without giving effect to any choice of law or conflict of law provision or rule (whether of the State of California or any other jurisdictions) that would cause the application of the laws of any jurisdictions other than the State of California. The Company and the Purchaser hereby irrevocably submit to the non-exclusive jurisdiction of the state and federal courts sitting in the City of New York and the County of Alameda and the United States District Court for the Northern District of California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w:t>
      </w:r>
    </w:p>
    <w:p>
      <w:pPr>
        <w:spacing w:after="0" w:line="169" w:lineRule="exact"/>
        <w:rPr>
          <w:rFonts w:ascii="Arial" w:cs="Arial" w:eastAsia="Arial" w:hAnsi="Arial"/>
          <w:sz w:val="14"/>
          <w:szCs w:val="14"/>
          <w:color w:val="auto"/>
        </w:rPr>
      </w:pPr>
    </w:p>
    <w:p>
      <w:pPr>
        <w:ind w:right="20" w:firstLine="1129"/>
        <w:spacing w:after="0" w:line="301" w:lineRule="auto"/>
        <w:tabs>
          <w:tab w:leader="none" w:pos="1669" w:val="left"/>
        </w:tabs>
        <w:numPr>
          <w:ilvl w:val="0"/>
          <w:numId w:val="186"/>
        </w:numPr>
        <w:rPr>
          <w:rFonts w:ascii="Arial" w:cs="Arial" w:eastAsia="Arial" w:hAnsi="Arial"/>
          <w:sz w:val="15"/>
          <w:szCs w:val="15"/>
          <w:color w:val="auto"/>
        </w:rPr>
      </w:pPr>
      <w:r>
        <w:rPr>
          <w:rFonts w:ascii="Arial" w:cs="Arial" w:eastAsia="Arial" w:hAnsi="Arial"/>
          <w:sz w:val="15"/>
          <w:szCs w:val="15"/>
          <w:u w:val="single" w:color="auto"/>
          <w:color w:val="auto"/>
        </w:rPr>
        <w:t>CONSTRUCTION; HEADINGS</w:t>
      </w:r>
      <w:r>
        <w:rPr>
          <w:rFonts w:ascii="Arial" w:cs="Arial" w:eastAsia="Arial" w:hAnsi="Arial"/>
          <w:sz w:val="15"/>
          <w:szCs w:val="15"/>
          <w:color w:val="auto"/>
        </w:rPr>
        <w:t>. This Option shall be deemed to be jointly drafted by the Company and Purchaser and shall not be construed against any Person as the drafter hereof. The headings of this Option are for convenience of reference and shall not form part of, or affect the interpretation of, this Option.</w:t>
      </w:r>
    </w:p>
    <w:p>
      <w:pPr>
        <w:spacing w:after="0" w:line="158" w:lineRule="exact"/>
        <w:rPr>
          <w:rFonts w:ascii="Arial" w:cs="Arial" w:eastAsia="Arial" w:hAnsi="Arial"/>
          <w:sz w:val="15"/>
          <w:szCs w:val="15"/>
          <w:color w:val="auto"/>
        </w:rPr>
      </w:pPr>
    </w:p>
    <w:p>
      <w:pPr>
        <w:jc w:val="both"/>
        <w:ind w:firstLine="1129"/>
        <w:spacing w:after="0" w:line="289" w:lineRule="auto"/>
        <w:tabs>
          <w:tab w:leader="none" w:pos="1805" w:val="left"/>
        </w:tabs>
        <w:numPr>
          <w:ilvl w:val="0"/>
          <w:numId w:val="186"/>
        </w:numPr>
        <w:rPr>
          <w:rFonts w:ascii="Arial" w:cs="Arial" w:eastAsia="Arial" w:hAnsi="Arial"/>
          <w:sz w:val="14"/>
          <w:szCs w:val="14"/>
          <w:color w:val="auto"/>
        </w:rPr>
      </w:pPr>
      <w:r>
        <w:rPr>
          <w:rFonts w:ascii="Arial" w:cs="Arial" w:eastAsia="Arial" w:hAnsi="Arial"/>
          <w:sz w:val="14"/>
          <w:szCs w:val="14"/>
          <w:u w:val="single" w:color="auto"/>
          <w:color w:val="auto"/>
        </w:rPr>
        <w:t>DISPUTE RESOLUTION</w:t>
      </w:r>
      <w:r>
        <w:rPr>
          <w:rFonts w:ascii="Arial" w:cs="Arial" w:eastAsia="Arial" w:hAnsi="Arial"/>
          <w:sz w:val="14"/>
          <w:szCs w:val="14"/>
          <w:color w:val="auto"/>
        </w:rPr>
        <w:t>. In the case of a dispute as to the determination of the Exchange Ratio or the arithmetic calculation of the LifeMap Shares purchasable upon the exercise of this Option, the Company shall submit the disputed determinations or arithmetic calculations via facsimile within two (2) Business Days of receipt of the Exercise Notice giving rise to such dispute, as the case may be, to the Purchaser. If the Purchaser and the Company are unable to agree upon such determination or calculation of the Exchange Ratio or the LifeMap Shares within three (3) Business Days of such disputed determination or arithmetic calculation being submitted to the Purchaser, then the Company shall, within two (2) Business Days submit via facsimile (a) the disputed determination of the Exchange Ratio to an independent, reputable investment bank selected by the Company and approved by the Purchaser or (b) the disputed arithmetic calculation of the LifeMap Shares to the Company's independent, outside accountant. The Company shall cause at its expense the investment bank or the accountant, as the case may be, to perform the determinations or calculations and notify the Company and the Purchaser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69" w:lineRule="exact"/>
        <w:rPr>
          <w:rFonts w:ascii="Arial" w:cs="Arial" w:eastAsia="Arial" w:hAnsi="Arial"/>
          <w:sz w:val="14"/>
          <w:szCs w:val="14"/>
          <w:color w:val="auto"/>
        </w:rPr>
      </w:pPr>
    </w:p>
    <w:p>
      <w:pPr>
        <w:jc w:val="both"/>
        <w:ind w:firstLine="1129"/>
        <w:spacing w:after="0" w:line="257" w:lineRule="auto"/>
        <w:tabs>
          <w:tab w:leader="none" w:pos="1817"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REMEDIES, OTHER OBLIGATIONS, BREACHES AND INJUNCTIVE RELIEF</w:t>
      </w:r>
      <w:r>
        <w:rPr>
          <w:rFonts w:ascii="Arial" w:cs="Arial" w:eastAsia="Arial" w:hAnsi="Arial"/>
          <w:sz w:val="16"/>
          <w:szCs w:val="16"/>
          <w:color w:val="auto"/>
        </w:rPr>
        <w:t>. The remedies provided in this Option shall be cumulative and in addition to all other remedies available under this Option, at law or in equity (including a decree of specific performance and/or other injunctive relief), and nothing herein shall limit the right of the Purchaser to pursue actual damages for any failure by the Company to comply with the terms of this Option.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91" w:name="page292"/>
    <w:bookmarkEnd w:id="291"/>
    <w:p>
      <w:pPr>
        <w:jc w:val="both"/>
        <w:ind w:firstLine="1129"/>
        <w:spacing w:after="0" w:line="250" w:lineRule="auto"/>
        <w:tabs>
          <w:tab w:leader="none" w:pos="1781"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Option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Option so long as this Option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w:t>
      </w:r>
    </w:p>
    <w:p>
      <w:pPr>
        <w:spacing w:after="0" w:line="197" w:lineRule="exact"/>
        <w:rPr>
          <w:rFonts w:ascii="Arial" w:cs="Arial" w:eastAsia="Arial" w:hAnsi="Arial"/>
          <w:sz w:val="16"/>
          <w:szCs w:val="16"/>
          <w:color w:val="auto"/>
        </w:rPr>
      </w:pPr>
    </w:p>
    <w:p>
      <w:pPr>
        <w:jc w:val="both"/>
        <w:ind w:firstLine="1129"/>
        <w:spacing w:after="0" w:line="266" w:lineRule="auto"/>
        <w:tabs>
          <w:tab w:leader="none" w:pos="1746"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COMPANY'S REPRESENTATIONS AND WARRANTIES</w:t>
      </w:r>
      <w:r>
        <w:rPr>
          <w:rFonts w:ascii="Arial" w:cs="Arial" w:eastAsia="Arial" w:hAnsi="Arial"/>
          <w:sz w:val="15"/>
          <w:szCs w:val="15"/>
          <w:color w:val="auto"/>
        </w:rPr>
        <w:t>. The Company is a corporation duly organized, validly existing and in good standing under the laws of the State of California, with the requisite power and authority to own and use its properties and assets and to carry on its business as currently conducted. The Company has the power and authority to execute and deliver this Option and to perform all of its obligations hereunder. This Option has been duly authorized, executed and delivered by the Company and is the valid and binding agreement of the Company, enforceable in accordance with its terms subject to: (i) laws of general application relating to bankruptcy, insolvency and the relief of debtors; and (ii) general principles of equity. There is no lawsuit, arbitration proceeding, or administrative action or proceeding pending or threatened against the Company which questions the validity of this Option or any action taken or to be taken by the Company in connection with this Option or the transfer of the LifeMap Shares hereunder. The Company owns beneficially of record, free and clear of any lien or other encumbrance, the LifeMap Shares, and upon exercise of the Option, the Purchaser will acquire good and valid title to such LifeMap Shares thereto, free and clear of any lien or other encumbrance. The execution and delivery of this Option and consummation of the transactions contemplated by this Option (a) do not and will not violate any provisions of (i) any rule, regulation, statute, or law, (ii) the terms of any order, writ or decree of any court or judicial or regulatory authority or body, (iii) the Articles of Incorporation or bylaws of the Company, or (iv) the rules and regulations of the NYSE MKT applicable to the listing of the Company’s common shares, (b) will not conflict with or result in a breach of any condition or provision or constitute a default under or pursuant to the terms of any Material Contract (as defined in the Securities Purchase Agreement), and (c) will not result in the creation or imposition of any lien, charge or encumbrance upon any of the LifeMap Shares (other than pursuant to this Option) or upon any of the assets or properties of the Company.</w:t>
      </w:r>
    </w:p>
    <w:p>
      <w:pPr>
        <w:spacing w:after="0" w:line="185" w:lineRule="exact"/>
        <w:rPr>
          <w:rFonts w:ascii="Arial" w:cs="Arial" w:eastAsia="Arial" w:hAnsi="Arial"/>
          <w:sz w:val="15"/>
          <w:szCs w:val="15"/>
          <w:color w:val="auto"/>
        </w:rPr>
      </w:pPr>
    </w:p>
    <w:p>
      <w:pPr>
        <w:jc w:val="both"/>
        <w:ind w:firstLine="1129"/>
        <w:spacing w:after="0" w:line="266" w:lineRule="auto"/>
        <w:tabs>
          <w:tab w:leader="none" w:pos="1687"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CONCERNING LIFEMAP</w:t>
      </w:r>
      <w:r>
        <w:rPr>
          <w:rFonts w:ascii="Arial" w:cs="Arial" w:eastAsia="Arial" w:hAnsi="Arial"/>
          <w:sz w:val="15"/>
          <w:szCs w:val="15"/>
          <w:color w:val="auto"/>
        </w:rPr>
        <w:t>. LifeMap is a corporation duly organized, validly existing and in good standing under the laws of the State of California, with the requisite power and authority to own and use its properties and assets and to carry on its business as currently conducted. There is no lawsuit, arbitration proceeding, or administrative action or proceeding pending or threatened against LifeMap which questions the validity of this Option or any action taken or to be taken by the Company in connection with this Option or the transfer of the LifeMap Shares hereunder. The execution and delivery of this Option and consummation of the transactions contemplated by this Option (a) do not and will not violate any provisions of (i) any rule, regulation, statute, or law, (ii) the terms of any order, writ or decree of any court or judicial or regulatory authority or body or (iii) the Articles of Incorporation or bylaws of LifeMap, (b) will not conflict with or result in a breach of any condition or provision or constitute a default under or pursuant to the terms of any Material Contract of LifeMap (as defined in the Securities Purchase Agreement as if such contract was a contract to which LifeMap is a party), and (c) will not result in the creation or imposition of any lien, charge or encumbrance upon any of the LifeMap Shares (other than pursuant to this Option) or upon any of the assets or properties of LifeMap. The authorized capital stock of LifeMap consists of: 2,250,000 shares of Preferred Stock, none of which are issued and outstanding, and 22,500,000 shares of Common Stock, of which 11,715,095 shares, are issued and outstanding. All outstanding shares of LifeMap Common Stock are duly and validly authorized and issued, fully paid and nonassessable. Except for up to 2,342,269 shares of Common Stock reserved for issuance to employees, directors and consultants under the terms of a stock option plan previously approved by LifeMap’s Board of Directors, there are no outstanding options, warrants, rights or obligations for the purchase or acquisition from LifeMap of any shares of capital stock.</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292" w:name="page293"/>
    <w:bookmarkEnd w:id="292"/>
    <w:p>
      <w:pPr>
        <w:ind w:left="1665" w:hanging="531"/>
        <w:spacing w:after="0"/>
        <w:tabs>
          <w:tab w:leader="none" w:pos="1665"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Option, the following terms shall have the following meanings:</w:t>
      </w:r>
    </w:p>
    <w:p>
      <w:pPr>
        <w:spacing w:after="0" w:line="213" w:lineRule="exact"/>
        <w:rPr>
          <w:rFonts w:ascii="Arial" w:cs="Arial" w:eastAsia="Arial" w:hAnsi="Arial"/>
          <w:sz w:val="16"/>
          <w:szCs w:val="16"/>
          <w:color w:val="auto"/>
        </w:rPr>
      </w:pPr>
    </w:p>
    <w:p>
      <w:pPr>
        <w:jc w:val="both"/>
        <w:ind w:left="5" w:firstLine="1696"/>
        <w:spacing w:after="0" w:line="314" w:lineRule="auto"/>
        <w:tabs>
          <w:tab w:leader="none" w:pos="2052" w:val="left"/>
        </w:tabs>
        <w:numPr>
          <w:ilvl w:val="2"/>
          <w:numId w:val="1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48" w:lineRule="exact"/>
        <w:rPr>
          <w:rFonts w:ascii="Arial" w:cs="Arial" w:eastAsia="Arial" w:hAnsi="Arial"/>
          <w:sz w:val="14"/>
          <w:szCs w:val="14"/>
          <w:color w:val="auto"/>
        </w:rPr>
      </w:pPr>
    </w:p>
    <w:p>
      <w:pPr>
        <w:ind w:left="2045" w:hanging="344"/>
        <w:spacing w:after="0"/>
        <w:tabs>
          <w:tab w:leader="none" w:pos="2045" w:val="left"/>
        </w:tabs>
        <w:numPr>
          <w:ilvl w:val="2"/>
          <w:numId w:val="1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Bloomberg</w:t>
      </w:r>
      <w:r>
        <w:rPr>
          <w:rFonts w:ascii="Arial" w:cs="Arial" w:eastAsia="Arial" w:hAnsi="Arial"/>
          <w:sz w:val="16"/>
          <w:szCs w:val="16"/>
          <w:color w:val="auto"/>
        </w:rPr>
        <w:t>" means Bloomberg Financial Markets.</w:t>
      </w:r>
    </w:p>
    <w:p>
      <w:pPr>
        <w:spacing w:after="0" w:line="217" w:lineRule="exact"/>
        <w:rPr>
          <w:rFonts w:ascii="Arial" w:cs="Arial" w:eastAsia="Arial" w:hAnsi="Arial"/>
          <w:sz w:val="16"/>
          <w:szCs w:val="16"/>
          <w:color w:val="auto"/>
        </w:rPr>
      </w:pPr>
    </w:p>
    <w:p>
      <w:pPr>
        <w:ind w:left="5" w:right="20" w:firstLine="1696"/>
        <w:spacing w:after="0" w:line="273" w:lineRule="auto"/>
        <w:tabs>
          <w:tab w:leader="none" w:pos="2111" w:val="left"/>
        </w:tabs>
        <w:numPr>
          <w:ilvl w:val="2"/>
          <w:numId w:val="1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Saturday, Sunday or other day on which commercial banks in The City of New York are authorized or required by law to remain closed.</w:t>
      </w:r>
    </w:p>
    <w:p>
      <w:pPr>
        <w:spacing w:after="0" w:line="172" w:lineRule="exact"/>
        <w:rPr>
          <w:rFonts w:ascii="Arial" w:cs="Arial" w:eastAsia="Arial" w:hAnsi="Arial"/>
          <w:sz w:val="16"/>
          <w:szCs w:val="16"/>
          <w:color w:val="auto"/>
        </w:rPr>
      </w:pPr>
    </w:p>
    <w:p>
      <w:pPr>
        <w:jc w:val="both"/>
        <w:ind w:left="5" w:firstLine="1696"/>
        <w:spacing w:after="0" w:line="287" w:lineRule="auto"/>
        <w:tabs>
          <w:tab w:leader="none" w:pos="2214" w:val="left"/>
        </w:tabs>
        <w:numPr>
          <w:ilvl w:val="2"/>
          <w:numId w:val="1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Bid Price</w:t>
      </w:r>
      <w:r>
        <w:rPr>
          <w:rFonts w:ascii="Arial" w:cs="Arial" w:eastAsia="Arial" w:hAnsi="Arial"/>
          <w:sz w:val="14"/>
          <w:szCs w:val="14"/>
          <w:color w:val="auto"/>
        </w:rPr>
        <w:t>" and "</w:t>
      </w:r>
      <w:r>
        <w:rPr>
          <w:rFonts w:ascii="Arial" w:cs="Arial" w:eastAsia="Arial" w:hAnsi="Arial"/>
          <w:sz w:val="14"/>
          <w:szCs w:val="14"/>
          <w:b w:val="1"/>
          <w:bCs w:val="1"/>
          <w:color w:val="auto"/>
        </w:rPr>
        <w:t>Closing Sale Price</w:t>
      </w:r>
      <w:r>
        <w:rPr>
          <w:rFonts w:ascii="Arial" w:cs="Arial" w:eastAsia="Arial" w:hAnsi="Arial"/>
          <w:sz w:val="14"/>
          <w:szCs w:val="14"/>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If the Company and the Purchaser are unable to agree upon the fair market value of such security, then such dispute shall be resolved pursuant to Section</w:t>
      </w:r>
    </w:p>
    <w:p>
      <w:pPr>
        <w:spacing w:after="0" w:line="1" w:lineRule="exact"/>
        <w:rPr>
          <w:rFonts w:ascii="Arial" w:cs="Arial" w:eastAsia="Arial" w:hAnsi="Arial"/>
          <w:sz w:val="14"/>
          <w:szCs w:val="14"/>
          <w:color w:val="auto"/>
        </w:rPr>
      </w:pPr>
    </w:p>
    <w:p>
      <w:pPr>
        <w:ind w:left="5" w:right="20" w:hanging="5"/>
        <w:spacing w:after="0" w:line="253" w:lineRule="auto"/>
        <w:tabs>
          <w:tab w:leader="none" w:pos="25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All such determinations to be appropriately adjusted for any stock dividend, stock split, stock combination, reclassification or other similar transaction during the applicable calculation period.</w:t>
      </w:r>
    </w:p>
    <w:p>
      <w:pPr>
        <w:spacing w:after="0" w:line="187" w:lineRule="exact"/>
        <w:rPr>
          <w:rFonts w:ascii="Arial" w:cs="Arial" w:eastAsia="Arial" w:hAnsi="Arial"/>
          <w:sz w:val="16"/>
          <w:szCs w:val="16"/>
          <w:color w:val="auto"/>
        </w:rPr>
      </w:pPr>
    </w:p>
    <w:p>
      <w:pPr>
        <w:ind w:left="5" w:right="20" w:firstLine="1696"/>
        <w:spacing w:after="0" w:line="273" w:lineRule="auto"/>
        <w:tabs>
          <w:tab w:leader="none" w:pos="2052" w:val="left"/>
        </w:tabs>
        <w:numPr>
          <w:ilvl w:val="2"/>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(i) the Common Stock, no par value per share, of LifeMap, and (ii) any share capital into which such Common Stock shall have been changed or any share capital resulting from a reclassification of such Common Stock.</w:t>
      </w:r>
    </w:p>
    <w:p>
      <w:pPr>
        <w:spacing w:after="0" w:line="172" w:lineRule="exact"/>
        <w:rPr>
          <w:rFonts w:ascii="Arial" w:cs="Arial" w:eastAsia="Arial" w:hAnsi="Arial"/>
          <w:sz w:val="16"/>
          <w:szCs w:val="16"/>
          <w:color w:val="auto"/>
        </w:rPr>
      </w:pPr>
    </w:p>
    <w:p>
      <w:pPr>
        <w:ind w:left="5" w:right="20" w:firstLine="1696"/>
        <w:spacing w:after="0" w:line="273" w:lineRule="auto"/>
        <w:tabs>
          <w:tab w:leader="none" w:pos="2070" w:val="left"/>
        </w:tabs>
        <w:numPr>
          <w:ilvl w:val="2"/>
          <w:numId w:val="18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Market</w:t>
      </w:r>
      <w:r>
        <w:rPr>
          <w:rFonts w:ascii="Arial" w:cs="Arial" w:eastAsia="Arial" w:hAnsi="Arial"/>
          <w:sz w:val="16"/>
          <w:szCs w:val="16"/>
          <w:color w:val="auto"/>
        </w:rPr>
        <w:t>" means the NYSE, the NYSE MKT, The NASDAQ Global Market, The NASDAQ Global Select Market, the NASDAQ Capital Market, or the OTC Bulletin Board.</w:t>
      </w:r>
    </w:p>
    <w:p>
      <w:pPr>
        <w:spacing w:after="0" w:line="114"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293" w:name="page294"/>
    <w:bookmarkEnd w:id="293"/>
    <w:p>
      <w:pPr>
        <w:ind w:left="2040" w:hanging="344"/>
        <w:spacing w:after="0"/>
        <w:tabs>
          <w:tab w:leader="none" w:pos="2040" w:val="left"/>
        </w:tabs>
        <w:numPr>
          <w:ilvl w:val="0"/>
          <w:numId w:val="190"/>
        </w:numPr>
        <w:rPr>
          <w:rFonts w:ascii="Arial" w:cs="Arial" w:eastAsia="Arial" w:hAnsi="Arial"/>
          <w:sz w:val="16"/>
          <w:szCs w:val="16"/>
          <w:color w:val="auto"/>
        </w:rPr>
      </w:pP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means the Securities Exchange Act of 1934, as amended.</w:t>
      </w:r>
    </w:p>
    <w:p>
      <w:pPr>
        <w:spacing w:after="0" w:line="217" w:lineRule="exact"/>
        <w:rPr>
          <w:rFonts w:ascii="Arial" w:cs="Arial" w:eastAsia="Arial" w:hAnsi="Arial"/>
          <w:sz w:val="16"/>
          <w:szCs w:val="16"/>
          <w:color w:val="auto"/>
        </w:rPr>
      </w:pPr>
    </w:p>
    <w:p>
      <w:pPr>
        <w:ind w:right="20" w:firstLine="1696"/>
        <w:spacing w:after="0" w:line="273" w:lineRule="auto"/>
        <w:tabs>
          <w:tab w:leader="none" w:pos="212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has the meaning ascribed in Section 1, provided, that, if March 4, 2019 falls on a day other than a Business Day or on which trading does not take place on the Principal Market (a "</w:t>
      </w:r>
      <w:r>
        <w:rPr>
          <w:rFonts w:ascii="Arial" w:cs="Arial" w:eastAsia="Arial" w:hAnsi="Arial"/>
          <w:sz w:val="16"/>
          <w:szCs w:val="16"/>
          <w:b w:val="1"/>
          <w:bCs w:val="1"/>
          <w:color w:val="auto"/>
        </w:rPr>
        <w:t>Holiday</w:t>
      </w:r>
      <w:r>
        <w:rPr>
          <w:rFonts w:ascii="Arial" w:cs="Arial" w:eastAsia="Arial" w:hAnsi="Arial"/>
          <w:sz w:val="16"/>
          <w:szCs w:val="16"/>
          <w:color w:val="auto"/>
        </w:rPr>
        <w:t>"), the next day that is not a Holiday shall apply.</w:t>
      </w:r>
    </w:p>
    <w:p>
      <w:pPr>
        <w:spacing w:after="0" w:line="172" w:lineRule="exact"/>
        <w:rPr>
          <w:rFonts w:ascii="Arial" w:cs="Arial" w:eastAsia="Arial" w:hAnsi="Arial"/>
          <w:sz w:val="16"/>
          <w:szCs w:val="16"/>
          <w:color w:val="auto"/>
        </w:rPr>
      </w:pPr>
    </w:p>
    <w:p>
      <w:pPr>
        <w:ind w:firstLine="1696"/>
        <w:spacing w:after="0" w:line="273" w:lineRule="auto"/>
        <w:tabs>
          <w:tab w:leader="none" w:pos="205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limited liability company, a partnership, a joint venture, a corporation, a trust, an unincorporated organization, any other entity and a government or any department or agency thereof.</w:t>
      </w:r>
    </w:p>
    <w:p>
      <w:pPr>
        <w:spacing w:after="0" w:line="172" w:lineRule="exact"/>
        <w:rPr>
          <w:rFonts w:ascii="Arial" w:cs="Arial" w:eastAsia="Arial" w:hAnsi="Arial"/>
          <w:sz w:val="16"/>
          <w:szCs w:val="16"/>
          <w:color w:val="auto"/>
        </w:rPr>
      </w:pPr>
    </w:p>
    <w:p>
      <w:pPr>
        <w:ind w:left="2020" w:hanging="324"/>
        <w:spacing w:after="0"/>
        <w:tabs>
          <w:tab w:leader="none" w:pos="202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Market</w:t>
      </w:r>
      <w:r>
        <w:rPr>
          <w:rFonts w:ascii="Arial" w:cs="Arial" w:eastAsia="Arial" w:hAnsi="Arial"/>
          <w:sz w:val="16"/>
          <w:szCs w:val="16"/>
          <w:color w:val="auto"/>
        </w:rPr>
        <w:t>" means the principal Eligible Market on which the Common Stock trades.</w:t>
      </w:r>
    </w:p>
    <w:p>
      <w:pPr>
        <w:spacing w:after="0" w:line="217" w:lineRule="exact"/>
        <w:rPr>
          <w:rFonts w:ascii="Arial" w:cs="Arial" w:eastAsia="Arial" w:hAnsi="Arial"/>
          <w:sz w:val="16"/>
          <w:szCs w:val="16"/>
          <w:color w:val="auto"/>
        </w:rPr>
      </w:pPr>
    </w:p>
    <w:p>
      <w:pPr>
        <w:ind w:left="2040" w:hanging="344"/>
        <w:spacing w:after="0"/>
        <w:tabs>
          <w:tab w:leader="none" w:pos="20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w:t>
      </w:r>
    </w:p>
    <w:p>
      <w:pPr>
        <w:spacing w:after="0" w:line="217" w:lineRule="exact"/>
        <w:rPr>
          <w:rFonts w:ascii="Arial" w:cs="Arial" w:eastAsia="Arial" w:hAnsi="Arial"/>
          <w:sz w:val="16"/>
          <w:szCs w:val="16"/>
          <w:color w:val="auto"/>
        </w:rPr>
      </w:pPr>
    </w:p>
    <w:p>
      <w:pPr>
        <w:jc w:val="both"/>
        <w:ind w:right="20" w:firstLine="1696"/>
        <w:spacing w:after="0" w:line="255" w:lineRule="auto"/>
        <w:tabs>
          <w:tab w:leader="none" w:pos="207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63"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[Signature Page Follows]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94" w:name="page295"/>
    <w:bookmarkEnd w:id="294"/>
    <w:p>
      <w:pPr>
        <w:jc w:val="right"/>
        <w:ind w:right="339"/>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and Purchaser have caused this Option Agreement to be duly executed as of the Effective Date.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11430</wp:posOffset>
            </wp:positionV>
            <wp:extent cx="2686685" cy="152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686685"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254000</wp:posOffset>
            </wp:positionV>
            <wp:extent cx="2911475" cy="152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911475" cy="1524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11430</wp:posOffset>
            </wp:positionV>
            <wp:extent cx="2686685" cy="152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686685"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357"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95" w:name="page296"/>
    <w:bookmarkEnd w:id="295"/>
    <w:p>
      <w:pPr>
        <w:jc w:val="right"/>
        <w:spacing w:after="0"/>
        <w:rPr>
          <w:sz w:val="20"/>
          <w:szCs w:val="20"/>
          <w:color w:val="auto"/>
        </w:rPr>
      </w:pPr>
      <w:r>
        <w:rPr>
          <w:rFonts w:ascii="Arial" w:cs="Arial" w:eastAsia="Arial" w:hAnsi="Arial"/>
          <w:sz w:val="16"/>
          <w:szCs w:val="16"/>
          <w:b w:val="1"/>
          <w:bCs w:val="1"/>
          <w:color w:val="auto"/>
        </w:rPr>
        <w:t>EXHIBIT A</w:t>
      </w:r>
    </w:p>
    <w:p>
      <w:pPr>
        <w:spacing w:after="0" w:line="218"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EXERCISE NOTICE</w:t>
      </w:r>
    </w:p>
    <w:p>
      <w:pPr>
        <w:spacing w:after="0" w:line="20"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TO BE EXECUTED BY THE REGISTERED PURCHASER TO EXERCISE THIS</w:t>
      </w:r>
    </w:p>
    <w:p>
      <w:pPr>
        <w:spacing w:after="0" w:line="5"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OPTION TO PURCHASE LIFEMAP COMMON STOCK</w:t>
      </w:r>
    </w:p>
    <w:p>
      <w:pPr>
        <w:spacing w:after="0" w:line="203" w:lineRule="exact"/>
        <w:rPr>
          <w:sz w:val="20"/>
          <w:szCs w:val="20"/>
          <w:color w:val="auto"/>
        </w:rPr>
      </w:pPr>
    </w:p>
    <w:p>
      <w:pPr>
        <w:ind w:left="5440"/>
        <w:spacing w:after="0"/>
        <w:rPr>
          <w:sz w:val="20"/>
          <w:szCs w:val="20"/>
          <w:color w:val="auto"/>
        </w:rPr>
      </w:pPr>
      <w:r>
        <w:rPr>
          <w:rFonts w:ascii="Arial" w:cs="Arial" w:eastAsia="Arial" w:hAnsi="Arial"/>
          <w:sz w:val="16"/>
          <w:szCs w:val="16"/>
          <w:b w:val="1"/>
          <w:bCs w:val="1"/>
          <w:color w:val="auto"/>
        </w:rPr>
        <w:t>BIOTIME, INC.</w:t>
      </w:r>
    </w:p>
    <w:p>
      <w:pPr>
        <w:spacing w:after="0" w:line="194"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The undersigned Purchaser hereby exercises the right to purchase _________________ LifeMap Shares ("</w:t>
      </w:r>
      <w:r>
        <w:rPr>
          <w:rFonts w:ascii="Arial" w:cs="Arial" w:eastAsia="Arial" w:hAnsi="Arial"/>
          <w:sz w:val="15"/>
          <w:szCs w:val="15"/>
          <w:b w:val="1"/>
          <w:bCs w:val="1"/>
          <w:color w:val="auto"/>
        </w:rPr>
        <w:t>LifeMap Shares</w:t>
      </w:r>
      <w:r>
        <w:rPr>
          <w:rFonts w:ascii="Arial" w:cs="Arial" w:eastAsia="Arial" w:hAnsi="Arial"/>
          <w:sz w:val="15"/>
          <w:szCs w:val="15"/>
          <w:color w:val="auto"/>
        </w:rPr>
        <w:t>") of LifeMap Sciences, Inc., a</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California corporation, held by BioTime, Inc. (the "</w:t>
      </w:r>
      <w:r>
        <w:rPr>
          <w:rFonts w:ascii="Arial" w:cs="Arial" w:eastAsia="Arial" w:hAnsi="Arial"/>
          <w:sz w:val="14"/>
          <w:szCs w:val="14"/>
          <w:b w:val="1"/>
          <w:bCs w:val="1"/>
          <w:color w:val="auto"/>
        </w:rPr>
        <w:t>Company</w:t>
      </w:r>
      <w:r>
        <w:rPr>
          <w:rFonts w:ascii="Arial" w:cs="Arial" w:eastAsia="Arial" w:hAnsi="Arial"/>
          <w:sz w:val="14"/>
          <w:szCs w:val="14"/>
          <w:color w:val="auto"/>
        </w:rPr>
        <w:t>"), pursuant to the attached Option Agreement and tenders herewith __________ shares of Series A Preferred Stock,</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duly endorsed in blank, in exchange for such LifeMap Shares.</w:t>
      </w:r>
    </w:p>
    <w:p>
      <w:pPr>
        <w:spacing w:after="0" w:line="207"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Capitalized terms used herein and not otherwise defined shall have the respective meanings set forth in the Option Agreement.</w:t>
      </w: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Date:</w:t>
        <w:tab/>
        <w:t>_______________ 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251460</wp:posOffset>
            </wp:positionV>
            <wp:extent cx="2911475" cy="152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911475" cy="15240"/>
                    </a:xfrm>
                    <a:prstGeom prst="rect">
                      <a:avLst/>
                    </a:prstGeom>
                    <a:noFill/>
                  </pic:spPr>
                </pic:pic>
              </a:graphicData>
            </a:graphic>
          </wp:anchor>
        </w:drawing>
      </w:r>
    </w:p>
    <w:p>
      <w:pPr>
        <w:spacing w:after="0" w:line="387"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Name of Registered Purchaser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3810</wp:posOffset>
            </wp:positionV>
            <wp:extent cx="2543810" cy="152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543810" cy="1524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6"/>
          <w:szCs w:val="16"/>
          <w:color w:val="auto"/>
        </w:rPr>
        <w:t>Name:</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Title:</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[NOTE: The above signature should correspond exactly with the name of the Purchaser in the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63765" cy="152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96" w:name="page297"/>
    <w:bookmarkEnd w:id="296"/>
    <w:p>
      <w:pPr>
        <w:ind w:left="5160"/>
        <w:spacing w:after="0"/>
        <w:rPr>
          <w:sz w:val="20"/>
          <w:szCs w:val="20"/>
          <w:color w:val="auto"/>
        </w:rPr>
      </w:pPr>
      <w:r>
        <w:rPr>
          <w:rFonts w:ascii="Arial" w:cs="Arial" w:eastAsia="Arial" w:hAnsi="Arial"/>
          <w:sz w:val="16"/>
          <w:szCs w:val="16"/>
          <w:b w:val="1"/>
          <w:bCs w:val="1"/>
          <w:color w:val="auto"/>
        </w:rPr>
        <w:t>ACKNOWLEDGMENT</w:t>
      </w:r>
    </w:p>
    <w:p>
      <w:pPr>
        <w:spacing w:after="0" w:line="222" w:lineRule="exact"/>
        <w:rPr>
          <w:sz w:val="20"/>
          <w:szCs w:val="20"/>
          <w:color w:val="auto"/>
        </w:rPr>
      </w:pPr>
    </w:p>
    <w:p>
      <w:pPr>
        <w:ind w:firstLine="1134"/>
        <w:spacing w:after="0" w:line="267" w:lineRule="auto"/>
        <w:rPr>
          <w:sz w:val="20"/>
          <w:szCs w:val="20"/>
          <w:color w:val="auto"/>
        </w:rPr>
      </w:pPr>
      <w:r>
        <w:rPr>
          <w:rFonts w:ascii="Arial" w:cs="Arial" w:eastAsia="Arial" w:hAnsi="Arial"/>
          <w:sz w:val="16"/>
          <w:szCs w:val="16"/>
          <w:color w:val="auto"/>
        </w:rPr>
        <w:t>The Company hereby acknowledges this Exercise Notice and hereby directs [Transfer Agent] to issue the above indicated number of LifeMap Shares in accordance with the Transfer Agent Instructions dated ________ from the Company and acknowledged and agreed to by [Transfer Agent].</w:t>
      </w:r>
    </w:p>
    <w:p>
      <w:pPr>
        <w:spacing w:after="0" w:line="177"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BIOTIME, INC.</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11430</wp:posOffset>
            </wp:positionV>
            <wp:extent cx="2686685" cy="152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686685" cy="15240"/>
                    </a:xfrm>
                    <a:prstGeom prst="rect">
                      <a:avLst/>
                    </a:prstGeom>
                    <a:noFill/>
                  </pic:spPr>
                </pic:pic>
              </a:graphicData>
            </a:graphic>
          </wp:anchor>
        </w:drawing>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Name:</w:t>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7268845" cy="349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8845" cy="3492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68845" cy="4762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8845" cy="47625"/>
                    </a:xfrm>
                    <a:prstGeom prst="rect">
                      <a:avLst/>
                    </a:prstGeom>
                    <a:noFill/>
                  </pic:spPr>
                </pic:pic>
              </a:graphicData>
            </a:graphic>
          </wp:anchor>
        </w:drawing>
        <w:t>EXHIBIT 10.59</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OPTION AGREEMENT</w:t>
      </w:r>
    </w:p>
    <w:p>
      <w:pPr>
        <w:spacing w:after="0" w:line="194" w:lineRule="exact"/>
        <w:rPr>
          <w:sz w:val="20"/>
          <w:szCs w:val="20"/>
          <w:color w:val="auto"/>
        </w:rPr>
      </w:pPr>
    </w:p>
    <w:p>
      <w:pPr>
        <w:jc w:val="both"/>
        <w:ind w:right="20" w:firstLine="1134"/>
        <w:spacing w:after="0" w:line="259" w:lineRule="auto"/>
        <w:rPr>
          <w:sz w:val="20"/>
          <w:szCs w:val="20"/>
          <w:color w:val="auto"/>
        </w:rPr>
      </w:pPr>
      <w:r>
        <w:rPr>
          <w:rFonts w:ascii="Arial" w:cs="Arial" w:eastAsia="Arial" w:hAnsi="Arial"/>
          <w:sz w:val="16"/>
          <w:szCs w:val="16"/>
          <w:color w:val="auto"/>
        </w:rPr>
        <w:t>This Option Agreement (“Option”) is entered into as of March 4, 2014 (the “</w:t>
      </w:r>
      <w:r>
        <w:rPr>
          <w:rFonts w:ascii="Arial" w:cs="Arial" w:eastAsia="Arial" w:hAnsi="Arial"/>
          <w:sz w:val="16"/>
          <w:szCs w:val="16"/>
          <w:b w:val="1"/>
          <w:bCs w:val="1"/>
          <w:color w:val="auto"/>
        </w:rPr>
        <w:t>Effective Date</w:t>
      </w:r>
      <w:r>
        <w:rPr>
          <w:rFonts w:ascii="Arial" w:cs="Arial" w:eastAsia="Arial" w:hAnsi="Arial"/>
          <w:sz w:val="16"/>
          <w:szCs w:val="16"/>
          <w:color w:val="auto"/>
        </w:rPr>
        <w:t>”) by BioTime, Inc., a California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Milton H. Dresner, Trustee of the Milton H. Dresner Revocable Living Trust (the “</w:t>
      </w:r>
      <w:r>
        <w:rPr>
          <w:rFonts w:ascii="Arial" w:cs="Arial" w:eastAsia="Arial" w:hAnsi="Arial"/>
          <w:sz w:val="16"/>
          <w:szCs w:val="16"/>
          <w:b w:val="1"/>
          <w:bCs w:val="1"/>
          <w:color w:val="auto"/>
        </w:rPr>
        <w:t>Purchaser</w:t>
      </w:r>
      <w:r>
        <w:rPr>
          <w:rFonts w:ascii="Arial" w:cs="Arial" w:eastAsia="Arial" w:hAnsi="Arial"/>
          <w:sz w:val="16"/>
          <w:szCs w:val="16"/>
          <w:color w:val="auto"/>
        </w:rPr>
        <w:t>”) in connection that certain Preferred Stock Purchase Agreement, dated March 4, 2014, between the Company and Purchaser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w:t>
      </w:r>
    </w:p>
    <w:p>
      <w:pPr>
        <w:spacing w:after="0" w:line="188" w:lineRule="exact"/>
        <w:rPr>
          <w:sz w:val="20"/>
          <w:szCs w:val="20"/>
          <w:color w:val="auto"/>
        </w:rPr>
      </w:pPr>
    </w:p>
    <w:p>
      <w:pPr>
        <w:ind w:left="1660" w:hanging="531"/>
        <w:spacing w:after="0"/>
        <w:tabs>
          <w:tab w:leader="none" w:pos="1660"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GRANT OF OPTION.</w:t>
      </w:r>
    </w:p>
    <w:p>
      <w:pPr>
        <w:spacing w:after="0" w:line="213" w:lineRule="exact"/>
        <w:rPr>
          <w:rFonts w:ascii="Arial" w:cs="Arial" w:eastAsia="Arial" w:hAnsi="Arial"/>
          <w:sz w:val="16"/>
          <w:szCs w:val="16"/>
          <w:color w:val="auto"/>
        </w:rPr>
      </w:pPr>
    </w:p>
    <w:p>
      <w:pPr>
        <w:jc w:val="both"/>
        <w:ind w:right="20" w:firstLine="1696"/>
        <w:spacing w:after="0" w:line="298" w:lineRule="auto"/>
        <w:tabs>
          <w:tab w:leader="none" w:pos="2130" w:val="left"/>
        </w:tabs>
        <w:numPr>
          <w:ilvl w:val="1"/>
          <w:numId w:val="191"/>
        </w:numPr>
        <w:rPr>
          <w:rFonts w:ascii="Arial" w:cs="Arial" w:eastAsia="Arial" w:hAnsi="Arial"/>
          <w:sz w:val="14"/>
          <w:szCs w:val="14"/>
          <w:color w:val="auto"/>
        </w:rPr>
      </w:pPr>
      <w:r>
        <w:rPr>
          <w:rFonts w:ascii="Arial" w:cs="Arial" w:eastAsia="Arial" w:hAnsi="Arial"/>
          <w:sz w:val="14"/>
          <w:szCs w:val="14"/>
          <w:u w:val="single" w:color="auto"/>
          <w:color w:val="auto"/>
        </w:rPr>
        <w:t>Option</w:t>
      </w:r>
      <w:r>
        <w:rPr>
          <w:rFonts w:ascii="Arial" w:cs="Arial" w:eastAsia="Arial" w:hAnsi="Arial"/>
          <w:sz w:val="14"/>
          <w:szCs w:val="14"/>
          <w:color w:val="auto"/>
        </w:rPr>
        <w:t>. The Company hereby grants to Purchaser the option (the “</w:t>
      </w:r>
      <w:r>
        <w:rPr>
          <w:rFonts w:ascii="Arial" w:cs="Arial" w:eastAsia="Arial" w:hAnsi="Arial"/>
          <w:sz w:val="14"/>
          <w:szCs w:val="14"/>
          <w:b w:val="1"/>
          <w:bCs w:val="1"/>
          <w:color w:val="auto"/>
        </w:rPr>
        <w:t>Option</w:t>
      </w:r>
      <w:r>
        <w:rPr>
          <w:rFonts w:ascii="Arial" w:cs="Arial" w:eastAsia="Arial" w:hAnsi="Arial"/>
          <w:sz w:val="14"/>
          <w:szCs w:val="14"/>
          <w:color w:val="auto"/>
        </w:rPr>
        <w:t>”) to exchange shares of the Company’s Series A Convertible Preferred Stock (“</w:t>
      </w:r>
      <w:r>
        <w:rPr>
          <w:rFonts w:ascii="Arial" w:cs="Arial" w:eastAsia="Arial" w:hAnsi="Arial"/>
          <w:sz w:val="14"/>
          <w:szCs w:val="14"/>
          <w:b w:val="1"/>
          <w:bCs w:val="1"/>
          <w:color w:val="auto"/>
        </w:rPr>
        <w:t>Series A Preferred Stock</w:t>
      </w: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for Common Stock of LifeMap Sciences, Inc. (“</w:t>
      </w:r>
      <w:r>
        <w:rPr>
          <w:rFonts w:ascii="Arial" w:cs="Arial" w:eastAsia="Arial" w:hAnsi="Arial"/>
          <w:sz w:val="14"/>
          <w:szCs w:val="14"/>
          <w:b w:val="1"/>
          <w:bCs w:val="1"/>
          <w:color w:val="auto"/>
        </w:rPr>
        <w:t>LifeMap</w:t>
      </w:r>
      <w:r>
        <w:rPr>
          <w:rFonts w:ascii="Arial" w:cs="Arial" w:eastAsia="Arial" w:hAnsi="Arial"/>
          <w:sz w:val="14"/>
          <w:szCs w:val="14"/>
          <w:color w:val="auto"/>
        </w:rPr>
        <w:t>”) owned by the Company (the “</w:t>
      </w:r>
      <w:r>
        <w:rPr>
          <w:rFonts w:ascii="Arial" w:cs="Arial" w:eastAsia="Arial" w:hAnsi="Arial"/>
          <w:sz w:val="14"/>
          <w:szCs w:val="14"/>
          <w:b w:val="1"/>
          <w:bCs w:val="1"/>
          <w:color w:val="auto"/>
        </w:rPr>
        <w:t>LifeMap Shares</w:t>
      </w:r>
      <w:r>
        <w:rPr>
          <w:rFonts w:ascii="Arial" w:cs="Arial" w:eastAsia="Arial" w:hAnsi="Arial"/>
          <w:sz w:val="14"/>
          <w:szCs w:val="14"/>
          <w:color w:val="auto"/>
        </w:rPr>
        <w:t>”), free of any liens and charges and preemptive or similar rights. The Option shall expire if not exercised on or before the earliest to occur of (a) 5:00 p.m. New York time on March 4, 2019</w:t>
      </w:r>
      <w:r>
        <w:rPr>
          <w:rFonts w:ascii="Arial" w:cs="Arial" w:eastAsia="Arial" w:hAnsi="Arial"/>
          <w:sz w:val="14"/>
          <w:szCs w:val="14"/>
          <w:i w:val="1"/>
          <w:iCs w:val="1"/>
          <w:color w:val="auto"/>
        </w:rPr>
        <w:t>,</w:t>
      </w:r>
      <w:r>
        <w:rPr>
          <w:rFonts w:ascii="Arial" w:cs="Arial" w:eastAsia="Arial" w:hAnsi="Arial"/>
          <w:sz w:val="14"/>
          <w:szCs w:val="14"/>
          <w:color w:val="auto"/>
        </w:rPr>
        <w:t xml:space="preserve"> (b) the date on which all of the share of Series A Preferred Stock held by Purchaser have been converted into common shares of the Company, or the date on which all of the shares of Series A Preferred Stock issued by the Company to Purchaser shall have been sold or transferred otherwise than in a sale or transfer described in Section 4(a) (the “</w:t>
      </w:r>
      <w:r>
        <w:rPr>
          <w:rFonts w:ascii="Arial" w:cs="Arial" w:eastAsia="Arial" w:hAnsi="Arial"/>
          <w:sz w:val="14"/>
          <w:szCs w:val="14"/>
          <w:b w:val="1"/>
          <w:bCs w:val="1"/>
          <w:color w:val="auto"/>
        </w:rPr>
        <w:t>Expiration Date</w:t>
      </w:r>
      <w:r>
        <w:rPr>
          <w:rFonts w:ascii="Arial" w:cs="Arial" w:eastAsia="Arial" w:hAnsi="Arial"/>
          <w:sz w:val="14"/>
          <w:szCs w:val="14"/>
          <w:color w:val="auto"/>
        </w:rPr>
        <w:t>”).</w:t>
      </w:r>
    </w:p>
    <w:p>
      <w:pPr>
        <w:spacing w:after="0" w:line="162" w:lineRule="exact"/>
        <w:rPr>
          <w:rFonts w:ascii="Arial" w:cs="Arial" w:eastAsia="Arial" w:hAnsi="Arial"/>
          <w:sz w:val="14"/>
          <w:szCs w:val="14"/>
          <w:color w:val="auto"/>
        </w:rPr>
      </w:pPr>
    </w:p>
    <w:p>
      <w:pPr>
        <w:ind w:right="20" w:firstLine="1696"/>
        <w:spacing w:after="0" w:line="267" w:lineRule="auto"/>
        <w:tabs>
          <w:tab w:leader="none" w:pos="2186" w:val="left"/>
        </w:tabs>
        <w:numPr>
          <w:ilvl w:val="1"/>
          <w:numId w:val="191"/>
        </w:numPr>
        <w:rPr>
          <w:rFonts w:ascii="Arial" w:cs="Arial" w:eastAsia="Arial" w:hAnsi="Arial"/>
          <w:sz w:val="16"/>
          <w:szCs w:val="16"/>
          <w:color w:val="auto"/>
        </w:rPr>
      </w:pPr>
      <w:r>
        <w:rPr>
          <w:rFonts w:ascii="Arial" w:cs="Arial" w:eastAsia="Arial" w:hAnsi="Arial"/>
          <w:sz w:val="16"/>
          <w:szCs w:val="16"/>
          <w:u w:val="single" w:color="auto"/>
          <w:color w:val="auto"/>
        </w:rPr>
        <w:t>Exchange Ratio</w:t>
      </w:r>
      <w:r>
        <w:rPr>
          <w:rFonts w:ascii="Arial" w:cs="Arial" w:eastAsia="Arial" w:hAnsi="Arial"/>
          <w:sz w:val="16"/>
          <w:szCs w:val="16"/>
          <w:color w:val="auto"/>
        </w:rPr>
        <w:t>. Series A Preferred Stock may be exchanged for LifeMap Shares at the ratio of one share of Series A Preferred Stock for 12.5 LifeMap Shares, subject to adjustment as provided in Section 3 (the “</w:t>
      </w:r>
      <w:r>
        <w:rPr>
          <w:rFonts w:ascii="Arial" w:cs="Arial" w:eastAsia="Arial" w:hAnsi="Arial"/>
          <w:sz w:val="16"/>
          <w:szCs w:val="16"/>
          <w:b w:val="1"/>
          <w:bCs w:val="1"/>
          <w:color w:val="auto"/>
        </w:rPr>
        <w:t>Exchange Ratio</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right="60" w:firstLine="1696"/>
        <w:spacing w:after="0" w:line="340" w:lineRule="auto"/>
        <w:tabs>
          <w:tab w:leader="none" w:pos="2083" w:val="left"/>
        </w:tabs>
        <w:numPr>
          <w:ilvl w:val="1"/>
          <w:numId w:val="191"/>
        </w:numPr>
        <w:rPr>
          <w:rFonts w:ascii="Arial" w:cs="Arial" w:eastAsia="Arial" w:hAnsi="Arial"/>
          <w:sz w:val="14"/>
          <w:szCs w:val="14"/>
          <w:color w:val="auto"/>
        </w:rPr>
      </w:pPr>
      <w:r>
        <w:rPr>
          <w:rFonts w:ascii="Arial" w:cs="Arial" w:eastAsia="Arial" w:hAnsi="Arial"/>
          <w:sz w:val="14"/>
          <w:szCs w:val="14"/>
          <w:u w:val="single" w:color="auto"/>
          <w:color w:val="auto"/>
        </w:rPr>
        <w:t>Minimum Exercise</w:t>
      </w:r>
      <w:r>
        <w:rPr>
          <w:rFonts w:ascii="Arial" w:cs="Arial" w:eastAsia="Arial" w:hAnsi="Arial"/>
          <w:sz w:val="14"/>
          <w:szCs w:val="14"/>
          <w:color w:val="auto"/>
        </w:rPr>
        <w:t xml:space="preserve">. This Option may be exercised by Purchaser in whole or in part;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partial exercise of this Option shall not be for less than the lower of (i) 10,000 LifeMap Shares and (ii) all of the remaining LifeMap Shares that are issuable upon the exercise of the Option held by the Purchaser.</w:t>
      </w:r>
    </w:p>
    <w:p>
      <w:pPr>
        <w:spacing w:after="0" w:line="134" w:lineRule="exact"/>
        <w:rPr>
          <w:rFonts w:ascii="Arial" w:cs="Arial" w:eastAsia="Arial" w:hAnsi="Arial"/>
          <w:sz w:val="14"/>
          <w:szCs w:val="14"/>
          <w:color w:val="auto"/>
        </w:rPr>
      </w:pPr>
    </w:p>
    <w:p>
      <w:pPr>
        <w:ind w:left="1660" w:hanging="531"/>
        <w:spacing w:after="0"/>
        <w:tabs>
          <w:tab w:leader="none" w:pos="1660"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p>
    <w:p>
      <w:pPr>
        <w:spacing w:after="0" w:line="217" w:lineRule="exact"/>
        <w:rPr>
          <w:rFonts w:ascii="Arial" w:cs="Arial" w:eastAsia="Arial" w:hAnsi="Arial"/>
          <w:sz w:val="16"/>
          <w:szCs w:val="16"/>
          <w:color w:val="auto"/>
        </w:rPr>
      </w:pPr>
    </w:p>
    <w:p>
      <w:pPr>
        <w:jc w:val="both"/>
        <w:ind w:firstLine="1696"/>
        <w:spacing w:after="0" w:line="274" w:lineRule="auto"/>
        <w:tabs>
          <w:tab w:leader="none" w:pos="2225" w:val="left"/>
        </w:tabs>
        <w:numPr>
          <w:ilvl w:val="1"/>
          <w:numId w:val="191"/>
        </w:numPr>
        <w:rPr>
          <w:rFonts w:ascii="Arial" w:cs="Arial" w:eastAsia="Arial" w:hAnsi="Arial"/>
          <w:sz w:val="14"/>
          <w:szCs w:val="14"/>
          <w:color w:val="auto"/>
        </w:rPr>
      </w:pPr>
      <w:r>
        <w:rPr>
          <w:rFonts w:ascii="Arial" w:cs="Arial" w:eastAsia="Arial" w:hAnsi="Arial"/>
          <w:sz w:val="14"/>
          <w:szCs w:val="14"/>
          <w:u w:val="single" w:color="auto"/>
          <w:color w:val="auto"/>
        </w:rPr>
        <w:t>Mechanics of Exercise</w:t>
      </w:r>
      <w:r>
        <w:rPr>
          <w:rFonts w:ascii="Arial" w:cs="Arial" w:eastAsia="Arial" w:hAnsi="Arial"/>
          <w:sz w:val="14"/>
          <w:szCs w:val="14"/>
          <w:color w:val="auto"/>
        </w:rPr>
        <w:t xml:space="preserve">. Subject to the terms and conditions hereof (including, without limitation, the limitations set forth in Section 1(c) and Section 4), this Option may be exercised by the Purchaser at any time or times on or after the Effective Date, in whole or in part, subject to Section 1(c), by (i) delivery of a written notice, in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(the “</w:t>
      </w:r>
      <w:r>
        <w:rPr>
          <w:rFonts w:ascii="Arial" w:cs="Arial" w:eastAsia="Arial" w:hAnsi="Arial"/>
          <w:sz w:val="14"/>
          <w:szCs w:val="14"/>
          <w:b w:val="1"/>
          <w:bCs w:val="1"/>
          <w:color w:val="auto"/>
        </w:rPr>
        <w:t>Exercise Notice</w:t>
      </w:r>
      <w:r>
        <w:rPr>
          <w:rFonts w:ascii="Arial" w:cs="Arial" w:eastAsia="Arial" w:hAnsi="Arial"/>
          <w:sz w:val="14"/>
          <w:szCs w:val="14"/>
          <w:color w:val="auto"/>
        </w:rPr>
        <w:t>”), duly completed and executed by Purchaser, stating Purchaser's election to exercise this Option, the number of shares of Series A Preferred Stock being tendered in exchange for LifeMap Shares upon exercise of this Option, and the number of LifeMap Shares being issued upon such exchange, and (ii) delivery of shares of Series A Preferred Stock, endorsed in blank, to the Company to be exchange for LifeMap Shares at the Exchange Ratio then in effect. On or before the first (1</w:t>
      </w:r>
      <w:r>
        <w:rPr>
          <w:rFonts w:ascii="Arial" w:cs="Arial" w:eastAsia="Arial" w:hAnsi="Arial"/>
          <w:sz w:val="23"/>
          <w:szCs w:val="23"/>
          <w:color w:val="auto"/>
          <w:vertAlign w:val="superscript"/>
        </w:rPr>
        <w:t>st</w:t>
      </w:r>
      <w:r>
        <w:rPr>
          <w:rFonts w:ascii="Arial" w:cs="Arial" w:eastAsia="Arial" w:hAnsi="Arial"/>
          <w:sz w:val="14"/>
          <w:szCs w:val="14"/>
          <w:color w:val="auto"/>
        </w:rPr>
        <w:t>) Trading Day following the date on which the Company has received the Exercise Notice and shares of Series A Preferred Stock, the Company shall transmit by facsimile an acknowledgment of confirmation of receipt of the Exercise Notice to the Purchaser and the transfer agent of the LifeMap Shares (the “</w:t>
      </w:r>
      <w:r>
        <w:rPr>
          <w:rFonts w:ascii="Arial" w:cs="Arial" w:eastAsia="Arial" w:hAnsi="Arial"/>
          <w:sz w:val="14"/>
          <w:szCs w:val="14"/>
          <w:b w:val="1"/>
          <w:bCs w:val="1"/>
          <w:color w:val="auto"/>
        </w:rPr>
        <w:t>Transfer Agent</w:t>
      </w:r>
      <w:r>
        <w:rPr>
          <w:rFonts w:ascii="Arial" w:cs="Arial" w:eastAsia="Arial" w:hAnsi="Arial"/>
          <w:sz w:val="14"/>
          <w:szCs w:val="14"/>
          <w:color w:val="auto"/>
        </w:rPr>
        <w:t>”), if any. On or before the third (3rd) Trading Day following the date on which the Company has received the Exercise Notice, so long as the Purchaser delivers a number of shares of Series A Preferred Stock sufficient for such exercise at the Exchange Ratio (the “</w:t>
      </w:r>
      <w:r>
        <w:rPr>
          <w:rFonts w:ascii="Arial" w:cs="Arial" w:eastAsia="Arial" w:hAnsi="Arial"/>
          <w:sz w:val="14"/>
          <w:szCs w:val="14"/>
          <w:b w:val="1"/>
          <w:bCs w:val="1"/>
          <w:color w:val="auto"/>
        </w:rPr>
        <w:t>Aggregate Option Exchange Shares</w:t>
      </w:r>
      <w:r>
        <w:rPr>
          <w:rFonts w:ascii="Arial" w:cs="Arial" w:eastAsia="Arial" w:hAnsi="Arial"/>
          <w:sz w:val="14"/>
          <w:szCs w:val="14"/>
          <w:color w:val="auto"/>
        </w:rPr>
        <w:t>”) on or prior to the second (2nd) Trading Day following the date on which the Company has received the Exercise Notice (the “</w:t>
      </w:r>
      <w:r>
        <w:rPr>
          <w:rFonts w:ascii="Arial" w:cs="Arial" w:eastAsia="Arial" w:hAnsi="Arial"/>
          <w:sz w:val="14"/>
          <w:szCs w:val="14"/>
          <w:b w:val="1"/>
          <w:bCs w:val="1"/>
          <w:color w:val="auto"/>
        </w:rPr>
        <w:t>Share Delivery Date</w:t>
      </w:r>
      <w:r>
        <w:rPr>
          <w:rFonts w:ascii="Arial" w:cs="Arial" w:eastAsia="Arial" w:hAnsi="Arial"/>
          <w:sz w:val="14"/>
          <w:szCs w:val="14"/>
          <w:color w:val="auto"/>
        </w:rPr>
        <w:t>”) (provided that if the Aggregate Option Exchange Shares have not been delivered by such date, the Share Delivery Date shall be one (1) Trading Day after the Aggregate Option Exchange Shares are delivered), the Company shall (X) provided that the Transfer Agent is participating in The Depository Trust Company (“</w:t>
      </w:r>
      <w:r>
        <w:rPr>
          <w:rFonts w:ascii="Arial" w:cs="Arial" w:eastAsia="Arial" w:hAnsi="Arial"/>
          <w:sz w:val="14"/>
          <w:szCs w:val="14"/>
          <w:b w:val="1"/>
          <w:bCs w:val="1"/>
          <w:color w:val="auto"/>
        </w:rPr>
        <w:t>DTC</w:t>
      </w:r>
      <w:r>
        <w:rPr>
          <w:rFonts w:ascii="Arial" w:cs="Arial" w:eastAsia="Arial" w:hAnsi="Arial"/>
          <w:sz w:val="14"/>
          <w:szCs w:val="14"/>
          <w:color w:val="auto"/>
        </w:rPr>
        <w:t>”) Fast Automated Securities Transfer Program, credit such aggregate number of LifeMap Shares to which the Purchaser is entitled pursuant to such exercise to the Purchaser's or its designee's balance account with DTC through its Deposit / Withdrawal At Custodian system, or (Y) if the Transfer Agent is not participating in the DTC Fast Automated Securities Transfer Program, or if there is no Transfer Agent, issue and dispatch by overnight courier to the address as specified in the Exercise Notice, a certificate, registered in the name of the Purchaser or its designee, for the number of LifeMap Shares to which the Purchaser is entitled pursuant to such exercise. The Company shall be responsible for all fees and expenses of the Transfer Agent and all fees and expenses with respect to the transfer of LifeMap Shares to the Purchaser, if any. No fractional LifeMap Shares are to be issued upon the exercise of this Option, but rather the number of LifeMap Shares to be issued shall be rounded down to the nearest whole number. The Company shall pay any and all taxes which may be payable with respect to the transfer of LifeMap Shares to the Purchaser upon exercise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7263765" cy="152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280" w:right="219" w:bottom="1440" w:gutter="0" w:footer="0" w:header="0"/>
        </w:sectPr>
      </w:pPr>
    </w:p>
    <w:bookmarkStart w:id="298" w:name="page299"/>
    <w:bookmarkEnd w:id="298"/>
    <w:p>
      <w:pPr>
        <w:jc w:val="both"/>
        <w:ind w:firstLine="1696"/>
        <w:spacing w:after="0" w:line="257" w:lineRule="auto"/>
        <w:tabs>
          <w:tab w:leader="none" w:pos="2139"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Reissue of Stock Certificate</w:t>
      </w:r>
      <w:r>
        <w:rPr>
          <w:rFonts w:ascii="Arial" w:cs="Arial" w:eastAsia="Arial" w:hAnsi="Arial"/>
          <w:sz w:val="16"/>
          <w:szCs w:val="16"/>
          <w:color w:val="auto"/>
        </w:rPr>
        <w:t>. If the Purchaser delivers to the Company a number of shares of Series A Preferred Stock greater than the Aggregate Option Exchange Shares upon the exercise of this Option, the Company shall issue to Purchaser a replacement Series A Preferred Stock certificate for the number of shares of Series A Preferred Stock in excess of the Aggregate Option Exchange Shares.</w:t>
      </w:r>
    </w:p>
    <w:p>
      <w:pPr>
        <w:spacing w:after="0" w:line="188" w:lineRule="exact"/>
        <w:rPr>
          <w:rFonts w:ascii="Arial" w:cs="Arial" w:eastAsia="Arial" w:hAnsi="Arial"/>
          <w:sz w:val="16"/>
          <w:szCs w:val="16"/>
          <w:color w:val="auto"/>
        </w:rPr>
      </w:pPr>
    </w:p>
    <w:p>
      <w:pPr>
        <w:jc w:val="both"/>
        <w:ind w:firstLine="1696"/>
        <w:spacing w:after="0" w:line="275" w:lineRule="auto"/>
        <w:tabs>
          <w:tab w:leader="none" w:pos="2178" w:val="left"/>
        </w:tabs>
        <w:numPr>
          <w:ilvl w:val="0"/>
          <w:numId w:val="192"/>
        </w:numPr>
        <w:rPr>
          <w:rFonts w:ascii="Arial" w:cs="Arial" w:eastAsia="Arial" w:hAnsi="Arial"/>
          <w:sz w:val="14"/>
          <w:szCs w:val="14"/>
          <w:color w:val="auto"/>
        </w:rPr>
      </w:pPr>
      <w:r>
        <w:rPr>
          <w:rFonts w:ascii="Arial" w:cs="Arial" w:eastAsia="Arial" w:hAnsi="Arial"/>
          <w:sz w:val="14"/>
          <w:szCs w:val="14"/>
          <w:u w:val="single" w:color="auto"/>
          <w:color w:val="auto"/>
        </w:rPr>
        <w:t>Company's Failure to Timely Deliver Securities</w:t>
      </w:r>
      <w:r>
        <w:rPr>
          <w:rFonts w:ascii="Arial" w:cs="Arial" w:eastAsia="Arial" w:hAnsi="Arial"/>
          <w:sz w:val="14"/>
          <w:szCs w:val="14"/>
          <w:color w:val="auto"/>
        </w:rPr>
        <w:t>. If the Company shall fail for any reason or for no reason to transfer to the Purchaser, or cause LifeMap to issue, on or prior to the Share Delivery Date, a certificate for the number of LifeMap Shares to which the Purchaser is entitled and cause such LifeMap Shares to be registered on LifeMap's share register or to credit the Purchaser's balance account with DTC for such number of LifeMap Shares to which the Purchaser is entitled upon the Purchaser's exercise of this Option, then, in addition to all other remedies available to the Purchaser, the Company (X) shall pay in cash to the Purchaser on each day after such third (3</w:t>
      </w:r>
      <w:r>
        <w:rPr>
          <w:rFonts w:ascii="Arial" w:cs="Arial" w:eastAsia="Arial" w:hAnsi="Arial"/>
          <w:sz w:val="23"/>
          <w:szCs w:val="23"/>
          <w:color w:val="auto"/>
          <w:vertAlign w:val="superscript"/>
        </w:rPr>
        <w:t>rd</w:t>
      </w:r>
      <w:r>
        <w:rPr>
          <w:rFonts w:ascii="Arial" w:cs="Arial" w:eastAsia="Arial" w:hAnsi="Arial"/>
          <w:sz w:val="14"/>
          <w:szCs w:val="14"/>
          <w:color w:val="auto"/>
        </w:rPr>
        <w:t>) Trading Day that the transfer of such LifeMap Shares is not timely effected an amount equal to 1.5% of the product of (A) the sum of the number of LifeMap Shares not transferred to the Purchaser on a timely basis and to which the Purchaser is entitled and (B) the Closing Sale Price of the LifeMap Shares on the Trading Day immediately preceding the last possible date which the Company could have transferred such LifeMap Shares to the Purchaser without violating Section 2(a), or if the LifeMap Shares are then not traded on an Eligible Market, $4.00 (the “</w:t>
      </w:r>
      <w:r>
        <w:rPr>
          <w:rFonts w:ascii="Arial" w:cs="Arial" w:eastAsia="Arial" w:hAnsi="Arial"/>
          <w:sz w:val="14"/>
          <w:szCs w:val="14"/>
          <w:b w:val="1"/>
          <w:bCs w:val="1"/>
          <w:color w:val="auto"/>
        </w:rPr>
        <w:t>Designated Price</w:t>
      </w:r>
      <w:r>
        <w:rPr>
          <w:rFonts w:ascii="Arial" w:cs="Arial" w:eastAsia="Arial" w:hAnsi="Arial"/>
          <w:sz w:val="14"/>
          <w:szCs w:val="14"/>
          <w:color w:val="auto"/>
        </w:rPr>
        <w:t>”), and (Y) the Purchaser, upon written notice to the Company, may void its Exercise Notice with respect to, and retain or have returned, as the case may be, any shares of Series A Preferred Stock cancelled in connection with such voided exercise; provided that the voiding of an exercise shall not affect the Company's obligations to make any payments which have accrued prior to the date of such notice pursuant to this Section 2(c) or otherwise. In addition to the foregoing, if on or prior to the Share Delivery Date, the Company shall fail to transfer, or cause LifeMap to issue, a certificate to the Purchaser and cause the registration of such LifeMap Shares on LifeMap's share register or credit the Purchaser's balance account with DTC for the number of LifeMap Shares to which the Purchaser is entitled upon the Purchaser's exercise of this Option or pursuant to the Company's obligation pursuant to clause (ii) below, as applicable, and if on or after such Trading Day the Purchaser purchases (in an open market transaction or otherwise) LifeMap Shares to deliver in satisfaction of a sale by the Purchaser of LifeMap Shares issuable upon such exercise that the Purchaser anticipated receiving from the Company (a “</w:t>
      </w:r>
      <w:r>
        <w:rPr>
          <w:rFonts w:ascii="Arial" w:cs="Arial" w:eastAsia="Arial" w:hAnsi="Arial"/>
          <w:sz w:val="14"/>
          <w:szCs w:val="14"/>
          <w:b w:val="1"/>
          <w:bCs w:val="1"/>
          <w:color w:val="auto"/>
        </w:rPr>
        <w:t>Buy-In</w:t>
      </w:r>
      <w:r>
        <w:rPr>
          <w:rFonts w:ascii="Arial" w:cs="Arial" w:eastAsia="Arial" w:hAnsi="Arial"/>
          <w:sz w:val="14"/>
          <w:szCs w:val="14"/>
          <w:color w:val="auto"/>
        </w:rPr>
        <w:t>”), then the Company shall, within three (3) Trading Days after the Purchaser's request and in the Purchaser's discretion, either (i) pay cash to the Purchaser in an amount equal to the Purchaser's total purchase price (including brokerage commissions and other out-of-pocket expenses, if any) for the LifeMap Shares so purchased (the “</w:t>
      </w:r>
      <w:r>
        <w:rPr>
          <w:rFonts w:ascii="Arial" w:cs="Arial" w:eastAsia="Arial" w:hAnsi="Arial"/>
          <w:sz w:val="14"/>
          <w:szCs w:val="14"/>
          <w:b w:val="1"/>
          <w:bCs w:val="1"/>
          <w:color w:val="auto"/>
        </w:rPr>
        <w:t>Buy-In Price</w:t>
      </w:r>
      <w:r>
        <w:rPr>
          <w:rFonts w:ascii="Arial" w:cs="Arial" w:eastAsia="Arial" w:hAnsi="Arial"/>
          <w:sz w:val="14"/>
          <w:szCs w:val="14"/>
          <w:color w:val="auto"/>
        </w:rPr>
        <w:t>”), at which point the Company's obligation to deliver such certificate (and to transfer LifeMap Shares) or credit such Purchaser's balance account with DTC for such LifeMap Shares shall terminate, or (ii) promptly honor its obligation to deliver to the Purchaser a certificate or certificates representing such LifeMap Shares or credit such Purchaser's balance account with DTC and pay cash to the Purchaser in an amount equal to the excess (if any) of the Buy-In Price over the product of (A) such number of LifeMap Shares, times (B) the Closing Bid Price on the date of exercise. Nothing shall limit the Purchaser's right to pursue a decree of specific performance and/or injunctive relief with respect to the Company's failure to timely deliver certificates representing LifeMap Shares (or to electronically deliver such LifeMap Shares) upon the exercise of this Option as required pursuant to the terms hereof.</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299" w:name="page300"/>
    <w:bookmarkEnd w:id="299"/>
    <w:p>
      <w:pPr>
        <w:ind w:left="5" w:right="20" w:firstLine="1696"/>
        <w:spacing w:after="0" w:line="301" w:lineRule="auto"/>
        <w:tabs>
          <w:tab w:leader="none" w:pos="2121" w:val="left"/>
        </w:tabs>
        <w:numPr>
          <w:ilvl w:val="2"/>
          <w:numId w:val="193"/>
        </w:numPr>
        <w:rPr>
          <w:rFonts w:ascii="Arial" w:cs="Arial" w:eastAsia="Arial" w:hAnsi="Arial"/>
          <w:sz w:val="15"/>
          <w:szCs w:val="15"/>
          <w:color w:val="auto"/>
        </w:rPr>
      </w:pPr>
      <w:r>
        <w:rPr>
          <w:rFonts w:ascii="Arial" w:cs="Arial" w:eastAsia="Arial" w:hAnsi="Arial"/>
          <w:sz w:val="15"/>
          <w:szCs w:val="15"/>
          <w:u w:val="single" w:color="auto"/>
          <w:color w:val="auto"/>
        </w:rPr>
        <w:t>Disputes</w:t>
      </w:r>
      <w:r>
        <w:rPr>
          <w:rFonts w:ascii="Arial" w:cs="Arial" w:eastAsia="Arial" w:hAnsi="Arial"/>
          <w:sz w:val="15"/>
          <w:szCs w:val="15"/>
          <w:color w:val="auto"/>
        </w:rPr>
        <w:t>. In the case of a dispute as to the determination of the Exchange Ratio or the arithmetic calculation of the LifeMap Shares, the Company shall promptly transfer to the Purchaser the number of LifeMap Shares that are not disputed and resolve such dispute in accordance with Section 12.</w:t>
      </w:r>
    </w:p>
    <w:p>
      <w:pPr>
        <w:spacing w:after="0" w:line="158" w:lineRule="exact"/>
        <w:rPr>
          <w:rFonts w:ascii="Arial" w:cs="Arial" w:eastAsia="Arial" w:hAnsi="Arial"/>
          <w:sz w:val="15"/>
          <w:szCs w:val="15"/>
          <w:color w:val="auto"/>
        </w:rPr>
      </w:pPr>
    </w:p>
    <w:p>
      <w:pPr>
        <w:ind w:left="1865" w:hanging="731"/>
        <w:spacing w:after="0"/>
        <w:tabs>
          <w:tab w:leader="none" w:pos="1865" w:val="left"/>
        </w:tabs>
        <w:numPr>
          <w:ilvl w:val="1"/>
          <w:numId w:val="194"/>
        </w:numPr>
        <w:rPr>
          <w:rFonts w:ascii="Arial" w:cs="Arial" w:eastAsia="Arial" w:hAnsi="Arial"/>
          <w:sz w:val="14"/>
          <w:szCs w:val="14"/>
          <w:color w:val="auto"/>
        </w:rPr>
      </w:pPr>
      <w:r>
        <w:rPr>
          <w:rFonts w:ascii="Arial" w:cs="Arial" w:eastAsia="Arial" w:hAnsi="Arial"/>
          <w:sz w:val="14"/>
          <w:szCs w:val="14"/>
          <w:u w:val="single" w:color="auto"/>
          <w:color w:val="auto"/>
        </w:rPr>
        <w:t>CERTAIN ADJUSTMENTS</w:t>
      </w:r>
      <w:r>
        <w:rPr>
          <w:rFonts w:ascii="Arial" w:cs="Arial" w:eastAsia="Arial" w:hAnsi="Arial"/>
          <w:sz w:val="14"/>
          <w:szCs w:val="14"/>
          <w:color w:val="auto"/>
        </w:rPr>
        <w:t>.  The Exchange Ratio and the number of LifeMap Shares purchasable hereunder shall be adjusted from time to time as</w:t>
      </w:r>
    </w:p>
    <w:p>
      <w:pPr>
        <w:spacing w:after="0" w:line="39" w:lineRule="exact"/>
        <w:rPr>
          <w:rFonts w:ascii="Arial" w:cs="Arial" w:eastAsia="Arial" w:hAnsi="Arial"/>
          <w:sz w:val="14"/>
          <w:szCs w:val="14"/>
          <w:color w:val="auto"/>
        </w:rPr>
      </w:pPr>
    </w:p>
    <w:p>
      <w:pPr>
        <w:ind w:left="5"/>
        <w:spacing w:after="0"/>
        <w:rPr>
          <w:rFonts w:ascii="Arial" w:cs="Arial" w:eastAsia="Arial" w:hAnsi="Arial"/>
          <w:sz w:val="14"/>
          <w:szCs w:val="14"/>
          <w:color w:val="auto"/>
        </w:rPr>
      </w:pPr>
      <w:r>
        <w:rPr>
          <w:rFonts w:ascii="Arial" w:cs="Arial" w:eastAsia="Arial" w:hAnsi="Arial"/>
          <w:sz w:val="16"/>
          <w:szCs w:val="16"/>
          <w:color w:val="auto"/>
        </w:rPr>
        <w:t>follows:</w:t>
      </w:r>
    </w:p>
    <w:p>
      <w:pPr>
        <w:spacing w:after="0" w:line="206" w:lineRule="exact"/>
        <w:rPr>
          <w:rFonts w:ascii="Arial" w:cs="Arial" w:eastAsia="Arial" w:hAnsi="Arial"/>
          <w:sz w:val="14"/>
          <w:szCs w:val="14"/>
          <w:color w:val="auto"/>
        </w:rPr>
      </w:pPr>
    </w:p>
    <w:p>
      <w:pPr>
        <w:jc w:val="both"/>
        <w:ind w:left="5" w:firstLine="1696"/>
        <w:spacing w:after="0" w:line="269" w:lineRule="auto"/>
        <w:tabs>
          <w:tab w:leader="none" w:pos="2100" w:val="left"/>
        </w:tabs>
        <w:numPr>
          <w:ilvl w:val="2"/>
          <w:numId w:val="194"/>
        </w:numPr>
        <w:rPr>
          <w:rFonts w:ascii="Arial" w:cs="Arial" w:eastAsia="Arial" w:hAnsi="Arial"/>
          <w:sz w:val="15"/>
          <w:szCs w:val="15"/>
          <w:color w:val="auto"/>
        </w:rPr>
      </w:pPr>
      <w:r>
        <w:rPr>
          <w:rFonts w:ascii="Arial" w:cs="Arial" w:eastAsia="Arial" w:hAnsi="Arial"/>
          <w:sz w:val="15"/>
          <w:szCs w:val="15"/>
          <w:u w:val="single" w:color="auto"/>
          <w:color w:val="auto"/>
        </w:rPr>
        <w:t>Stock Splits, Combinations, Reclassifications and Other Changes in Common Stock</w:t>
      </w:r>
      <w:r>
        <w:rPr>
          <w:rFonts w:ascii="Arial" w:cs="Arial" w:eastAsia="Arial" w:hAnsi="Arial"/>
          <w:sz w:val="15"/>
          <w:szCs w:val="15"/>
          <w:color w:val="auto"/>
        </w:rPr>
        <w:t>. If LifeMap, at any time after the Effective Date, shall (A) pay a dividend in its Common Stock or make a distribution in Common Stock, (B) subdivide its outstanding Common Stock, (C) combine its outstanding Common Stock into a smaller number of shares, or (D) reclassify or change (including a change to the right to receive, or a change into, as the case may be, shares of stock, other securities, property, cash or any combination thereof) its Common Stock (including any such reclassification or change in connection with a consolidation or merger in which LifeMap is the surviving corporation), upon the exercise of this Option the Purchaser shall be entitled to receive from the Company the kind and number of LifeMap Shares or other securities of LifeMap or other property which the Purchaser would have owned or have been entitled to receive upon the happening of any of the events described above, had this Option been exercised at the Exchange Ratio immediately prior to the happening of such event or any record date with respect thereto.</w:t>
      </w:r>
    </w:p>
    <w:p>
      <w:pPr>
        <w:spacing w:after="0" w:line="182" w:lineRule="exact"/>
        <w:rPr>
          <w:rFonts w:ascii="Arial" w:cs="Arial" w:eastAsia="Arial" w:hAnsi="Arial"/>
          <w:sz w:val="15"/>
          <w:szCs w:val="15"/>
          <w:color w:val="auto"/>
        </w:rPr>
      </w:pPr>
    </w:p>
    <w:p>
      <w:pPr>
        <w:jc w:val="both"/>
        <w:ind w:left="5" w:firstLine="1696"/>
        <w:spacing w:after="0" w:line="284" w:lineRule="auto"/>
        <w:tabs>
          <w:tab w:leader="none" w:pos="2168" w:val="left"/>
        </w:tabs>
        <w:numPr>
          <w:ilvl w:val="2"/>
          <w:numId w:val="194"/>
        </w:numPr>
        <w:rPr>
          <w:rFonts w:ascii="Arial" w:cs="Arial" w:eastAsia="Arial" w:hAnsi="Arial"/>
          <w:sz w:val="14"/>
          <w:szCs w:val="14"/>
          <w:color w:val="auto"/>
        </w:rPr>
      </w:pPr>
      <w:r>
        <w:rPr>
          <w:rFonts w:ascii="Arial" w:cs="Arial" w:eastAsia="Arial" w:hAnsi="Arial"/>
          <w:sz w:val="14"/>
          <w:szCs w:val="14"/>
          <w:u w:val="single" w:color="auto"/>
          <w:color w:val="auto"/>
        </w:rPr>
        <w:t>Distribution of Options, Warrants, Warrants, Rights, and Convertible Securities or Other Assets.</w:t>
      </w:r>
      <w:r>
        <w:rPr>
          <w:rFonts w:ascii="Arial" w:cs="Arial" w:eastAsia="Arial" w:hAnsi="Arial"/>
          <w:sz w:val="14"/>
          <w:szCs w:val="14"/>
          <w:color w:val="auto"/>
        </w:rPr>
        <w:t xml:space="preserve"> If LifeMap at any time after the Effective Date, shall distribute to all holders of its Common Stock (including any distribution made in connection with a merger in which LifeMap is the surviving corporation) (i) rights, options or warrants, or convertible or exchangeable securities containing the right to subscribe for or purchase Common Stock, or (ii) evidences of its indebtedness or assets, including cash but excluding Ordinary Cash Dividends (as defined below), then in each case with respect to each LifeMap Share issued upon the exercise of this Option, the Purchaser shall also receive from the Company either (a) the portion of the subscription rights, options or warrants, or convertible or exchangeable securities (or securities issued upon the conversion of convertible securities) or assets or evidences of indebtedness so distributed to the Company applicable to one LifeMap Share, or (b) the then fair value of the securities described in</w:t>
      </w:r>
    </w:p>
    <w:p>
      <w:pPr>
        <w:spacing w:after="0" w:line="2" w:lineRule="exact"/>
        <w:rPr>
          <w:rFonts w:ascii="Arial" w:cs="Arial" w:eastAsia="Arial" w:hAnsi="Arial"/>
          <w:sz w:val="14"/>
          <w:szCs w:val="14"/>
          <w:color w:val="auto"/>
        </w:rPr>
      </w:pPr>
    </w:p>
    <w:p>
      <w:pPr>
        <w:jc w:val="both"/>
        <w:ind w:left="5" w:hanging="5"/>
        <w:spacing w:after="0" w:line="295" w:lineRule="auto"/>
        <w:tabs>
          <w:tab w:leader="none" w:pos="228" w:val="left"/>
        </w:tabs>
        <w:numPr>
          <w:ilvl w:val="0"/>
          <w:numId w:val="195"/>
        </w:numPr>
        <w:rPr>
          <w:rFonts w:ascii="Arial" w:cs="Arial" w:eastAsia="Arial" w:hAnsi="Arial"/>
          <w:sz w:val="14"/>
          <w:szCs w:val="14"/>
          <w:color w:val="auto"/>
        </w:rPr>
      </w:pPr>
      <w:r>
        <w:rPr>
          <w:rFonts w:ascii="Arial" w:cs="Arial" w:eastAsia="Arial" w:hAnsi="Arial"/>
          <w:sz w:val="14"/>
          <w:szCs w:val="14"/>
          <w:color w:val="auto"/>
        </w:rPr>
        <w:t>as determined in good faith by the Board of Directors of the Company whose determination shall be conclusive; provided, that the Company need not deliver any subscription rights, options or warrants that shall have expired by their terms. The Company shall determine whether to deliver the consideration described in clause (a) or clause (b) of the preceding sentence upon the exercise of this Option. A cash dividend shall be deemed an “Ordinary Cash Dividend” for purposes of this Option if the dividend is paid out of consolidated earnings or earned surplus and is declared by the Board of Directors of LifeMap to be a regular or ordinary quarterly, semi-annual or annual dividend.</w:t>
      </w:r>
    </w:p>
    <w:p>
      <w:pPr>
        <w:spacing w:after="0" w:line="104"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300" w:name="page301"/>
    <w:bookmarkEnd w:id="300"/>
    <w:p>
      <w:pPr>
        <w:ind w:left="5" w:firstLine="1696"/>
        <w:spacing w:after="0" w:line="267" w:lineRule="auto"/>
        <w:tabs>
          <w:tab w:leader="none" w:pos="2136" w:val="left"/>
        </w:tabs>
        <w:numPr>
          <w:ilvl w:val="2"/>
          <w:numId w:val="196"/>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Whenever an event described in paragraph (a) or paragraph (b) of this Section 3 occurs, the Company shall promptly, in any event within ten (10) days, send to the Purchaser notice of such event.</w:t>
      </w:r>
    </w:p>
    <w:p>
      <w:pPr>
        <w:spacing w:after="0" w:line="181" w:lineRule="exact"/>
        <w:rPr>
          <w:rFonts w:ascii="Arial" w:cs="Arial" w:eastAsia="Arial" w:hAnsi="Arial"/>
          <w:sz w:val="16"/>
          <w:szCs w:val="16"/>
          <w:color w:val="auto"/>
        </w:rPr>
      </w:pPr>
    </w:p>
    <w:p>
      <w:pPr>
        <w:jc w:val="both"/>
        <w:ind w:left="5" w:firstLine="1696"/>
        <w:spacing w:after="0" w:line="253" w:lineRule="auto"/>
        <w:tabs>
          <w:tab w:leader="none" w:pos="2121" w:val="left"/>
        </w:tabs>
        <w:numPr>
          <w:ilvl w:val="2"/>
          <w:numId w:val="196"/>
        </w:numPr>
        <w:rPr>
          <w:rFonts w:ascii="Arial" w:cs="Arial" w:eastAsia="Arial" w:hAnsi="Arial"/>
          <w:sz w:val="16"/>
          <w:szCs w:val="16"/>
          <w:color w:val="auto"/>
        </w:rPr>
      </w:pPr>
      <w:r>
        <w:rPr>
          <w:rFonts w:ascii="Arial" w:cs="Arial" w:eastAsia="Arial" w:hAnsi="Arial"/>
          <w:sz w:val="16"/>
          <w:szCs w:val="16"/>
          <w:u w:val="single" w:color="auto"/>
          <w:color w:val="auto"/>
        </w:rPr>
        <w:t>No Adjustment for Dividends</w:t>
      </w:r>
      <w:r>
        <w:rPr>
          <w:rFonts w:ascii="Arial" w:cs="Arial" w:eastAsia="Arial" w:hAnsi="Arial"/>
          <w:sz w:val="16"/>
          <w:szCs w:val="16"/>
          <w:color w:val="auto"/>
        </w:rPr>
        <w:t>. No adjustment in respect of any Ordinary Cash Dividends shall be made during the term of this Option or upon the exercise of this Option, nor shall the Purchaser be entitled to acquire from the Company upon the exercise of this Option any Ordinary Cash Dividends received by the Company with respect to LifeMap Shares or any other LifeMap securities owned or acquired by the Company upon the exercise of any subscription rights, options, warrants or exchangeable securities.</w:t>
      </w:r>
    </w:p>
    <w:p>
      <w:pPr>
        <w:spacing w:after="0" w:line="193" w:lineRule="exact"/>
        <w:rPr>
          <w:rFonts w:ascii="Arial" w:cs="Arial" w:eastAsia="Arial" w:hAnsi="Arial"/>
          <w:sz w:val="16"/>
          <w:szCs w:val="16"/>
          <w:color w:val="auto"/>
        </w:rPr>
      </w:pPr>
    </w:p>
    <w:p>
      <w:pPr>
        <w:ind w:left="1665" w:hanging="531"/>
        <w:spacing w:after="0"/>
        <w:tabs>
          <w:tab w:leader="none" w:pos="1665"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17" w:lineRule="exact"/>
        <w:rPr>
          <w:rFonts w:ascii="Arial" w:cs="Arial" w:eastAsia="Arial" w:hAnsi="Arial"/>
          <w:sz w:val="16"/>
          <w:szCs w:val="16"/>
          <w:color w:val="auto"/>
        </w:rPr>
      </w:pPr>
    </w:p>
    <w:p>
      <w:pPr>
        <w:jc w:val="both"/>
        <w:ind w:left="5" w:right="20" w:firstLine="1696"/>
        <w:spacing w:after="0" w:line="290" w:lineRule="auto"/>
        <w:tabs>
          <w:tab w:leader="none" w:pos="2088" w:val="left"/>
        </w:tabs>
        <w:numPr>
          <w:ilvl w:val="2"/>
          <w:numId w:val="197"/>
        </w:numPr>
        <w:rPr>
          <w:rFonts w:ascii="Arial" w:cs="Arial" w:eastAsia="Arial" w:hAnsi="Arial"/>
          <w:sz w:val="14"/>
          <w:szCs w:val="14"/>
          <w:color w:val="auto"/>
        </w:rPr>
      </w:pPr>
      <w:r>
        <w:rPr>
          <w:rFonts w:ascii="Arial" w:cs="Arial" w:eastAsia="Arial" w:hAnsi="Arial"/>
          <w:sz w:val="14"/>
          <w:szCs w:val="14"/>
          <w:u w:val="single" w:color="auto"/>
          <w:color w:val="auto"/>
        </w:rPr>
        <w:t>Transfer</w:t>
      </w:r>
      <w:r>
        <w:rPr>
          <w:rFonts w:ascii="Arial" w:cs="Arial" w:eastAsia="Arial" w:hAnsi="Arial"/>
          <w:sz w:val="14"/>
          <w:szCs w:val="14"/>
          <w:color w:val="auto"/>
        </w:rPr>
        <w:t>. This Option is personal to the Purchaser and may not be sold, transferred or assigned, except (i) to a successor in interest of the Purchaser as a result of any consolidation of the Purchaser with or merger of the Purchaser into another Person, (ii) to another Purchaser (as defined in the Securities Purchase Agreement) or</w:t>
      </w:r>
    </w:p>
    <w:p>
      <w:pPr>
        <w:ind w:left="285" w:hanging="285"/>
        <w:spacing w:after="0"/>
        <w:tabs>
          <w:tab w:leader="none" w:pos="28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to another Person as part of a sale of all or substantially all the property of the Purchaser to such other Person.</w:t>
      </w:r>
    </w:p>
    <w:p>
      <w:pPr>
        <w:spacing w:after="0" w:line="5" w:lineRule="exact"/>
        <w:rPr>
          <w:rFonts w:ascii="Arial" w:cs="Arial" w:eastAsia="Arial" w:hAnsi="Arial"/>
          <w:sz w:val="16"/>
          <w:szCs w:val="16"/>
          <w:color w:val="auto"/>
        </w:rPr>
      </w:pPr>
    </w:p>
    <w:p>
      <w:pPr>
        <w:ind w:left="2085" w:hanging="384"/>
        <w:spacing w:after="0"/>
        <w:tabs>
          <w:tab w:leader="none" w:pos="2085" w:val="left"/>
        </w:tabs>
        <w:numPr>
          <w:ilvl w:val="2"/>
          <w:numId w:val="198"/>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LifeMap Shares</w:t>
      </w:r>
      <w:r>
        <w:rPr>
          <w:rFonts w:ascii="Arial" w:cs="Arial" w:eastAsia="Arial" w:hAnsi="Arial"/>
          <w:sz w:val="16"/>
          <w:szCs w:val="16"/>
          <w:color w:val="auto"/>
        </w:rPr>
        <w:t>.</w:t>
      </w:r>
    </w:p>
    <w:p>
      <w:pPr>
        <w:spacing w:after="0" w:line="206" w:lineRule="exact"/>
        <w:rPr>
          <w:rFonts w:ascii="Arial" w:cs="Arial" w:eastAsia="Arial" w:hAnsi="Arial"/>
          <w:sz w:val="16"/>
          <w:szCs w:val="16"/>
          <w:color w:val="auto"/>
        </w:rPr>
      </w:pPr>
    </w:p>
    <w:p>
      <w:pPr>
        <w:jc w:val="both"/>
        <w:ind w:left="5" w:firstLine="1980"/>
        <w:spacing w:after="0" w:line="269" w:lineRule="auto"/>
        <w:tabs>
          <w:tab w:leader="none" w:pos="2328" w:val="left"/>
        </w:tabs>
        <w:numPr>
          <w:ilvl w:val="3"/>
          <w:numId w:val="198"/>
        </w:numPr>
        <w:rPr>
          <w:rFonts w:ascii="Arial" w:cs="Arial" w:eastAsia="Arial" w:hAnsi="Arial"/>
          <w:sz w:val="15"/>
          <w:szCs w:val="15"/>
          <w:color w:val="auto"/>
        </w:rPr>
      </w:pPr>
      <w:r>
        <w:rPr>
          <w:rFonts w:ascii="Arial" w:cs="Arial" w:eastAsia="Arial" w:hAnsi="Arial"/>
          <w:sz w:val="15"/>
          <w:szCs w:val="15"/>
          <w:color w:val="auto"/>
        </w:rPr>
        <w:t>Any LifeMap Shares issued to Purchaser upon the exercise of this Option, may not be sold, pledged, hypothecated, transferred or assigned, in whole or in part, unless (A) a registration statement under the Securities Act and under any applicable state securities laws is effective therefor or (B) an exemption from such registration is then available and an opinion of counsel, reasonably acceptable to LifeMap and the Transfer Agent, if any, has been rendered stating that such sale, pledge, hypothecation, transfer or assignment will not violate the Securities Act. Notwithstanding anything to the contrary contained herein (x) the LifeMap Shares may be pledged in connection with a bona fide margin account or other loan or financing arrangement secured by the securities and no legal opinion shall be required therefor and (y) no representation, warranty, covenant or opinion shall be required for the sale, pledge, hypothecation, transfer or assignment of any LifeMap Shares if a registration statement with respect to the resale of such LifeMap Shares is effective at the time of any such sale, pledge, hypothecation, transfer or assignment.</w:t>
      </w:r>
    </w:p>
    <w:p>
      <w:pPr>
        <w:spacing w:after="0" w:line="182" w:lineRule="exact"/>
        <w:rPr>
          <w:rFonts w:ascii="Arial" w:cs="Arial" w:eastAsia="Arial" w:hAnsi="Arial"/>
          <w:sz w:val="15"/>
          <w:szCs w:val="15"/>
          <w:color w:val="auto"/>
        </w:rPr>
      </w:pPr>
    </w:p>
    <w:p>
      <w:pPr>
        <w:jc w:val="both"/>
        <w:ind w:left="5" w:right="20" w:firstLine="1980"/>
        <w:spacing w:after="0" w:line="276" w:lineRule="auto"/>
        <w:tabs>
          <w:tab w:leader="none" w:pos="2348" w:val="left"/>
        </w:tabs>
        <w:numPr>
          <w:ilvl w:val="3"/>
          <w:numId w:val="198"/>
        </w:numPr>
        <w:rPr>
          <w:rFonts w:ascii="Arial" w:cs="Arial" w:eastAsia="Arial" w:hAnsi="Arial"/>
          <w:sz w:val="15"/>
          <w:szCs w:val="15"/>
          <w:color w:val="auto"/>
        </w:rPr>
      </w:pPr>
      <w:r>
        <w:rPr>
          <w:rFonts w:ascii="Arial" w:cs="Arial" w:eastAsia="Arial" w:hAnsi="Arial"/>
          <w:sz w:val="15"/>
          <w:szCs w:val="15"/>
          <w:color w:val="auto"/>
        </w:rPr>
        <w:t>As a condition precedent to the registration of transfer of any certificates representing LifeMap Shares upon the exercise of this Option or transfer of LifeMap Shares, the Company and LifeMap shall be entitled to obtain a letter or other instrument from the Purchaser containing such covenants, representations or warranties by such Purchaser similar to those contained in this Section 4 as reasonably deemed necessary by the Company or LifeMap to effect compliance by the Company or LifeMap with the requirements of the Securities Act and any other applicable federal and/or state securities laws.</w:t>
      </w:r>
    </w:p>
    <w:p>
      <w:pPr>
        <w:spacing w:after="0" w:line="113"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301" w:name="page302"/>
    <w:bookmarkEnd w:id="301"/>
    <w:p>
      <w:pPr>
        <w:ind w:firstLine="1980"/>
        <w:spacing w:after="0" w:line="267" w:lineRule="auto"/>
        <w:tabs>
          <w:tab w:leader="none" w:pos="2332"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Any sale, pledge, hypothecation, transfer, or assignment of this Option or LifeMap Shares in violation of the foregoing restrictions shall be deemed null and void and of no binding effect.</w:t>
      </w:r>
    </w:p>
    <w:p>
      <w:pPr>
        <w:spacing w:after="0" w:line="181" w:lineRule="exact"/>
        <w:rPr>
          <w:rFonts w:ascii="Arial" w:cs="Arial" w:eastAsia="Arial" w:hAnsi="Arial"/>
          <w:sz w:val="16"/>
          <w:szCs w:val="16"/>
          <w:color w:val="auto"/>
        </w:rPr>
      </w:pPr>
    </w:p>
    <w:p>
      <w:pPr>
        <w:jc w:val="both"/>
        <w:ind w:right="20" w:firstLine="1980"/>
        <w:spacing w:after="0" w:line="257" w:lineRule="auto"/>
        <w:tabs>
          <w:tab w:leader="none" w:pos="2288"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Company will, and will request that LifeMap will, issue instructions to any Transfer Agent and registrar of the Common Stock to refuse to register the transfer of any LifeMap Shares not made pursuant to registration under the Securities Act and applicable state securities laws, or pursuant to an available exemption from registration under the Securities Act and applicable state securities laws.</w:t>
      </w:r>
    </w:p>
    <w:p>
      <w:pPr>
        <w:spacing w:after="0" w:line="165" w:lineRule="exact"/>
        <w:rPr>
          <w:rFonts w:ascii="Arial" w:cs="Arial" w:eastAsia="Arial" w:hAnsi="Arial"/>
          <w:sz w:val="16"/>
          <w:szCs w:val="16"/>
          <w:color w:val="auto"/>
        </w:rPr>
      </w:pPr>
    </w:p>
    <w:p>
      <w:pPr>
        <w:jc w:val="both"/>
        <w:ind w:firstLine="1980"/>
        <w:spacing w:after="0" w:line="291" w:lineRule="auto"/>
        <w:tabs>
          <w:tab w:leader="none" w:pos="2266" w:val="left"/>
        </w:tabs>
        <w:numPr>
          <w:ilvl w:val="1"/>
          <w:numId w:val="199"/>
        </w:numPr>
        <w:rPr>
          <w:rFonts w:ascii="Arial" w:cs="Arial" w:eastAsia="Arial" w:hAnsi="Arial"/>
          <w:sz w:val="14"/>
          <w:szCs w:val="14"/>
          <w:color w:val="auto"/>
        </w:rPr>
      </w:pPr>
      <w:r>
        <w:rPr>
          <w:rFonts w:ascii="Arial" w:cs="Arial" w:eastAsia="Arial" w:hAnsi="Arial"/>
          <w:sz w:val="14"/>
          <w:szCs w:val="14"/>
          <w:color w:val="auto"/>
        </w:rPr>
        <w:t>The LifeMap Shares shall bear an appropriate legend, conspicuously disclosing the restrictions on transfer, under this Section 4, until the same are registered for sale under the Securities Act or are transferred in a transaction exempt from registration under the Securities Act entitling the transferee to receive securities that are not deemed to be “restricted securities” as such term is defined in Rule 144 under the Securities Act. The Company agrees that upon the sale of LifeMap Shares pursuant to a registration statement or an exemption entitling the transferee to receive securities that are not deemed to be “restricted securities,” or at such time as registration under the Securities Act shall no longer be required, upon the presentation of the certificates containing such a legend to the transfer agent or warrant agent, if any, it will request removal of such legend; provided, that unless the request for removal of the legend is in connection with a sale registered under the Securities Act, the Purchaser shall have provided an opinion of counsel, acceptable to the Company and the Transfer Agent to the effect that such legend may be removed in compliance with the Securities Act.</w:t>
      </w:r>
    </w:p>
    <w:p>
      <w:pPr>
        <w:spacing w:after="0" w:line="169" w:lineRule="exact"/>
        <w:rPr>
          <w:rFonts w:ascii="Arial" w:cs="Arial" w:eastAsia="Arial" w:hAnsi="Arial"/>
          <w:sz w:val="14"/>
          <w:szCs w:val="14"/>
          <w:color w:val="auto"/>
        </w:rPr>
      </w:pPr>
    </w:p>
    <w:p>
      <w:pPr>
        <w:ind w:right="20" w:firstLine="1696"/>
        <w:spacing w:after="0" w:line="267" w:lineRule="auto"/>
        <w:tabs>
          <w:tab w:leader="none" w:pos="2178"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Each Purchaser makes the following representations, severally and not jointly and severally, in connection with its acquisition of this Option and any LifeMap Shares upon the exercise of this Option:</w:t>
      </w:r>
    </w:p>
    <w:p>
      <w:pPr>
        <w:spacing w:after="0" w:line="181" w:lineRule="exact"/>
        <w:rPr>
          <w:rFonts w:ascii="Arial" w:cs="Arial" w:eastAsia="Arial" w:hAnsi="Arial"/>
          <w:sz w:val="16"/>
          <w:szCs w:val="16"/>
          <w:color w:val="auto"/>
        </w:rPr>
      </w:pPr>
    </w:p>
    <w:p>
      <w:pPr>
        <w:jc w:val="both"/>
        <w:ind w:firstLine="1980"/>
        <w:spacing w:after="0" w:line="250" w:lineRule="auto"/>
        <w:tabs>
          <w:tab w:leader="none" w:pos="2264" w:val="left"/>
        </w:tabs>
        <w:numPr>
          <w:ilvl w:val="1"/>
          <w:numId w:val="200"/>
        </w:numPr>
        <w:rPr>
          <w:rFonts w:ascii="Arial" w:cs="Arial" w:eastAsia="Arial" w:hAnsi="Arial"/>
          <w:sz w:val="16"/>
          <w:szCs w:val="16"/>
          <w:color w:val="auto"/>
        </w:rPr>
      </w:pPr>
      <w:r>
        <w:rPr>
          <w:rFonts w:ascii="Arial" w:cs="Arial" w:eastAsia="Arial" w:hAnsi="Arial"/>
          <w:sz w:val="16"/>
          <w:szCs w:val="16"/>
          <w:color w:val="auto"/>
        </w:rPr>
        <w:t>Purchaser has made such investigation of LifeMap as Purchaser deemed appropriate for determining to acquire (and thereby make an investment in) this Option and LifeMap Shares, and in making such investigation Purchaser has had access to such financial and other information concerning LifeMap as Purchaser requested. Purchaser is relying on the information communicated to Purchaser in writing by LifeMap or the Company. Purchaser has not relied on any statement or representations inconsistent with those communicated to Purchaser in writing by LifeMap or the Company. Purchaser has had a reasonable opportunity to ask questions of and receive answers from the executive officers of LifeMap and the Company concerning LifeMap, and to obtain additional information, to the extent possessed or obtainable by LifeMap or the Company without unreasonable effort or expense, necessary to verify the information communicated or provided to Purchaser. All such questions have been answered to Purchaser’s satisfaction.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02" w:name="page303"/>
    <w:bookmarkEnd w:id="302"/>
    <w:p>
      <w:pPr>
        <w:jc w:val="both"/>
        <w:ind w:firstLine="1980"/>
        <w:spacing w:after="0" w:line="253" w:lineRule="auto"/>
        <w:tabs>
          <w:tab w:leader="none" w:pos="2343" w:val="left"/>
        </w:tabs>
        <w:numPr>
          <w:ilvl w:val="1"/>
          <w:numId w:val="201"/>
        </w:numPr>
        <w:rPr>
          <w:rFonts w:ascii="Arial" w:cs="Arial" w:eastAsia="Arial" w:hAnsi="Arial"/>
          <w:sz w:val="16"/>
          <w:szCs w:val="16"/>
          <w:color w:val="auto"/>
        </w:rPr>
      </w:pPr>
      <w:r>
        <w:rPr>
          <w:rFonts w:ascii="Arial" w:cs="Arial" w:eastAsia="Arial" w:hAnsi="Arial"/>
          <w:sz w:val="16"/>
          <w:szCs w:val="16"/>
          <w:color w:val="auto"/>
        </w:rPr>
        <w:t>Purchaser is acquiring this Option and upon exercise of this Option will purchase LifeMap Shares solely for Purchaser's own account, and Purchaser has no direct or indirect arrangement or understandings with any other persons to distribute or regarding the distribution of the LifeMap Shares or this Option; provided, that this representation and warranty shall not prohibit Purchaser from selling LifeMap Shares in the ordinary course of business pursuant to a registration statement under the Securities Act or otherwise in compliance with the Securities Act and applicable state securities or “blue sky” laws.</w:t>
      </w:r>
    </w:p>
    <w:p>
      <w:pPr>
        <w:spacing w:after="0" w:line="193" w:lineRule="exact"/>
        <w:rPr>
          <w:rFonts w:ascii="Arial" w:cs="Arial" w:eastAsia="Arial" w:hAnsi="Arial"/>
          <w:sz w:val="16"/>
          <w:szCs w:val="16"/>
          <w:color w:val="auto"/>
        </w:rPr>
      </w:pPr>
    </w:p>
    <w:p>
      <w:pPr>
        <w:ind w:left="2280" w:hanging="300"/>
        <w:spacing w:after="0"/>
        <w:tabs>
          <w:tab w:leader="none" w:pos="228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Purchaser is an “accredited investor” as defined in Rule 501 under the Securities Act.</w:t>
      </w:r>
    </w:p>
    <w:p>
      <w:pPr>
        <w:spacing w:after="0" w:line="217" w:lineRule="exact"/>
        <w:rPr>
          <w:rFonts w:ascii="Arial" w:cs="Arial" w:eastAsia="Arial" w:hAnsi="Arial"/>
          <w:sz w:val="16"/>
          <w:szCs w:val="16"/>
          <w:color w:val="auto"/>
        </w:rPr>
      </w:pPr>
    </w:p>
    <w:p>
      <w:pPr>
        <w:jc w:val="both"/>
        <w:ind w:right="20" w:firstLine="1980"/>
        <w:spacing w:after="0" w:line="311" w:lineRule="auto"/>
        <w:tabs>
          <w:tab w:leader="none" w:pos="2264" w:val="left"/>
        </w:tabs>
        <w:numPr>
          <w:ilvl w:val="1"/>
          <w:numId w:val="201"/>
        </w:numPr>
        <w:rPr>
          <w:rFonts w:ascii="Arial" w:cs="Arial" w:eastAsia="Arial" w:hAnsi="Arial"/>
          <w:sz w:val="14"/>
          <w:szCs w:val="14"/>
          <w:color w:val="auto"/>
        </w:rPr>
      </w:pPr>
      <w:r>
        <w:rPr>
          <w:rFonts w:ascii="Arial" w:cs="Arial" w:eastAsia="Arial" w:hAnsi="Arial"/>
          <w:sz w:val="14"/>
          <w:szCs w:val="14"/>
          <w:color w:val="auto"/>
        </w:rPr>
        <w:t>Purchaser, either alone or together with its representatives, has such knowledge, sophistication and experience in business and financial matters so as to be capable of evaluating the merits and risks of the prospective investment in this Option and LifeMap Shares, and has so evaluated the merits and risks of such investment. Such Purchaser is able to bear the economic risk of an investment in this Option and LifeMap Shares and, at the present time, is able to afford a complete loss of such investment.</w:t>
      </w:r>
    </w:p>
    <w:p>
      <w:pPr>
        <w:spacing w:after="0" w:line="154" w:lineRule="exact"/>
        <w:rPr>
          <w:rFonts w:ascii="Arial" w:cs="Arial" w:eastAsia="Arial" w:hAnsi="Arial"/>
          <w:sz w:val="14"/>
          <w:szCs w:val="14"/>
          <w:color w:val="auto"/>
        </w:rPr>
      </w:pPr>
    </w:p>
    <w:p>
      <w:pPr>
        <w:jc w:val="both"/>
        <w:ind w:right="20" w:firstLine="1129"/>
        <w:spacing w:after="0" w:line="289" w:lineRule="auto"/>
        <w:tabs>
          <w:tab w:leader="none" w:pos="1719" w:val="left"/>
        </w:tabs>
        <w:numPr>
          <w:ilvl w:val="0"/>
          <w:numId w:val="202"/>
        </w:numPr>
        <w:rPr>
          <w:rFonts w:ascii="Arial" w:cs="Arial" w:eastAsia="Arial" w:hAnsi="Arial"/>
          <w:sz w:val="14"/>
          <w:szCs w:val="14"/>
          <w:color w:val="auto"/>
        </w:rPr>
      </w:pPr>
      <w:r>
        <w:rPr>
          <w:rFonts w:ascii="Arial" w:cs="Arial" w:eastAsia="Arial" w:hAnsi="Arial"/>
          <w:sz w:val="14"/>
          <w:szCs w:val="14"/>
          <w:u w:val="single" w:color="auto"/>
          <w:color w:val="auto"/>
        </w:rPr>
        <w:t>REGISTRATION RIGHTS</w:t>
      </w:r>
      <w:r>
        <w:rPr>
          <w:rFonts w:ascii="Arial" w:cs="Arial" w:eastAsia="Arial" w:hAnsi="Arial"/>
          <w:sz w:val="14"/>
          <w:szCs w:val="14"/>
          <w:color w:val="auto"/>
        </w:rPr>
        <w:t>. The Company hereby covenants and agrees that in the event the Company receives any registration rights from LifeMap in respect of any LifeMap Shares owned by the Company, simultaneously with the exercise of any such registration rights at any time that this Option remains exercisable in whole or in part, the Company shall cause LifeMap to register all of the LifeMap Shares issuable to the Purchaser as of the applicable date of determination pursuant to the terms of this Option. The Company acknowledges and agrees that prior to excluding any LifeMap Shares from any registration statement, it shall first exclude all other LifeMap Shares owned by the Company other than any LifeMap Shares that are subject to an option provided to another Purchaser (as defined in the Securities Purchase Agreement) which shall be subject to exclusion on a pro rata basis with all other Purchasers (as defined in the Securities Purchase Agreement). The Company shall do and perform, or cause to be done and performed, all such further acts and things, and shall execute and deliver all such other agreements, certificates, instruments and documents, including, without limitation, any assignment of any registration rights with respect to the Common Stock purchasable pursuant to this Option granted to the Company under any registration rights agreement by LifeMap and the Company or under any registration statement, as Purchaser may reasonably request in order to carry out the intent and accomplish the purposes of this Section 5.</w:t>
      </w:r>
    </w:p>
    <w:p>
      <w:pPr>
        <w:spacing w:after="0" w:line="169" w:lineRule="exact"/>
        <w:rPr>
          <w:rFonts w:ascii="Arial" w:cs="Arial" w:eastAsia="Arial" w:hAnsi="Arial"/>
          <w:sz w:val="14"/>
          <w:szCs w:val="14"/>
          <w:color w:val="auto"/>
        </w:rPr>
      </w:pPr>
    </w:p>
    <w:p>
      <w:pPr>
        <w:jc w:val="both"/>
        <w:ind w:firstLine="1129"/>
        <w:spacing w:after="0" w:line="270" w:lineRule="auto"/>
        <w:tabs>
          <w:tab w:leader="none" w:pos="1657" w:val="left"/>
        </w:tabs>
        <w:numPr>
          <w:ilvl w:val="0"/>
          <w:numId w:val="202"/>
        </w:numPr>
        <w:rPr>
          <w:rFonts w:ascii="Arial" w:cs="Arial" w:eastAsia="Arial" w:hAnsi="Arial"/>
          <w:sz w:val="15"/>
          <w:szCs w:val="15"/>
          <w:color w:val="auto"/>
        </w:rPr>
      </w:pPr>
      <w:r>
        <w:rPr>
          <w:rFonts w:ascii="Arial" w:cs="Arial" w:eastAsia="Arial" w:hAnsi="Arial"/>
          <w:sz w:val="15"/>
          <w:szCs w:val="15"/>
          <w:u w:val="single" w:color="auto"/>
          <w:color w:val="auto"/>
        </w:rPr>
        <w:t>NONCIRCUMVENTION</w:t>
      </w:r>
      <w:r>
        <w:rPr>
          <w:rFonts w:ascii="Arial" w:cs="Arial" w:eastAsia="Arial" w:hAnsi="Arial"/>
          <w:sz w:val="15"/>
          <w:szCs w:val="15"/>
          <w:color w:val="auto"/>
        </w:rPr>
        <w:t>. The Company hereby covenants and agrees that the Company will not, by amendment of its Articles of Incorporation, Bylaws, or through any reorganization, transfer of assets, consolidation, merger, scheme of arrangement, dissolution, issue or sale of securities, or any other voluntary action, avoid or seek to avoid the observance or performance of any of the terms of this Option, and will at all times in good faith carry out all the provisions of this Option and take all action as may be required to protect the rights of the Purchaser. Without limiting the generality of the foregoing, the Company shall continue to hold a sufficient number of LifeMap Shares to permit Purchaser to exercise this Option in full. The Company will, and will request that LifeMap will, issue instructions to any Transfer Agent and registrar of the Common Stock to refuse to register the transfer of any LifeMap Shares in violation of the immediately preceding sentence.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03" w:name="page304"/>
    <w:bookmarkEnd w:id="303"/>
    <w:p>
      <w:pPr>
        <w:jc w:val="both"/>
        <w:ind w:firstLine="1129"/>
        <w:spacing w:after="0" w:line="267" w:lineRule="auto"/>
        <w:tabs>
          <w:tab w:leader="none" w:pos="1692" w:val="left"/>
        </w:tabs>
        <w:numPr>
          <w:ilvl w:val="0"/>
          <w:numId w:val="203"/>
        </w:numPr>
        <w:rPr>
          <w:rFonts w:ascii="Arial" w:cs="Arial" w:eastAsia="Arial" w:hAnsi="Arial"/>
          <w:sz w:val="15"/>
          <w:szCs w:val="15"/>
          <w:color w:val="auto"/>
        </w:rPr>
      </w:pPr>
      <w:r>
        <w:rPr>
          <w:rFonts w:ascii="Arial" w:cs="Arial" w:eastAsia="Arial" w:hAnsi="Arial"/>
          <w:sz w:val="15"/>
          <w:szCs w:val="15"/>
          <w:u w:val="single" w:color="auto"/>
          <w:color w:val="auto"/>
        </w:rPr>
        <w:t>PURCHASER NOT DEEMED A LIFEMAP SHAREHOLDER</w:t>
      </w:r>
      <w:r>
        <w:rPr>
          <w:rFonts w:ascii="Arial" w:cs="Arial" w:eastAsia="Arial" w:hAnsi="Arial"/>
          <w:sz w:val="15"/>
          <w:szCs w:val="15"/>
          <w:color w:val="auto"/>
        </w:rPr>
        <w:t>. The Purchaser, solely in such Person's capacity as the holder of this Option, shall not be entitled to vote or receive dividends or be deemed the holder of share capital of LifeMap for any purpose, nor shall anything contained in this Option be construed to confer upon the Purchaser, solely in such Person's capacity as the holder of this Option, any of the rights of a shareholder of LifeMap or any right to vote, give or withhold consent to any corporate action (whether any reorganization, issue of stock, reclassification of stock, consolidation, merger, conveyance or otherwise), receive notice of meetings, receive dividends or subscription rights, or otherwise, prior to the purchase of the LifeMap Shares through the due exercise of this Option. In addition, nothing contained in this Option shall be construed as imposing any liabilities on the Purchaser to purchase any securities or as a shareholder of the Company or LifeMap (other than upon exercise of this Option), whether such liabilities are asserted by the Company or LifeMap or by their respective creditors. Notwithstanding this Section, the Company shall provide the Purchaser with copies of such notices and other information given to the Common Stock holders of LifeMap generally, promptly after receipt thereof by the Company, unless the Company believes that such information is material, nonpublic information regarding the Company or LifeMap.</w:t>
      </w:r>
    </w:p>
    <w:p>
      <w:pPr>
        <w:spacing w:after="0" w:line="187" w:lineRule="exact"/>
        <w:rPr>
          <w:rFonts w:ascii="Arial" w:cs="Arial" w:eastAsia="Arial" w:hAnsi="Arial"/>
          <w:sz w:val="15"/>
          <w:szCs w:val="15"/>
          <w:color w:val="auto"/>
        </w:rPr>
      </w:pPr>
    </w:p>
    <w:p>
      <w:pPr>
        <w:jc w:val="both"/>
        <w:ind w:right="20" w:firstLine="1129"/>
        <w:spacing w:after="0" w:line="270" w:lineRule="auto"/>
        <w:tabs>
          <w:tab w:leader="none" w:pos="1751" w:val="left"/>
        </w:tabs>
        <w:numPr>
          <w:ilvl w:val="0"/>
          <w:numId w:val="203"/>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pursuant to this Agreement by the Purchaser to the Company shall be in writing and shall be delivered in person, or mailed first class, postage prepaid, or sent by air delivery service or by facsimile transmission (FAX) or email to the Company, at its office, Attention: Chief Financial Officer. The address of the principal office of the Company is 1301 Harbor Bay Parkway, Alameda, California 94502; FAX (510) 521-3389; email rpeabody@biotimemail.com. Any notice given pursuant to this Agreement by the Company to the Purchaser shall be in writing and shall be mailed first class, postage prepaid, or sent by air delivery service, or by facsimile transmission (FAX) or email or otherwise delivered to the Purchaser at the Purchaser’s address shown on the signature page of this Option. Each party hereto may from time to time change the address to which notices to it are to be delivered or mailed hereunder by notice to the other party.</w:t>
      </w:r>
    </w:p>
    <w:p>
      <w:pPr>
        <w:spacing w:after="0" w:line="182" w:lineRule="exact"/>
        <w:rPr>
          <w:rFonts w:ascii="Arial" w:cs="Arial" w:eastAsia="Arial" w:hAnsi="Arial"/>
          <w:sz w:val="15"/>
          <w:szCs w:val="15"/>
          <w:color w:val="auto"/>
        </w:rPr>
      </w:pPr>
    </w:p>
    <w:p>
      <w:pPr>
        <w:ind w:right="20" w:firstLine="1129"/>
        <w:spacing w:after="0" w:line="267" w:lineRule="auto"/>
        <w:tabs>
          <w:tab w:leader="none" w:pos="1938"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Option may only be amended by a written instrument signed by the Company and the Purchaser.</w:t>
      </w:r>
    </w:p>
    <w:p>
      <w:pPr>
        <w:spacing w:after="0" w:line="181" w:lineRule="exact"/>
        <w:rPr>
          <w:rFonts w:ascii="Arial" w:cs="Arial" w:eastAsia="Arial" w:hAnsi="Arial"/>
          <w:sz w:val="16"/>
          <w:szCs w:val="16"/>
          <w:color w:val="auto"/>
        </w:rPr>
      </w:pPr>
    </w:p>
    <w:p>
      <w:pPr>
        <w:jc w:val="both"/>
        <w:ind w:firstLine="1129"/>
        <w:spacing w:after="0" w:line="291" w:lineRule="auto"/>
        <w:tabs>
          <w:tab w:leader="none" w:pos="1758" w:val="left"/>
        </w:tabs>
        <w:numPr>
          <w:ilvl w:val="0"/>
          <w:numId w:val="203"/>
        </w:numPr>
        <w:rPr>
          <w:rFonts w:ascii="Arial" w:cs="Arial" w:eastAsia="Arial" w:hAnsi="Arial"/>
          <w:sz w:val="14"/>
          <w:szCs w:val="14"/>
          <w:color w:val="auto"/>
        </w:rPr>
      </w:pPr>
      <w:r>
        <w:rPr>
          <w:rFonts w:ascii="Arial" w:cs="Arial" w:eastAsia="Arial" w:hAnsi="Arial"/>
          <w:sz w:val="14"/>
          <w:szCs w:val="14"/>
          <w:u w:val="single" w:color="auto"/>
          <w:color w:val="auto"/>
        </w:rPr>
        <w:t>GOVERNING LAW; JURISDICTION</w:t>
      </w:r>
      <w:r>
        <w:rPr>
          <w:rFonts w:ascii="Arial" w:cs="Arial" w:eastAsia="Arial" w:hAnsi="Arial"/>
          <w:sz w:val="14"/>
          <w:szCs w:val="14"/>
          <w:color w:val="auto"/>
        </w:rPr>
        <w:t>. This Option shall be governed by and construed and enforced in accordance with, and all questions concerning the construction, validity, interpretation and performance of this Option shall be governed by, the internal laws of the State of California, without giving effect to any choice of law or conflict of law provision or rule (whether of the State of California or any other jurisdictions) that would cause the application of the laws of any jurisdictions other than the State of California. The Company and the Purchaser hereby irrevocably submit to the non-exclusive jurisdiction of the state and federal courts sitting in the City of New York and the County of Alameda and the United States District Court for the Northern District of California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04" w:name="page305"/>
    <w:bookmarkEnd w:id="304"/>
    <w:p>
      <w:pPr>
        <w:ind w:right="20" w:firstLine="1129"/>
        <w:spacing w:after="0" w:line="301" w:lineRule="auto"/>
        <w:tabs>
          <w:tab w:leader="none" w:pos="1669" w:val="left"/>
        </w:tabs>
        <w:numPr>
          <w:ilvl w:val="0"/>
          <w:numId w:val="204"/>
        </w:numPr>
        <w:rPr>
          <w:rFonts w:ascii="Arial" w:cs="Arial" w:eastAsia="Arial" w:hAnsi="Arial"/>
          <w:sz w:val="15"/>
          <w:szCs w:val="15"/>
          <w:color w:val="auto"/>
        </w:rPr>
      </w:pPr>
      <w:r>
        <w:rPr>
          <w:rFonts w:ascii="Arial" w:cs="Arial" w:eastAsia="Arial" w:hAnsi="Arial"/>
          <w:sz w:val="15"/>
          <w:szCs w:val="15"/>
          <w:u w:val="single" w:color="auto"/>
          <w:color w:val="auto"/>
        </w:rPr>
        <w:t>CONSTRUCTION; HEADINGS</w:t>
      </w:r>
      <w:r>
        <w:rPr>
          <w:rFonts w:ascii="Arial" w:cs="Arial" w:eastAsia="Arial" w:hAnsi="Arial"/>
          <w:sz w:val="15"/>
          <w:szCs w:val="15"/>
          <w:color w:val="auto"/>
        </w:rPr>
        <w:t>. This Option shall be deemed to be jointly drafted by the Company and Purchaser and shall not be construed against any Person as the drafter hereof. The headings of this Option are for convenience of reference and shall not form part of, or affect the interpretation of, this Option.</w:t>
      </w:r>
    </w:p>
    <w:p>
      <w:pPr>
        <w:spacing w:after="0" w:line="158" w:lineRule="exact"/>
        <w:rPr>
          <w:rFonts w:ascii="Arial" w:cs="Arial" w:eastAsia="Arial" w:hAnsi="Arial"/>
          <w:sz w:val="15"/>
          <w:szCs w:val="15"/>
          <w:color w:val="auto"/>
        </w:rPr>
      </w:pPr>
    </w:p>
    <w:p>
      <w:pPr>
        <w:jc w:val="both"/>
        <w:ind w:firstLine="1129"/>
        <w:spacing w:after="0" w:line="289" w:lineRule="auto"/>
        <w:tabs>
          <w:tab w:leader="none" w:pos="1805" w:val="left"/>
        </w:tabs>
        <w:numPr>
          <w:ilvl w:val="0"/>
          <w:numId w:val="204"/>
        </w:numPr>
        <w:rPr>
          <w:rFonts w:ascii="Arial" w:cs="Arial" w:eastAsia="Arial" w:hAnsi="Arial"/>
          <w:sz w:val="14"/>
          <w:szCs w:val="14"/>
          <w:color w:val="auto"/>
        </w:rPr>
      </w:pPr>
      <w:r>
        <w:rPr>
          <w:rFonts w:ascii="Arial" w:cs="Arial" w:eastAsia="Arial" w:hAnsi="Arial"/>
          <w:sz w:val="14"/>
          <w:szCs w:val="14"/>
          <w:u w:val="single" w:color="auto"/>
          <w:color w:val="auto"/>
        </w:rPr>
        <w:t>DISPUTE RESOLUTION</w:t>
      </w:r>
      <w:r>
        <w:rPr>
          <w:rFonts w:ascii="Arial" w:cs="Arial" w:eastAsia="Arial" w:hAnsi="Arial"/>
          <w:sz w:val="14"/>
          <w:szCs w:val="14"/>
          <w:color w:val="auto"/>
        </w:rPr>
        <w:t>. In the case of a dispute as to the determination of the Exchange Ratio or the arithmetic calculation of the LifeMap Shares purchasable upon the exercise of this Option, the Company shall submit the disputed determinations or arithmetic calculations via facsimile within two (2) Business Days of receipt of the Exercise Notice giving rise to such dispute, as the case may be, to the Purchaser. If the Purchaser and the Company are unable to agree upon such determination or calculation of the Exchange Ratio or the LifeMap Shares within three (3) Business Days of such disputed determination or arithmetic calculation being submitted to the Purchaser, then the Company shall, within two (2) Business Days submit via facsimile (a) the disputed determination of the Exchange Ratio to an independent, reputable investment bank selected by the Company and approved by the Purchaser or (b) the disputed arithmetic calculation of the LifeMap Shares to the Company's independent, outside accountant. The Company shall cause at its expense the investment bank or the accountant, as the case may be, to perform the determinations or calculations and notify the Company and the Purchaser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69" w:lineRule="exact"/>
        <w:rPr>
          <w:rFonts w:ascii="Arial" w:cs="Arial" w:eastAsia="Arial" w:hAnsi="Arial"/>
          <w:sz w:val="14"/>
          <w:szCs w:val="14"/>
          <w:color w:val="auto"/>
        </w:rPr>
      </w:pPr>
    </w:p>
    <w:p>
      <w:pPr>
        <w:jc w:val="both"/>
        <w:ind w:firstLine="1129"/>
        <w:spacing w:after="0" w:line="257" w:lineRule="auto"/>
        <w:tabs>
          <w:tab w:leader="none" w:pos="1817"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REMEDIES, OTHER OBLIGATIONS, BREACHES AND INJUNCTIVE RELIEF</w:t>
      </w:r>
      <w:r>
        <w:rPr>
          <w:rFonts w:ascii="Arial" w:cs="Arial" w:eastAsia="Arial" w:hAnsi="Arial"/>
          <w:sz w:val="16"/>
          <w:szCs w:val="16"/>
          <w:color w:val="auto"/>
        </w:rPr>
        <w:t>. The remedies provided in this Option shall be cumulative and in addition to all other remedies available under this Option, at law or in equity (including a decree of specific performance and/or other injunctive relief), and nothing herein shall limit the right of the Purchaser to pursue actual damages for any failure by the Company to comply with the terms of this Option.</w:t>
      </w:r>
    </w:p>
    <w:p>
      <w:pPr>
        <w:spacing w:after="0" w:line="188" w:lineRule="exact"/>
        <w:rPr>
          <w:rFonts w:ascii="Arial" w:cs="Arial" w:eastAsia="Arial" w:hAnsi="Arial"/>
          <w:sz w:val="16"/>
          <w:szCs w:val="16"/>
          <w:color w:val="auto"/>
        </w:rPr>
      </w:pPr>
    </w:p>
    <w:p>
      <w:pPr>
        <w:jc w:val="both"/>
        <w:ind w:right="20" w:firstLine="1129"/>
        <w:spacing w:after="0" w:line="250" w:lineRule="auto"/>
        <w:tabs>
          <w:tab w:leader="none" w:pos="1793"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Option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Option so long as this Option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w:t>
      </w:r>
    </w:p>
    <w:p>
      <w:pPr>
        <w:spacing w:after="0" w:line="197" w:lineRule="exact"/>
        <w:rPr>
          <w:rFonts w:ascii="Arial" w:cs="Arial" w:eastAsia="Arial" w:hAnsi="Arial"/>
          <w:sz w:val="16"/>
          <w:szCs w:val="16"/>
          <w:color w:val="auto"/>
        </w:rPr>
      </w:pPr>
    </w:p>
    <w:p>
      <w:pPr>
        <w:jc w:val="both"/>
        <w:ind w:firstLine="1129"/>
        <w:spacing w:after="0" w:line="266" w:lineRule="auto"/>
        <w:tabs>
          <w:tab w:leader="none" w:pos="1726" w:val="left"/>
        </w:tabs>
        <w:numPr>
          <w:ilvl w:val="0"/>
          <w:numId w:val="204"/>
        </w:numPr>
        <w:rPr>
          <w:rFonts w:ascii="Arial" w:cs="Arial" w:eastAsia="Arial" w:hAnsi="Arial"/>
          <w:sz w:val="15"/>
          <w:szCs w:val="15"/>
          <w:color w:val="auto"/>
        </w:rPr>
      </w:pPr>
      <w:r>
        <w:rPr>
          <w:rFonts w:ascii="Arial" w:cs="Arial" w:eastAsia="Arial" w:hAnsi="Arial"/>
          <w:sz w:val="15"/>
          <w:szCs w:val="15"/>
          <w:u w:val="single" w:color="auto"/>
          <w:color w:val="auto"/>
        </w:rPr>
        <w:t>COMPANY'S REPRESENTATIONS AND WARRANTIES</w:t>
      </w:r>
      <w:r>
        <w:rPr>
          <w:rFonts w:ascii="Arial" w:cs="Arial" w:eastAsia="Arial" w:hAnsi="Arial"/>
          <w:sz w:val="15"/>
          <w:szCs w:val="15"/>
          <w:color w:val="auto"/>
        </w:rPr>
        <w:t>. The Company is a corporation duly organized, validly existing and in good standing under the laws of the State of California, with the requisite power and authority to own and use its properties and assets and to carry on its business as currently conducted. The Company has the power and authority to execute and deliver this Option and to perform all of its obligations hereunder. This Option has been duly authorized, executed and delivered by the Company and is the valid and binding agreement of the Company, enforceable in accordance with its terms subject to: (i) laws of general application relating to bankruptcy, insolvency and the relief of debtors; and (ii) general principles of equity. There is no lawsuit, arbitration proceeding, or administrative action or proceeding pending or threatened against the Company which questions the validity of this Option or any action taken or to be taken by the Company in connection with this Option or the transfer of the LifeMap Shares hereunder. The Company owns beneficially of record, free and clear of any lien or other encumbrance, the LifeMap Shares, and upon exercise of the Option, the Purchaser will acquire good and valid title to such LifeMap Shares thereto, free and clear of any lien or other encumbrance. The execution and delivery of this Option and consummation of the transactions contemplated by this Option (a) do not and will not violate any provisions of (i) any rule, regulation, statute, or law, (ii) the terms of any order, writ or decree of any court or judicial or regulatory authority or body, (iii) the Articles of Incorporation or bylaws of the Company, or (iv) the rules and regulations of the NYSE MKT applicable to the listing of the Company’s common shares, (b) will not conflict with or result in a breach of any condition or provision or constitute a default under or pursuant to the terms of any Material Contract (as defined in the Securities Purchase Agreement), and (c) will not result in the creation or imposition of any lien, charge or encumbrance upon any of the LifeMap Shares (other than pursuant to this Option) or upon any of the assets or properties of the Company.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305" w:name="page306"/>
    <w:bookmarkEnd w:id="305"/>
    <w:p>
      <w:pPr>
        <w:jc w:val="both"/>
        <w:ind w:firstLine="1129"/>
        <w:spacing w:after="0" w:line="266" w:lineRule="auto"/>
        <w:tabs>
          <w:tab w:leader="none" w:pos="1678" w:val="left"/>
        </w:tabs>
        <w:numPr>
          <w:ilvl w:val="0"/>
          <w:numId w:val="205"/>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CONCERNING LIFEMAP</w:t>
      </w:r>
      <w:r>
        <w:rPr>
          <w:rFonts w:ascii="Arial" w:cs="Arial" w:eastAsia="Arial" w:hAnsi="Arial"/>
          <w:sz w:val="15"/>
          <w:szCs w:val="15"/>
          <w:color w:val="auto"/>
        </w:rPr>
        <w:t>. LifeMap is a corporation duly organized, validly existing and in good standing under the laws of the State of California, with the requisite power and authority to own and use its properties and assets and to carry on its business as currently conducted. There is no lawsuit, arbitration proceeding, or administrative action or proceeding pending or threatened against LifeMap which questions the validity of this Option or any action taken or to be taken by the Company in connection with this Option or the transfer of the LifeMap Shares hereunder. The execution and delivery of this Option and consummation of the transactions contemplated by this Option (a) do not and will not violate any provisions of (i) any rule, regulation, statute, or law, (ii) the terms of any order, writ or decree of any court or judicial or regulatory authority or body or (iii) the Articles of Incorporation or bylaws of LifeMap, (b) will not conflict with or result in a breach of any condition or provision or constitute a default under or pursuant to the terms of any Material Contract of LifeMap (as defined in the Securities Purchase Agreement as if such contract was a contract to which LifeMap is a party), and (c) will not result in the creation or imposition of any lien, charge or encumbrance upon any of the LifeMap Shares (other than pursuant to this Option) or upon any of the assets or properties of LifeMap. The authorized capital stock of LifeMap consists of: 2,250,000 shares of Preferred Stock, none of which are issued and outstanding, and 22,500,000 shares of Common Stock, of which 11,715,095 shares, are issued and outstanding. All outstanding shares of LifeMap Common Stock are duly and validly authorized and issued, fully paid and nonassessable. Except for up to 2,342,269 shares of Common Stock reserved for issuance to employees, directors and consultants under the terms of a stock option plan previously approved by LifeMap’s Board of Directors, there are no outstanding options, warrants, rights or obligations for the purchase or acquisition from LifeMap of any shares of capital stock.</w:t>
      </w:r>
    </w:p>
    <w:p>
      <w:pPr>
        <w:spacing w:after="0" w:line="185" w:lineRule="exact"/>
        <w:rPr>
          <w:rFonts w:ascii="Arial" w:cs="Arial" w:eastAsia="Arial" w:hAnsi="Arial"/>
          <w:sz w:val="15"/>
          <w:szCs w:val="15"/>
          <w:color w:val="auto"/>
        </w:rPr>
      </w:pPr>
    </w:p>
    <w:p>
      <w:pPr>
        <w:ind w:left="1660" w:hanging="531"/>
        <w:spacing w:after="0"/>
        <w:tabs>
          <w:tab w:leader="none" w:pos="1660"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Option, the following terms shall have the following meanings:</w:t>
      </w:r>
    </w:p>
    <w:p>
      <w:pPr>
        <w:spacing w:after="0" w:line="213" w:lineRule="exact"/>
        <w:rPr>
          <w:rFonts w:ascii="Arial" w:cs="Arial" w:eastAsia="Arial" w:hAnsi="Arial"/>
          <w:sz w:val="16"/>
          <w:szCs w:val="16"/>
          <w:color w:val="auto"/>
        </w:rPr>
      </w:pPr>
    </w:p>
    <w:p>
      <w:pPr>
        <w:jc w:val="both"/>
        <w:ind w:right="20" w:firstLine="1696"/>
        <w:spacing w:after="0" w:line="314" w:lineRule="auto"/>
        <w:tabs>
          <w:tab w:leader="none" w:pos="2198" w:val="left"/>
        </w:tabs>
        <w:numPr>
          <w:ilvl w:val="1"/>
          <w:numId w:val="20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06" w:name="page307"/>
    <w:bookmarkEnd w:id="306"/>
    <w:p>
      <w:pPr>
        <w:ind w:left="2085" w:hanging="384"/>
        <w:spacing w:after="0"/>
        <w:tabs>
          <w:tab w:leader="none" w:pos="2085" w:val="left"/>
        </w:tabs>
        <w:numPr>
          <w:ilvl w:val="1"/>
          <w:numId w:val="2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Bloomberg</w:t>
      </w:r>
      <w:r>
        <w:rPr>
          <w:rFonts w:ascii="Arial" w:cs="Arial" w:eastAsia="Arial" w:hAnsi="Arial"/>
          <w:sz w:val="16"/>
          <w:szCs w:val="16"/>
          <w:color w:val="auto"/>
        </w:rPr>
        <w:t>” means Bloomberg Financial Markets.</w:t>
      </w:r>
    </w:p>
    <w:p>
      <w:pPr>
        <w:spacing w:after="0" w:line="217" w:lineRule="exact"/>
        <w:rPr>
          <w:rFonts w:ascii="Arial" w:cs="Arial" w:eastAsia="Arial" w:hAnsi="Arial"/>
          <w:sz w:val="16"/>
          <w:szCs w:val="16"/>
          <w:color w:val="auto"/>
        </w:rPr>
      </w:pPr>
    </w:p>
    <w:p>
      <w:pPr>
        <w:ind w:left="2165" w:hanging="464"/>
        <w:spacing w:after="0"/>
        <w:tabs>
          <w:tab w:leader="none" w:pos="2165" w:val="left"/>
        </w:tabs>
        <w:numPr>
          <w:ilvl w:val="1"/>
          <w:numId w:val="2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any day other than Saturday, Sunday or other day on which commercial banks in The City of New York are authorized or</w:t>
      </w:r>
    </w:p>
    <w:p>
      <w:pPr>
        <w:spacing w:after="0" w:line="43" w:lineRule="exact"/>
        <w:rPr>
          <w:rFonts w:ascii="Arial" w:cs="Arial" w:eastAsia="Arial" w:hAnsi="Arial"/>
          <w:sz w:val="14"/>
          <w:szCs w:val="14"/>
          <w:color w:val="auto"/>
        </w:rPr>
      </w:pPr>
    </w:p>
    <w:p>
      <w:pPr>
        <w:ind w:left="5"/>
        <w:spacing w:after="0"/>
        <w:rPr>
          <w:rFonts w:ascii="Arial" w:cs="Arial" w:eastAsia="Arial" w:hAnsi="Arial"/>
          <w:sz w:val="14"/>
          <w:szCs w:val="14"/>
          <w:color w:val="auto"/>
        </w:rPr>
      </w:pPr>
      <w:r>
        <w:rPr>
          <w:rFonts w:ascii="Arial" w:cs="Arial" w:eastAsia="Arial" w:hAnsi="Arial"/>
          <w:sz w:val="16"/>
          <w:szCs w:val="16"/>
          <w:color w:val="auto"/>
        </w:rPr>
        <w:t>required by law to remain closed.</w:t>
      </w:r>
    </w:p>
    <w:p>
      <w:pPr>
        <w:spacing w:after="0" w:line="202" w:lineRule="exact"/>
        <w:rPr>
          <w:rFonts w:ascii="Arial" w:cs="Arial" w:eastAsia="Arial" w:hAnsi="Arial"/>
          <w:sz w:val="14"/>
          <w:szCs w:val="14"/>
          <w:color w:val="auto"/>
        </w:rPr>
      </w:pPr>
    </w:p>
    <w:p>
      <w:pPr>
        <w:jc w:val="both"/>
        <w:ind w:left="5" w:firstLine="1696"/>
        <w:spacing w:after="0" w:line="287" w:lineRule="auto"/>
        <w:tabs>
          <w:tab w:leader="none" w:pos="2283" w:val="left"/>
        </w:tabs>
        <w:numPr>
          <w:ilvl w:val="1"/>
          <w:numId w:val="20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Bid Price</w:t>
      </w:r>
      <w:r>
        <w:rPr>
          <w:rFonts w:ascii="Arial" w:cs="Arial" w:eastAsia="Arial" w:hAnsi="Arial"/>
          <w:sz w:val="14"/>
          <w:szCs w:val="14"/>
          <w:color w:val="auto"/>
        </w:rPr>
        <w:t>” and “</w:t>
      </w:r>
      <w:r>
        <w:rPr>
          <w:rFonts w:ascii="Arial" w:cs="Arial" w:eastAsia="Arial" w:hAnsi="Arial"/>
          <w:sz w:val="14"/>
          <w:szCs w:val="14"/>
          <w:b w:val="1"/>
          <w:bCs w:val="1"/>
          <w:color w:val="auto"/>
        </w:rPr>
        <w:t>Closing Sale Price</w:t>
      </w:r>
      <w:r>
        <w:rPr>
          <w:rFonts w:ascii="Arial" w:cs="Arial" w:eastAsia="Arial" w:hAnsi="Arial"/>
          <w:sz w:val="14"/>
          <w:szCs w:val="14"/>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If the Company and the Purchaser are unable to agree upon the fair market value of such security, then such dispute shall be resolved pursuant to Section</w:t>
      </w:r>
    </w:p>
    <w:p>
      <w:pPr>
        <w:spacing w:after="0" w:line="1" w:lineRule="exact"/>
        <w:rPr>
          <w:rFonts w:ascii="Arial" w:cs="Arial" w:eastAsia="Arial" w:hAnsi="Arial"/>
          <w:sz w:val="14"/>
          <w:szCs w:val="14"/>
          <w:color w:val="auto"/>
        </w:rPr>
      </w:pPr>
    </w:p>
    <w:p>
      <w:pPr>
        <w:ind w:left="5" w:right="20" w:hanging="5"/>
        <w:spacing w:after="0" w:line="253" w:lineRule="auto"/>
        <w:tabs>
          <w:tab w:leader="none" w:pos="256"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All such determinations to be appropriately adjusted for any stock dividend, stock split, stock combination, reclassification or other similar transaction during the applicable calculation period.</w:t>
      </w:r>
    </w:p>
    <w:p>
      <w:pPr>
        <w:spacing w:after="0" w:line="187" w:lineRule="exact"/>
        <w:rPr>
          <w:rFonts w:ascii="Arial" w:cs="Arial" w:eastAsia="Arial" w:hAnsi="Arial"/>
          <w:sz w:val="16"/>
          <w:szCs w:val="16"/>
          <w:color w:val="auto"/>
        </w:rPr>
      </w:pPr>
    </w:p>
    <w:p>
      <w:pPr>
        <w:ind w:left="5" w:firstLine="1696"/>
        <w:spacing w:after="0" w:line="273" w:lineRule="auto"/>
        <w:tabs>
          <w:tab w:leader="none" w:pos="2224" w:val="left"/>
        </w:tabs>
        <w:numPr>
          <w:ilvl w:val="1"/>
          <w:numId w:val="2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(i) the Common Stock, no par value per share, of LifeMap, and (ii) any share capital into which such Common Stock shall have been changed or any share capital resulting from a reclassification of such Common Stock.</w:t>
      </w:r>
    </w:p>
    <w:p>
      <w:pPr>
        <w:spacing w:after="0" w:line="172" w:lineRule="exact"/>
        <w:rPr>
          <w:rFonts w:ascii="Arial" w:cs="Arial" w:eastAsia="Arial" w:hAnsi="Arial"/>
          <w:sz w:val="16"/>
          <w:szCs w:val="16"/>
          <w:color w:val="auto"/>
        </w:rPr>
      </w:pPr>
    </w:p>
    <w:p>
      <w:pPr>
        <w:ind w:left="5" w:right="20" w:firstLine="1696"/>
        <w:spacing w:after="0" w:line="273" w:lineRule="auto"/>
        <w:tabs>
          <w:tab w:leader="none" w:pos="2124" w:val="left"/>
        </w:tabs>
        <w:numPr>
          <w:ilvl w:val="1"/>
          <w:numId w:val="2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Market</w:t>
      </w:r>
      <w:r>
        <w:rPr>
          <w:rFonts w:ascii="Arial" w:cs="Arial" w:eastAsia="Arial" w:hAnsi="Arial"/>
          <w:sz w:val="16"/>
          <w:szCs w:val="16"/>
          <w:color w:val="auto"/>
        </w:rPr>
        <w:t>” means the NYSE, the NYSE MKT, The NASDAQ Global Market, The NASDAQ Global Select Market, the NASDAQ Capital Market, or the OTC Bulletin Board.</w:t>
      </w:r>
    </w:p>
    <w:p>
      <w:pPr>
        <w:spacing w:after="0" w:line="172" w:lineRule="exact"/>
        <w:rPr>
          <w:rFonts w:ascii="Arial" w:cs="Arial" w:eastAsia="Arial" w:hAnsi="Arial"/>
          <w:sz w:val="16"/>
          <w:szCs w:val="16"/>
          <w:color w:val="auto"/>
        </w:rPr>
      </w:pPr>
    </w:p>
    <w:p>
      <w:pPr>
        <w:ind w:left="2085" w:hanging="384"/>
        <w:spacing w:after="0"/>
        <w:tabs>
          <w:tab w:leader="none" w:pos="2085" w:val="left"/>
        </w:tabs>
        <w:numPr>
          <w:ilvl w:val="1"/>
          <w:numId w:val="207"/>
        </w:numPr>
        <w:rPr>
          <w:rFonts w:ascii="Arial" w:cs="Arial" w:eastAsia="Arial" w:hAnsi="Arial"/>
          <w:sz w:val="16"/>
          <w:szCs w:val="16"/>
          <w:color w:val="auto"/>
        </w:rPr>
      </w:pP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means the Securities Exchange Act of 1934, as amended.</w:t>
      </w:r>
    </w:p>
    <w:p>
      <w:pPr>
        <w:spacing w:after="0" w:line="217" w:lineRule="exact"/>
        <w:rPr>
          <w:rFonts w:ascii="Arial" w:cs="Arial" w:eastAsia="Arial" w:hAnsi="Arial"/>
          <w:sz w:val="16"/>
          <w:szCs w:val="16"/>
          <w:color w:val="auto"/>
        </w:rPr>
      </w:pPr>
    </w:p>
    <w:p>
      <w:pPr>
        <w:ind w:left="5" w:firstLine="1696"/>
        <w:spacing w:after="0" w:line="273" w:lineRule="auto"/>
        <w:tabs>
          <w:tab w:leader="none" w:pos="2177" w:val="left"/>
        </w:tabs>
        <w:numPr>
          <w:ilvl w:val="1"/>
          <w:numId w:val="2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has the meaning ascribed in Section 1, provided, that, if March 4, 2019 falls on a day other than a Business Day or on which trading does not take place on the Principal Market (a “</w:t>
      </w:r>
      <w:r>
        <w:rPr>
          <w:rFonts w:ascii="Arial" w:cs="Arial" w:eastAsia="Arial" w:hAnsi="Arial"/>
          <w:sz w:val="16"/>
          <w:szCs w:val="16"/>
          <w:b w:val="1"/>
          <w:bCs w:val="1"/>
          <w:color w:val="auto"/>
        </w:rPr>
        <w:t>Holiday</w:t>
      </w:r>
      <w:r>
        <w:rPr>
          <w:rFonts w:ascii="Arial" w:cs="Arial" w:eastAsia="Arial" w:hAnsi="Arial"/>
          <w:sz w:val="16"/>
          <w:szCs w:val="16"/>
          <w:color w:val="auto"/>
        </w:rPr>
        <w:t>”), the next day that is not a Holiday shall apply.</w:t>
      </w:r>
    </w:p>
    <w:p>
      <w:pPr>
        <w:spacing w:after="0" w:line="172" w:lineRule="exact"/>
        <w:rPr>
          <w:rFonts w:ascii="Arial" w:cs="Arial" w:eastAsia="Arial" w:hAnsi="Arial"/>
          <w:sz w:val="16"/>
          <w:szCs w:val="16"/>
          <w:color w:val="auto"/>
        </w:rPr>
      </w:pPr>
    </w:p>
    <w:p>
      <w:pPr>
        <w:ind w:left="5" w:right="20" w:firstLine="1696"/>
        <w:spacing w:after="0" w:line="273" w:lineRule="auto"/>
        <w:tabs>
          <w:tab w:leader="none" w:pos="2124" w:val="left"/>
        </w:tabs>
        <w:numPr>
          <w:ilvl w:val="1"/>
          <w:numId w:val="2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limited liability company, a partnership, a joint venture, a corporation, a trust, an unincorporated organization, any other entity and a government or any department or agency thereof.</w:t>
      </w:r>
    </w:p>
    <w:p>
      <w:pPr>
        <w:spacing w:after="0" w:line="172" w:lineRule="exact"/>
        <w:rPr>
          <w:rFonts w:ascii="Arial" w:cs="Arial" w:eastAsia="Arial" w:hAnsi="Arial"/>
          <w:sz w:val="16"/>
          <w:szCs w:val="16"/>
          <w:color w:val="auto"/>
        </w:rPr>
      </w:pPr>
    </w:p>
    <w:p>
      <w:pPr>
        <w:ind w:left="2105" w:hanging="404"/>
        <w:spacing w:after="0"/>
        <w:tabs>
          <w:tab w:leader="none" w:pos="2105" w:val="left"/>
        </w:tabs>
        <w:numPr>
          <w:ilvl w:val="1"/>
          <w:numId w:val="2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Market</w:t>
      </w:r>
      <w:r>
        <w:rPr>
          <w:rFonts w:ascii="Arial" w:cs="Arial" w:eastAsia="Arial" w:hAnsi="Arial"/>
          <w:sz w:val="16"/>
          <w:szCs w:val="16"/>
          <w:color w:val="auto"/>
        </w:rPr>
        <w:t>” means the principal Eligible Market on which the Common Stock trades.</w:t>
      </w:r>
    </w:p>
    <w:p>
      <w:pPr>
        <w:spacing w:after="0" w:line="217" w:lineRule="exact"/>
        <w:rPr>
          <w:rFonts w:ascii="Arial" w:cs="Arial" w:eastAsia="Arial" w:hAnsi="Arial"/>
          <w:sz w:val="16"/>
          <w:szCs w:val="16"/>
          <w:color w:val="auto"/>
        </w:rPr>
      </w:pPr>
    </w:p>
    <w:p>
      <w:pPr>
        <w:ind w:left="2105" w:hanging="404"/>
        <w:spacing w:after="0"/>
        <w:tabs>
          <w:tab w:leader="none" w:pos="2105" w:val="left"/>
        </w:tabs>
        <w:numPr>
          <w:ilvl w:val="1"/>
          <w:numId w:val="2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w:t>
      </w:r>
    </w:p>
    <w:p>
      <w:pPr>
        <w:spacing w:after="0" w:line="217" w:lineRule="exact"/>
        <w:rPr>
          <w:rFonts w:ascii="Arial" w:cs="Arial" w:eastAsia="Arial" w:hAnsi="Arial"/>
          <w:sz w:val="16"/>
          <w:szCs w:val="16"/>
          <w:color w:val="auto"/>
        </w:rPr>
      </w:pPr>
    </w:p>
    <w:p>
      <w:pPr>
        <w:jc w:val="both"/>
        <w:ind w:left="5" w:firstLine="1696"/>
        <w:spacing w:after="0" w:line="255" w:lineRule="auto"/>
        <w:tabs>
          <w:tab w:leader="none" w:pos="2151" w:val="left"/>
        </w:tabs>
        <w:numPr>
          <w:ilvl w:val="1"/>
          <w:numId w:val="2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6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[Signature Page Follows]</w:t>
      </w:r>
    </w:p>
    <w:p>
      <w:pPr>
        <w:spacing w:after="0" w:line="372"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3" w:right="219" w:bottom="1440" w:gutter="0" w:footer="0" w:header="0"/>
        </w:sectPr>
      </w:pPr>
    </w:p>
    <w:bookmarkStart w:id="307" w:name="page308"/>
    <w:bookmarkEnd w:id="307"/>
    <w:p>
      <w:pPr>
        <w:ind w:left="560"/>
        <w:spacing w:after="0"/>
        <w:rPr>
          <w:sz w:val="20"/>
          <w:szCs w:val="20"/>
          <w:color w:val="auto"/>
        </w:rPr>
      </w:pPr>
      <w:r>
        <w:rPr>
          <w:rFonts w:ascii="Arial" w:cs="Arial" w:eastAsia="Arial" w:hAnsi="Arial"/>
          <w:sz w:val="14"/>
          <w:szCs w:val="14"/>
          <w:b w:val="1"/>
          <w:bCs w:val="1"/>
          <w:color w:val="auto"/>
        </w:rPr>
        <w:t xml:space="preserve">IN WITNESS WHEREOF, </w:t>
      </w:r>
      <w:r>
        <w:rPr>
          <w:rFonts w:ascii="Arial" w:cs="Arial" w:eastAsia="Arial" w:hAnsi="Arial"/>
          <w:sz w:val="14"/>
          <w:szCs w:val="14"/>
          <w:color w:val="auto"/>
        </w:rPr>
        <w:t>the Company and Purchaser have caused this Option Agreement to be duly executed as of the Effective Date.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BIOTIME, INC.</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D.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11430</wp:posOffset>
            </wp:positionV>
            <wp:extent cx="2663825" cy="152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663825"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Name: Michael D. West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Title: Chief Executive Officer</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Milton H. Dresner Revocable Living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2911475" cy="152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911475" cy="15240"/>
                    </a:xfrm>
                    <a:prstGeom prst="rect">
                      <a:avLst/>
                    </a:prstGeom>
                    <a:noFill/>
                  </pic:spPr>
                </pic:pic>
              </a:graphicData>
            </a:graphic>
          </wp:anchor>
        </w:drawing>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Milton H. Dresner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11430</wp:posOffset>
            </wp:positionV>
            <wp:extent cx="2663825" cy="152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663825"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Name: Milton H. Dresner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Title: Trustee of The Million H. Dresner Revocable Living Trust</w:t>
      </w:r>
    </w:p>
    <w:p>
      <w:pPr>
        <w:spacing w:after="0" w:line="357"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308" w:name="page309"/>
    <w:bookmarkEnd w:id="308"/>
    <w:p>
      <w:pPr>
        <w:jc w:val="right"/>
        <w:spacing w:after="0"/>
        <w:rPr>
          <w:sz w:val="20"/>
          <w:szCs w:val="20"/>
          <w:color w:val="auto"/>
        </w:rPr>
      </w:pPr>
      <w:r>
        <w:rPr>
          <w:rFonts w:ascii="Arial" w:cs="Arial" w:eastAsia="Arial" w:hAnsi="Arial"/>
          <w:sz w:val="16"/>
          <w:szCs w:val="16"/>
          <w:b w:val="1"/>
          <w:bCs w:val="1"/>
          <w:color w:val="auto"/>
        </w:rPr>
        <w:t>EXHIBIT A</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EXERCISE NOTICE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EXECUTED BY THE REGISTERED PURCHASER TO EXERCISE THIS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OPTION TO PURCHASE LIFEMAP COMMON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BIOTIME, INC.</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undersigned Purchaser hereby exercises the right to purchase _________________ LifeMap Shares (“</w:t>
      </w:r>
      <w:r>
        <w:rPr>
          <w:rFonts w:ascii="Arial" w:cs="Arial" w:eastAsia="Arial" w:hAnsi="Arial"/>
          <w:sz w:val="14"/>
          <w:szCs w:val="14"/>
          <w:b w:val="1"/>
          <w:bCs w:val="1"/>
          <w:color w:val="auto"/>
        </w:rPr>
        <w:t>LifeMap Shares</w:t>
      </w:r>
      <w:r>
        <w:rPr>
          <w:rFonts w:ascii="Arial" w:cs="Arial" w:eastAsia="Arial" w:hAnsi="Arial"/>
          <w:sz w:val="14"/>
          <w:szCs w:val="14"/>
          <w:color w:val="auto"/>
        </w:rPr>
        <w:t>”) of LifeMap Sciences, Inc., a California</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corporation, held by BioTime, Inc. (the “</w:t>
      </w:r>
      <w:r>
        <w:rPr>
          <w:rFonts w:ascii="Arial" w:cs="Arial" w:eastAsia="Arial" w:hAnsi="Arial"/>
          <w:sz w:val="15"/>
          <w:szCs w:val="15"/>
          <w:b w:val="1"/>
          <w:bCs w:val="1"/>
          <w:color w:val="auto"/>
        </w:rPr>
        <w:t>Company</w:t>
      </w:r>
      <w:r>
        <w:rPr>
          <w:rFonts w:ascii="Arial" w:cs="Arial" w:eastAsia="Arial" w:hAnsi="Arial"/>
          <w:sz w:val="15"/>
          <w:szCs w:val="15"/>
          <w:color w:val="auto"/>
        </w:rPr>
        <w:t>”), pursuant to the attached Option Agreement and tenders herewith __________ shares of Series A Preferred Stock, duly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endorsed in blank, in exchange for such LifeMap Shares.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Capitalized terms used herein and not otherwise defined shall have the respective meanings set forth in the Option Agreement.</w:t>
      </w:r>
    </w:p>
    <w:p>
      <w:pPr>
        <w:spacing w:after="0" w:line="21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Date:</w:t>
        <w:tab/>
        <w:t>_______________ 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251460</wp:posOffset>
            </wp:positionV>
            <wp:extent cx="3263900" cy="152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387"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Name of Registered Purchaser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11430</wp:posOffset>
            </wp:positionV>
            <wp:extent cx="2903855" cy="152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903855" cy="15240"/>
                    </a:xfrm>
                    <a:prstGeom prst="rect">
                      <a:avLst/>
                    </a:prstGeom>
                    <a:noFill/>
                  </pic:spPr>
                </pic:pic>
              </a:graphicData>
            </a:graphic>
          </wp:anchor>
        </w:drawing>
      </w:r>
    </w:p>
    <w:p>
      <w:pPr>
        <w:spacing w:after="0" w:line="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Name:</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[NOTE: The above signature should correspond exactly with the name of the Purchaser in the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63765" cy="152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309" w:name="page310"/>
    <w:bookmarkEnd w:id="309"/>
    <w:p>
      <w:pPr>
        <w:jc w:val="center"/>
        <w:spacing w:after="0"/>
        <w:rPr>
          <w:sz w:val="20"/>
          <w:szCs w:val="20"/>
          <w:color w:val="auto"/>
        </w:rPr>
      </w:pPr>
      <w:r>
        <w:rPr>
          <w:rFonts w:ascii="Arial" w:cs="Arial" w:eastAsia="Arial" w:hAnsi="Arial"/>
          <w:sz w:val="16"/>
          <w:szCs w:val="16"/>
          <w:b w:val="1"/>
          <w:bCs w:val="1"/>
          <w:color w:val="auto"/>
        </w:rPr>
        <w:t>ACKNOWLEDGMENT</w:t>
      </w:r>
    </w:p>
    <w:p>
      <w:pPr>
        <w:spacing w:after="0" w:line="198"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The Company hereby acknowledges this Exercise Notice and hereby directs [Transfer Agent] to issue the above indicated number of LifeMap Shares in accordance with the Transfer Agent Instructions dated ________ from the Company and acknowledged and agreed to by [Transfer Agent].</w:t>
      </w:r>
    </w:p>
    <w:p>
      <w:pPr>
        <w:spacing w:after="0" w:line="177"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BIOTIME, INC.</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11430</wp:posOffset>
            </wp:positionV>
            <wp:extent cx="2753995" cy="152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753995" cy="15240"/>
                    </a:xfrm>
                    <a:prstGeom prst="rect">
                      <a:avLst/>
                    </a:prstGeom>
                    <a:noFill/>
                  </pic:spPr>
                </pic:pic>
              </a:graphicData>
            </a:graphic>
          </wp:anchor>
        </w:drawing>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Name:</w:t>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263765" cy="152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6"/>
          <w:szCs w:val="16"/>
          <w:b w:val="1"/>
          <w:bCs w:val="1"/>
          <w:color w:val="auto"/>
        </w:rPr>
        <w:t>OPTION AGREEMENT</w:t>
      </w:r>
    </w:p>
    <w:p>
      <w:pPr>
        <w:spacing w:after="0" w:line="194" w:lineRule="exact"/>
        <w:rPr>
          <w:sz w:val="20"/>
          <w:szCs w:val="20"/>
          <w:color w:val="auto"/>
        </w:rPr>
      </w:pPr>
    </w:p>
    <w:p>
      <w:pPr>
        <w:jc w:val="both"/>
        <w:ind w:right="20" w:firstLine="1134"/>
        <w:spacing w:after="0" w:line="259" w:lineRule="auto"/>
        <w:rPr>
          <w:sz w:val="20"/>
          <w:szCs w:val="20"/>
          <w:color w:val="auto"/>
        </w:rPr>
      </w:pPr>
      <w:r>
        <w:rPr>
          <w:rFonts w:ascii="Arial" w:cs="Arial" w:eastAsia="Arial" w:hAnsi="Arial"/>
          <w:sz w:val="16"/>
          <w:szCs w:val="16"/>
          <w:color w:val="auto"/>
        </w:rPr>
        <w:t>This Option Agreement (“Option”) is entered into as of March 4, 2014 (the “</w:t>
      </w:r>
      <w:r>
        <w:rPr>
          <w:rFonts w:ascii="Arial" w:cs="Arial" w:eastAsia="Arial" w:hAnsi="Arial"/>
          <w:sz w:val="16"/>
          <w:szCs w:val="16"/>
          <w:b w:val="1"/>
          <w:bCs w:val="1"/>
          <w:color w:val="auto"/>
        </w:rPr>
        <w:t>Effective Date</w:t>
      </w:r>
      <w:r>
        <w:rPr>
          <w:rFonts w:ascii="Arial" w:cs="Arial" w:eastAsia="Arial" w:hAnsi="Arial"/>
          <w:sz w:val="16"/>
          <w:szCs w:val="16"/>
          <w:color w:val="auto"/>
        </w:rPr>
        <w:t>”) by BioTime, Inc., a California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British &amp; American Investment Trust plc (the “</w:t>
      </w:r>
      <w:r>
        <w:rPr>
          <w:rFonts w:ascii="Arial" w:cs="Arial" w:eastAsia="Arial" w:hAnsi="Arial"/>
          <w:sz w:val="16"/>
          <w:szCs w:val="16"/>
          <w:b w:val="1"/>
          <w:bCs w:val="1"/>
          <w:color w:val="auto"/>
        </w:rPr>
        <w:t>Purchaser</w:t>
      </w:r>
      <w:r>
        <w:rPr>
          <w:rFonts w:ascii="Arial" w:cs="Arial" w:eastAsia="Arial" w:hAnsi="Arial"/>
          <w:sz w:val="16"/>
          <w:szCs w:val="16"/>
          <w:color w:val="auto"/>
        </w:rPr>
        <w:t>”) in connection that certain Preferred Stock Purchase Agreement, dated March 4, 2014, between the Company and Purchaser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w:t>
      </w:r>
    </w:p>
    <w:p>
      <w:pPr>
        <w:spacing w:after="0" w:line="188" w:lineRule="exact"/>
        <w:rPr>
          <w:sz w:val="20"/>
          <w:szCs w:val="20"/>
          <w:color w:val="auto"/>
        </w:rPr>
      </w:pPr>
    </w:p>
    <w:p>
      <w:pPr>
        <w:ind w:left="1640" w:hanging="511"/>
        <w:spacing w:after="0"/>
        <w:tabs>
          <w:tab w:leader="none" w:pos="1640"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GRANT OF OPTION.</w:t>
      </w:r>
    </w:p>
    <w:p>
      <w:pPr>
        <w:spacing w:after="0" w:line="213" w:lineRule="exact"/>
        <w:rPr>
          <w:rFonts w:ascii="Arial" w:cs="Arial" w:eastAsia="Arial" w:hAnsi="Arial"/>
          <w:sz w:val="16"/>
          <w:szCs w:val="16"/>
          <w:color w:val="auto"/>
        </w:rPr>
      </w:pPr>
    </w:p>
    <w:p>
      <w:pPr>
        <w:jc w:val="both"/>
        <w:ind w:right="20" w:firstLine="1696"/>
        <w:spacing w:after="0" w:line="298" w:lineRule="auto"/>
        <w:tabs>
          <w:tab w:leader="none" w:pos="2130" w:val="left"/>
        </w:tabs>
        <w:numPr>
          <w:ilvl w:val="1"/>
          <w:numId w:val="208"/>
        </w:numPr>
        <w:rPr>
          <w:rFonts w:ascii="Arial" w:cs="Arial" w:eastAsia="Arial" w:hAnsi="Arial"/>
          <w:sz w:val="14"/>
          <w:szCs w:val="14"/>
          <w:color w:val="auto"/>
        </w:rPr>
      </w:pPr>
      <w:r>
        <w:rPr>
          <w:rFonts w:ascii="Arial" w:cs="Arial" w:eastAsia="Arial" w:hAnsi="Arial"/>
          <w:sz w:val="14"/>
          <w:szCs w:val="14"/>
          <w:u w:val="single" w:color="auto"/>
          <w:color w:val="auto"/>
        </w:rPr>
        <w:t>Option</w:t>
      </w:r>
      <w:r>
        <w:rPr>
          <w:rFonts w:ascii="Arial" w:cs="Arial" w:eastAsia="Arial" w:hAnsi="Arial"/>
          <w:sz w:val="14"/>
          <w:szCs w:val="14"/>
          <w:color w:val="auto"/>
        </w:rPr>
        <w:t>. The Company hereby grants to Purchaser the option (the “</w:t>
      </w:r>
      <w:r>
        <w:rPr>
          <w:rFonts w:ascii="Arial" w:cs="Arial" w:eastAsia="Arial" w:hAnsi="Arial"/>
          <w:sz w:val="14"/>
          <w:szCs w:val="14"/>
          <w:b w:val="1"/>
          <w:bCs w:val="1"/>
          <w:color w:val="auto"/>
        </w:rPr>
        <w:t>Option</w:t>
      </w:r>
      <w:r>
        <w:rPr>
          <w:rFonts w:ascii="Arial" w:cs="Arial" w:eastAsia="Arial" w:hAnsi="Arial"/>
          <w:sz w:val="14"/>
          <w:szCs w:val="14"/>
          <w:color w:val="auto"/>
        </w:rPr>
        <w:t>”) to exchange shares of the Company’s Series A Convertible Preferred Stock (“</w:t>
      </w:r>
      <w:r>
        <w:rPr>
          <w:rFonts w:ascii="Arial" w:cs="Arial" w:eastAsia="Arial" w:hAnsi="Arial"/>
          <w:sz w:val="14"/>
          <w:szCs w:val="14"/>
          <w:b w:val="1"/>
          <w:bCs w:val="1"/>
          <w:color w:val="auto"/>
        </w:rPr>
        <w:t>Series A Preferred Stock</w:t>
      </w: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for Common Stock of LifeMap Sciences, Inc. (“</w:t>
      </w:r>
      <w:r>
        <w:rPr>
          <w:rFonts w:ascii="Arial" w:cs="Arial" w:eastAsia="Arial" w:hAnsi="Arial"/>
          <w:sz w:val="14"/>
          <w:szCs w:val="14"/>
          <w:b w:val="1"/>
          <w:bCs w:val="1"/>
          <w:color w:val="auto"/>
        </w:rPr>
        <w:t>LifeMap</w:t>
      </w:r>
      <w:r>
        <w:rPr>
          <w:rFonts w:ascii="Arial" w:cs="Arial" w:eastAsia="Arial" w:hAnsi="Arial"/>
          <w:sz w:val="14"/>
          <w:szCs w:val="14"/>
          <w:color w:val="auto"/>
        </w:rPr>
        <w:t>”) owned by the Company (the “</w:t>
      </w:r>
      <w:r>
        <w:rPr>
          <w:rFonts w:ascii="Arial" w:cs="Arial" w:eastAsia="Arial" w:hAnsi="Arial"/>
          <w:sz w:val="14"/>
          <w:szCs w:val="14"/>
          <w:b w:val="1"/>
          <w:bCs w:val="1"/>
          <w:color w:val="auto"/>
        </w:rPr>
        <w:t>LifeMap Shares</w:t>
      </w:r>
      <w:r>
        <w:rPr>
          <w:rFonts w:ascii="Arial" w:cs="Arial" w:eastAsia="Arial" w:hAnsi="Arial"/>
          <w:sz w:val="14"/>
          <w:szCs w:val="14"/>
          <w:color w:val="auto"/>
        </w:rPr>
        <w:t>”), free of any liens and charges and preemptive or similar rights. The Option shall expire if not exercised on or before the earliest to occur of (a) 5:00 p.m. New York time on March 4, 2019</w:t>
      </w:r>
      <w:r>
        <w:rPr>
          <w:rFonts w:ascii="Arial" w:cs="Arial" w:eastAsia="Arial" w:hAnsi="Arial"/>
          <w:sz w:val="14"/>
          <w:szCs w:val="14"/>
          <w:i w:val="1"/>
          <w:iCs w:val="1"/>
          <w:color w:val="auto"/>
        </w:rPr>
        <w:t>,</w:t>
      </w:r>
      <w:r>
        <w:rPr>
          <w:rFonts w:ascii="Arial" w:cs="Arial" w:eastAsia="Arial" w:hAnsi="Arial"/>
          <w:sz w:val="14"/>
          <w:szCs w:val="14"/>
          <w:color w:val="auto"/>
        </w:rPr>
        <w:t xml:space="preserve"> (b) the date on which all of the share of Series A Preferred Stock held by Purchaser have been converted into common shares of the Company, or the date on which all of the shares of Series A Preferred Stock issued by the Company to Purchaser shall have been sold or transferred otherwise than in a sale or transfer described in Section 4(a) (the “</w:t>
      </w:r>
      <w:r>
        <w:rPr>
          <w:rFonts w:ascii="Arial" w:cs="Arial" w:eastAsia="Arial" w:hAnsi="Arial"/>
          <w:sz w:val="14"/>
          <w:szCs w:val="14"/>
          <w:b w:val="1"/>
          <w:bCs w:val="1"/>
          <w:color w:val="auto"/>
        </w:rPr>
        <w:t>Expiration Date</w:t>
      </w:r>
      <w:r>
        <w:rPr>
          <w:rFonts w:ascii="Arial" w:cs="Arial" w:eastAsia="Arial" w:hAnsi="Arial"/>
          <w:sz w:val="14"/>
          <w:szCs w:val="14"/>
          <w:color w:val="auto"/>
        </w:rPr>
        <w:t>”).</w:t>
      </w:r>
    </w:p>
    <w:p>
      <w:pPr>
        <w:spacing w:after="0" w:line="162" w:lineRule="exact"/>
        <w:rPr>
          <w:rFonts w:ascii="Arial" w:cs="Arial" w:eastAsia="Arial" w:hAnsi="Arial"/>
          <w:sz w:val="14"/>
          <w:szCs w:val="14"/>
          <w:color w:val="auto"/>
        </w:rPr>
      </w:pPr>
    </w:p>
    <w:p>
      <w:pPr>
        <w:ind w:right="20" w:firstLine="1696"/>
        <w:spacing w:after="0" w:line="267" w:lineRule="auto"/>
        <w:tabs>
          <w:tab w:leader="none" w:pos="2186" w:val="left"/>
        </w:tabs>
        <w:numPr>
          <w:ilvl w:val="1"/>
          <w:numId w:val="208"/>
        </w:numPr>
        <w:rPr>
          <w:rFonts w:ascii="Arial" w:cs="Arial" w:eastAsia="Arial" w:hAnsi="Arial"/>
          <w:sz w:val="16"/>
          <w:szCs w:val="16"/>
          <w:color w:val="auto"/>
        </w:rPr>
      </w:pPr>
      <w:r>
        <w:rPr>
          <w:rFonts w:ascii="Arial" w:cs="Arial" w:eastAsia="Arial" w:hAnsi="Arial"/>
          <w:sz w:val="16"/>
          <w:szCs w:val="16"/>
          <w:u w:val="single" w:color="auto"/>
          <w:color w:val="auto"/>
        </w:rPr>
        <w:t>Exchange Ratio</w:t>
      </w:r>
      <w:r>
        <w:rPr>
          <w:rFonts w:ascii="Arial" w:cs="Arial" w:eastAsia="Arial" w:hAnsi="Arial"/>
          <w:sz w:val="16"/>
          <w:szCs w:val="16"/>
          <w:color w:val="auto"/>
        </w:rPr>
        <w:t>. Series A Preferred Stock may be exchanged for LifeMap Shares at the ratio of one share of Series A Preferred Stock for 12.5 LifeMap Shares, subject to adjustment as provided in Section 3 (the “</w:t>
      </w:r>
      <w:r>
        <w:rPr>
          <w:rFonts w:ascii="Arial" w:cs="Arial" w:eastAsia="Arial" w:hAnsi="Arial"/>
          <w:sz w:val="16"/>
          <w:szCs w:val="16"/>
          <w:b w:val="1"/>
          <w:bCs w:val="1"/>
          <w:color w:val="auto"/>
        </w:rPr>
        <w:t>Exchange Ratio</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right="60" w:firstLine="1696"/>
        <w:spacing w:after="0" w:line="340" w:lineRule="auto"/>
        <w:tabs>
          <w:tab w:leader="none" w:pos="2083" w:val="left"/>
        </w:tabs>
        <w:numPr>
          <w:ilvl w:val="1"/>
          <w:numId w:val="208"/>
        </w:numPr>
        <w:rPr>
          <w:rFonts w:ascii="Arial" w:cs="Arial" w:eastAsia="Arial" w:hAnsi="Arial"/>
          <w:sz w:val="14"/>
          <w:szCs w:val="14"/>
          <w:color w:val="auto"/>
        </w:rPr>
      </w:pPr>
      <w:r>
        <w:rPr>
          <w:rFonts w:ascii="Arial" w:cs="Arial" w:eastAsia="Arial" w:hAnsi="Arial"/>
          <w:sz w:val="14"/>
          <w:szCs w:val="14"/>
          <w:u w:val="single" w:color="auto"/>
          <w:color w:val="auto"/>
        </w:rPr>
        <w:t>Minimum Exercise</w:t>
      </w:r>
      <w:r>
        <w:rPr>
          <w:rFonts w:ascii="Arial" w:cs="Arial" w:eastAsia="Arial" w:hAnsi="Arial"/>
          <w:sz w:val="14"/>
          <w:szCs w:val="14"/>
          <w:color w:val="auto"/>
        </w:rPr>
        <w:t xml:space="preserve">. This Option may be exercised by Purchaser in whole or in part;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partial exercise of this Option shall not be for less than the lower of (i) 10,000 LifeMap Shares and (ii) all of the remaining LifeMap Shares that are issuable upon the exercise of the Option held by the Purchaser.</w:t>
      </w:r>
    </w:p>
    <w:p>
      <w:pPr>
        <w:spacing w:after="0" w:line="134" w:lineRule="exact"/>
        <w:rPr>
          <w:rFonts w:ascii="Arial" w:cs="Arial" w:eastAsia="Arial" w:hAnsi="Arial"/>
          <w:sz w:val="14"/>
          <w:szCs w:val="14"/>
          <w:color w:val="auto"/>
        </w:rPr>
      </w:pPr>
    </w:p>
    <w:p>
      <w:pPr>
        <w:ind w:left="1660" w:hanging="531"/>
        <w:spacing w:after="0"/>
        <w:tabs>
          <w:tab w:leader="none" w:pos="1660"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p>
    <w:p>
      <w:pPr>
        <w:spacing w:after="0" w:line="217" w:lineRule="exact"/>
        <w:rPr>
          <w:rFonts w:ascii="Arial" w:cs="Arial" w:eastAsia="Arial" w:hAnsi="Arial"/>
          <w:sz w:val="16"/>
          <w:szCs w:val="16"/>
          <w:color w:val="auto"/>
        </w:rPr>
      </w:pPr>
    </w:p>
    <w:p>
      <w:pPr>
        <w:jc w:val="both"/>
        <w:ind w:firstLine="1696"/>
        <w:spacing w:after="0" w:line="274" w:lineRule="auto"/>
        <w:tabs>
          <w:tab w:leader="none" w:pos="2225" w:val="left"/>
        </w:tabs>
        <w:numPr>
          <w:ilvl w:val="1"/>
          <w:numId w:val="208"/>
        </w:numPr>
        <w:rPr>
          <w:rFonts w:ascii="Arial" w:cs="Arial" w:eastAsia="Arial" w:hAnsi="Arial"/>
          <w:sz w:val="14"/>
          <w:szCs w:val="14"/>
          <w:color w:val="auto"/>
        </w:rPr>
      </w:pPr>
      <w:r>
        <w:rPr>
          <w:rFonts w:ascii="Arial" w:cs="Arial" w:eastAsia="Arial" w:hAnsi="Arial"/>
          <w:sz w:val="14"/>
          <w:szCs w:val="14"/>
          <w:u w:val="single" w:color="auto"/>
          <w:color w:val="auto"/>
        </w:rPr>
        <w:t>Mechanics of Exercise</w:t>
      </w:r>
      <w:r>
        <w:rPr>
          <w:rFonts w:ascii="Arial" w:cs="Arial" w:eastAsia="Arial" w:hAnsi="Arial"/>
          <w:sz w:val="14"/>
          <w:szCs w:val="14"/>
          <w:color w:val="auto"/>
        </w:rPr>
        <w:t xml:space="preserve">. Subject to the terms and conditions hereof (including, without limitation, the limitations set forth in Section 1(c) and Section 4), this Option may be exercised by the Purchaser at any time or times on or after the Effective Date, in whole or in part, subject to Section 1(c), by (i) delivery of a written notice, in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(the “</w:t>
      </w:r>
      <w:r>
        <w:rPr>
          <w:rFonts w:ascii="Arial" w:cs="Arial" w:eastAsia="Arial" w:hAnsi="Arial"/>
          <w:sz w:val="14"/>
          <w:szCs w:val="14"/>
          <w:b w:val="1"/>
          <w:bCs w:val="1"/>
          <w:color w:val="auto"/>
        </w:rPr>
        <w:t>Exercise Notice</w:t>
      </w:r>
      <w:r>
        <w:rPr>
          <w:rFonts w:ascii="Arial" w:cs="Arial" w:eastAsia="Arial" w:hAnsi="Arial"/>
          <w:sz w:val="14"/>
          <w:szCs w:val="14"/>
          <w:color w:val="auto"/>
        </w:rPr>
        <w:t>”), duly completed and executed by Purchaser, stating Purchaser's election to exercise this Option, the number of shares of Series A Preferred Stock being tendered in exchange for LifeMap Shares upon exercise of this Option, and the number of LifeMap Shares being issued upon such exchange, and (ii) delivery of shares of Series A Preferred Stock, endorsed in blank, to the Company to be exchange for LifeMap Shares at the Exchange Ratio then in effect. On or before the first (1</w:t>
      </w:r>
      <w:r>
        <w:rPr>
          <w:rFonts w:ascii="Arial" w:cs="Arial" w:eastAsia="Arial" w:hAnsi="Arial"/>
          <w:sz w:val="23"/>
          <w:szCs w:val="23"/>
          <w:color w:val="auto"/>
          <w:vertAlign w:val="superscript"/>
        </w:rPr>
        <w:t>st</w:t>
      </w:r>
      <w:r>
        <w:rPr>
          <w:rFonts w:ascii="Arial" w:cs="Arial" w:eastAsia="Arial" w:hAnsi="Arial"/>
          <w:sz w:val="14"/>
          <w:szCs w:val="14"/>
          <w:color w:val="auto"/>
        </w:rPr>
        <w:t>) Trading Day following the date on which the Company has received the Exercise Notice and shares of Series A Preferred Stock, the Company shall transmit by facsimile an acknowledgment of confirmation of receipt of the Exercise Notice to the Purchaser and the transfer agent of the LifeMap Shares (the “</w:t>
      </w:r>
      <w:r>
        <w:rPr>
          <w:rFonts w:ascii="Arial" w:cs="Arial" w:eastAsia="Arial" w:hAnsi="Arial"/>
          <w:sz w:val="14"/>
          <w:szCs w:val="14"/>
          <w:b w:val="1"/>
          <w:bCs w:val="1"/>
          <w:color w:val="auto"/>
        </w:rPr>
        <w:t>Transfer Agent</w:t>
      </w:r>
      <w:r>
        <w:rPr>
          <w:rFonts w:ascii="Arial" w:cs="Arial" w:eastAsia="Arial" w:hAnsi="Arial"/>
          <w:sz w:val="14"/>
          <w:szCs w:val="14"/>
          <w:color w:val="auto"/>
        </w:rPr>
        <w:t>”), if any. On or before the third (3rd) Trading Day following the date on which the Company has received the Exercise Notice, so long as the Purchaser delivers a number of shares of Series A Preferred Stock sufficient for such exercise at the Exchange Ratio (the “</w:t>
      </w:r>
      <w:r>
        <w:rPr>
          <w:rFonts w:ascii="Arial" w:cs="Arial" w:eastAsia="Arial" w:hAnsi="Arial"/>
          <w:sz w:val="14"/>
          <w:szCs w:val="14"/>
          <w:b w:val="1"/>
          <w:bCs w:val="1"/>
          <w:color w:val="auto"/>
        </w:rPr>
        <w:t>Aggregate Option Exchange Shares</w:t>
      </w:r>
      <w:r>
        <w:rPr>
          <w:rFonts w:ascii="Arial" w:cs="Arial" w:eastAsia="Arial" w:hAnsi="Arial"/>
          <w:sz w:val="14"/>
          <w:szCs w:val="14"/>
          <w:color w:val="auto"/>
        </w:rPr>
        <w:t>”) on or prior to the second (2nd) Trading Day following the date on which the Company has received the Exercise Notice (the “</w:t>
      </w:r>
      <w:r>
        <w:rPr>
          <w:rFonts w:ascii="Arial" w:cs="Arial" w:eastAsia="Arial" w:hAnsi="Arial"/>
          <w:sz w:val="14"/>
          <w:szCs w:val="14"/>
          <w:b w:val="1"/>
          <w:bCs w:val="1"/>
          <w:color w:val="auto"/>
        </w:rPr>
        <w:t>Share Delivery Date</w:t>
      </w:r>
      <w:r>
        <w:rPr>
          <w:rFonts w:ascii="Arial" w:cs="Arial" w:eastAsia="Arial" w:hAnsi="Arial"/>
          <w:sz w:val="14"/>
          <w:szCs w:val="14"/>
          <w:color w:val="auto"/>
        </w:rPr>
        <w:t>”) (provided that if the Aggregate Option Exchange Shares have not been delivered by such date, the Share Delivery Date shall be one (1) Trading Day after the Aggregate Option Exchange Shares are delivered), the Company shall (X) provided that the Transfer Agent is participating in The Depository Trust Company (“</w:t>
      </w:r>
      <w:r>
        <w:rPr>
          <w:rFonts w:ascii="Arial" w:cs="Arial" w:eastAsia="Arial" w:hAnsi="Arial"/>
          <w:sz w:val="14"/>
          <w:szCs w:val="14"/>
          <w:b w:val="1"/>
          <w:bCs w:val="1"/>
          <w:color w:val="auto"/>
        </w:rPr>
        <w:t>DTC</w:t>
      </w:r>
      <w:r>
        <w:rPr>
          <w:rFonts w:ascii="Arial" w:cs="Arial" w:eastAsia="Arial" w:hAnsi="Arial"/>
          <w:sz w:val="14"/>
          <w:szCs w:val="14"/>
          <w:color w:val="auto"/>
        </w:rPr>
        <w:t>”) Fast Automated Securities Transfer Program, credit such aggregate number of LifeMap Shares to which the Purchaser is entitled pursuant to such exercise to the Purchaser's or its designee's balance account with DTC through its Deposit / Withdrawal At Custodian system, or (Y) if the Transfer Agent is not participating in the DTC Fast Automated Securities Transfer Program, or if there is no Transfer Agent, issue and dispatch by overnight courier to the address as specified in the Exercise Notice, a certificate, registered in the name of the Purchaser or its designee, for the number of LifeMap Shares to which the Purchaser is entitled pursuant to such exercise. The Company shall be responsible for all fees and expenses of the Transfer Agent and all fees and expenses with respect to the transfer of LifeMap Shares to the Purchaser, if any. No fractional LifeMap Shares are to be issued upon the exercise of this Option, but rather the number of LifeMap Shares to be issued shall be rounded down to the nearest whole number. The Company shall pay any and all taxes which may be payable with respect to the transfer of LifeMap Shares to the Purchaser upon exercise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7263765" cy="152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311" w:name="page312"/>
    <w:bookmarkEnd w:id="311"/>
    <w:p>
      <w:pPr>
        <w:jc w:val="both"/>
        <w:ind w:firstLine="1696"/>
        <w:spacing w:after="0" w:line="257" w:lineRule="auto"/>
        <w:tabs>
          <w:tab w:leader="none" w:pos="2139"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Reissue of Stock Certificate</w:t>
      </w:r>
      <w:r>
        <w:rPr>
          <w:rFonts w:ascii="Arial" w:cs="Arial" w:eastAsia="Arial" w:hAnsi="Arial"/>
          <w:sz w:val="16"/>
          <w:szCs w:val="16"/>
          <w:color w:val="auto"/>
        </w:rPr>
        <w:t>. If the Purchaser delivers to the Company a number of shares of Series A Preferred Stock greater than the Aggregate Option Exchange Shares upon the exercise of this Option, the Company shall issue to Purchaser a replacement Series A Preferred Stock certificate for the number of shares of Series A Preferred Stock in excess of the Aggregate Option Exchange Shares.</w:t>
      </w:r>
    </w:p>
    <w:p>
      <w:pPr>
        <w:spacing w:after="0" w:line="188" w:lineRule="exact"/>
        <w:rPr>
          <w:rFonts w:ascii="Arial" w:cs="Arial" w:eastAsia="Arial" w:hAnsi="Arial"/>
          <w:sz w:val="16"/>
          <w:szCs w:val="16"/>
          <w:color w:val="auto"/>
        </w:rPr>
      </w:pPr>
    </w:p>
    <w:p>
      <w:pPr>
        <w:jc w:val="both"/>
        <w:ind w:firstLine="1696"/>
        <w:spacing w:after="0" w:line="275" w:lineRule="auto"/>
        <w:tabs>
          <w:tab w:leader="none" w:pos="2178" w:val="left"/>
        </w:tabs>
        <w:numPr>
          <w:ilvl w:val="0"/>
          <w:numId w:val="209"/>
        </w:numPr>
        <w:rPr>
          <w:rFonts w:ascii="Arial" w:cs="Arial" w:eastAsia="Arial" w:hAnsi="Arial"/>
          <w:sz w:val="14"/>
          <w:szCs w:val="14"/>
          <w:color w:val="auto"/>
        </w:rPr>
      </w:pPr>
      <w:r>
        <w:rPr>
          <w:rFonts w:ascii="Arial" w:cs="Arial" w:eastAsia="Arial" w:hAnsi="Arial"/>
          <w:sz w:val="14"/>
          <w:szCs w:val="14"/>
          <w:u w:val="single" w:color="auto"/>
          <w:color w:val="auto"/>
        </w:rPr>
        <w:t>Company's Failure to Timely Deliver Securities</w:t>
      </w:r>
      <w:r>
        <w:rPr>
          <w:rFonts w:ascii="Arial" w:cs="Arial" w:eastAsia="Arial" w:hAnsi="Arial"/>
          <w:sz w:val="14"/>
          <w:szCs w:val="14"/>
          <w:color w:val="auto"/>
        </w:rPr>
        <w:t>. If the Company shall fail for any reason or for no reason to transfer to the Purchaser, or cause LifeMap to issue, on or prior to the Share Delivery Date, a certificate for the number of LifeMap Shares to which the Purchaser is entitled and cause such LifeMap Shares to be registered on LifeMap's share register or to credit the Purchaser's balance account with DTC for such number of LifeMap Shares to which the Purchaser is entitled upon the Purchaser's exercise of this Option, then, in addition to all other remedies available to the Purchaser, the Company (X) shall pay in cash to the Purchaser on each day after such third (3</w:t>
      </w:r>
      <w:r>
        <w:rPr>
          <w:rFonts w:ascii="Arial" w:cs="Arial" w:eastAsia="Arial" w:hAnsi="Arial"/>
          <w:sz w:val="23"/>
          <w:szCs w:val="23"/>
          <w:color w:val="auto"/>
          <w:vertAlign w:val="superscript"/>
        </w:rPr>
        <w:t>rd</w:t>
      </w:r>
      <w:r>
        <w:rPr>
          <w:rFonts w:ascii="Arial" w:cs="Arial" w:eastAsia="Arial" w:hAnsi="Arial"/>
          <w:sz w:val="14"/>
          <w:szCs w:val="14"/>
          <w:color w:val="auto"/>
        </w:rPr>
        <w:t>) Trading Day that the transfer of such LifeMap Shares is not timely effected an amount equal to 1.5% of the product of (A) the sum of the number of LifeMap Shares not transferred to the Purchaser on a timely basis and to which the Purchaser is entitled and (B) the Closing Sale Price of the LifeMap Shares on the Trading Day immediately preceding the last possible date which the Company could have transferred such LifeMap Shares to the Purchaser without violating Section 2(a), or if the LifeMap Shares are then not traded on an Eligible Market, $4.00 (the “</w:t>
      </w:r>
      <w:r>
        <w:rPr>
          <w:rFonts w:ascii="Arial" w:cs="Arial" w:eastAsia="Arial" w:hAnsi="Arial"/>
          <w:sz w:val="14"/>
          <w:szCs w:val="14"/>
          <w:b w:val="1"/>
          <w:bCs w:val="1"/>
          <w:color w:val="auto"/>
        </w:rPr>
        <w:t>Designated Price</w:t>
      </w:r>
      <w:r>
        <w:rPr>
          <w:rFonts w:ascii="Arial" w:cs="Arial" w:eastAsia="Arial" w:hAnsi="Arial"/>
          <w:sz w:val="14"/>
          <w:szCs w:val="14"/>
          <w:color w:val="auto"/>
        </w:rPr>
        <w:t>”), and (Y) the Purchaser, upon written notice to the Company, may void its Exercise Notice with respect to, and retain or have returned, as the case may be, any shares of Series A Preferred Stock cancelled in connection with such voided exercise; provided that the voiding of an exercise shall not affect the Company's obligations to make any payments which have accrued prior to the date of such notice pursuant to this Section 2(c) or otherwise. In addition to the foregoing, if on or prior to the Share Delivery Date, the Company shall fail to transfer, or cause LifeMap to issue, a certificate to the Purchaser and cause the registration of such LifeMap Shares on LifeMap's share register or credit the Purchaser's balance account with DTC for the number of LifeMap Shares to which the Purchaser is entitled upon the Purchaser's exercise of this Option or pursuant to the Company's obligation pursuant to clause (ii) below, as applicable, and if on or after such Trading Day the Purchaser purchases (in an open market transaction or otherwise) LifeMap Shares to deliver in satisfaction of a sale by the Purchaser of LifeMap Shares issuable upon such exercise that the Purchaser anticipated receiving from the Company (a “</w:t>
      </w:r>
      <w:r>
        <w:rPr>
          <w:rFonts w:ascii="Arial" w:cs="Arial" w:eastAsia="Arial" w:hAnsi="Arial"/>
          <w:sz w:val="14"/>
          <w:szCs w:val="14"/>
          <w:b w:val="1"/>
          <w:bCs w:val="1"/>
          <w:color w:val="auto"/>
        </w:rPr>
        <w:t>Buy-In</w:t>
      </w:r>
      <w:r>
        <w:rPr>
          <w:rFonts w:ascii="Arial" w:cs="Arial" w:eastAsia="Arial" w:hAnsi="Arial"/>
          <w:sz w:val="14"/>
          <w:szCs w:val="14"/>
          <w:color w:val="auto"/>
        </w:rPr>
        <w:t>”), then the Company shall, within three (3) Trading Days after the Purchaser's request and in the Purchaser's discretion, either (i) pay cash to the Purchaser in an amount equal to the Purchaser's total purchase price (including brokerage commissions and other out-of-pocket expenses, if any) for the LifeMap Shares so purchased (the “</w:t>
      </w:r>
      <w:r>
        <w:rPr>
          <w:rFonts w:ascii="Arial" w:cs="Arial" w:eastAsia="Arial" w:hAnsi="Arial"/>
          <w:sz w:val="14"/>
          <w:szCs w:val="14"/>
          <w:b w:val="1"/>
          <w:bCs w:val="1"/>
          <w:color w:val="auto"/>
        </w:rPr>
        <w:t>Buy-In Price</w:t>
      </w:r>
      <w:r>
        <w:rPr>
          <w:rFonts w:ascii="Arial" w:cs="Arial" w:eastAsia="Arial" w:hAnsi="Arial"/>
          <w:sz w:val="14"/>
          <w:szCs w:val="14"/>
          <w:color w:val="auto"/>
        </w:rPr>
        <w:t>”), at which point the Company's obligation to deliver such certificate (and to transfer LifeMap Shares) or credit such Purchaser's balance account with DTC for such LifeMap Shares shall terminate, or (ii) promptly honor its obligation to deliver to the Purchaser a certificate or certificates representing such LifeMap Shares or credit such Purchaser's balance account with DTC and pay cash to the Purchaser in an amount equal to the excess (if any) of the Buy-In Price over the product of (A) such number of LifeMap Shares, times (B) the Closing Bid Price on the date of exercise. Nothing shall limit the Purchaser's right to pursue a decree of specific performance and/or injunctive relief with respect to the Company's failure to timely deliver certificates representing LifeMap Shares (or to electronically deliver such LifeMap Shares) upon the exercise of this Option as required pursuant to the terms hereof.</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12" w:name="page313"/>
    <w:bookmarkEnd w:id="312"/>
    <w:p>
      <w:pPr>
        <w:ind w:left="5" w:right="20" w:firstLine="1696"/>
        <w:spacing w:after="0" w:line="301" w:lineRule="auto"/>
        <w:tabs>
          <w:tab w:leader="none" w:pos="2121" w:val="left"/>
        </w:tabs>
        <w:numPr>
          <w:ilvl w:val="2"/>
          <w:numId w:val="210"/>
        </w:numPr>
        <w:rPr>
          <w:rFonts w:ascii="Arial" w:cs="Arial" w:eastAsia="Arial" w:hAnsi="Arial"/>
          <w:sz w:val="15"/>
          <w:szCs w:val="15"/>
          <w:color w:val="auto"/>
        </w:rPr>
      </w:pPr>
      <w:r>
        <w:rPr>
          <w:rFonts w:ascii="Arial" w:cs="Arial" w:eastAsia="Arial" w:hAnsi="Arial"/>
          <w:sz w:val="15"/>
          <w:szCs w:val="15"/>
          <w:u w:val="single" w:color="auto"/>
          <w:color w:val="auto"/>
        </w:rPr>
        <w:t>Disputes</w:t>
      </w:r>
      <w:r>
        <w:rPr>
          <w:rFonts w:ascii="Arial" w:cs="Arial" w:eastAsia="Arial" w:hAnsi="Arial"/>
          <w:sz w:val="15"/>
          <w:szCs w:val="15"/>
          <w:color w:val="auto"/>
        </w:rPr>
        <w:t>. In the case of a dispute as to the determination of the Exchange Ratio or the arithmetic calculation of the LifeMap Shares, the Company shall promptly transfer to the Purchaser the number of LifeMap Shares that are not disputed and resolve such dispute in accordance with Section 12.</w:t>
      </w:r>
    </w:p>
    <w:p>
      <w:pPr>
        <w:spacing w:after="0" w:line="158" w:lineRule="exact"/>
        <w:rPr>
          <w:rFonts w:ascii="Arial" w:cs="Arial" w:eastAsia="Arial" w:hAnsi="Arial"/>
          <w:sz w:val="15"/>
          <w:szCs w:val="15"/>
          <w:color w:val="auto"/>
        </w:rPr>
      </w:pPr>
    </w:p>
    <w:p>
      <w:pPr>
        <w:ind w:left="1865" w:hanging="731"/>
        <w:spacing w:after="0"/>
        <w:tabs>
          <w:tab w:leader="none" w:pos="1865" w:val="left"/>
        </w:tabs>
        <w:numPr>
          <w:ilvl w:val="1"/>
          <w:numId w:val="211"/>
        </w:numPr>
        <w:rPr>
          <w:rFonts w:ascii="Arial" w:cs="Arial" w:eastAsia="Arial" w:hAnsi="Arial"/>
          <w:sz w:val="14"/>
          <w:szCs w:val="14"/>
          <w:color w:val="auto"/>
        </w:rPr>
      </w:pPr>
      <w:r>
        <w:rPr>
          <w:rFonts w:ascii="Arial" w:cs="Arial" w:eastAsia="Arial" w:hAnsi="Arial"/>
          <w:sz w:val="14"/>
          <w:szCs w:val="14"/>
          <w:u w:val="single" w:color="auto"/>
          <w:color w:val="auto"/>
        </w:rPr>
        <w:t>CERTAIN ADJUSTMENTS</w:t>
      </w:r>
      <w:r>
        <w:rPr>
          <w:rFonts w:ascii="Arial" w:cs="Arial" w:eastAsia="Arial" w:hAnsi="Arial"/>
          <w:sz w:val="14"/>
          <w:szCs w:val="14"/>
          <w:color w:val="auto"/>
        </w:rPr>
        <w:t>.  The Exchange Ratio and the number of LifeMap Shares purchasable hereunder shall be adjusted from time to time as</w:t>
      </w:r>
    </w:p>
    <w:p>
      <w:pPr>
        <w:spacing w:after="0" w:line="39" w:lineRule="exact"/>
        <w:rPr>
          <w:rFonts w:ascii="Arial" w:cs="Arial" w:eastAsia="Arial" w:hAnsi="Arial"/>
          <w:sz w:val="14"/>
          <w:szCs w:val="14"/>
          <w:color w:val="auto"/>
        </w:rPr>
      </w:pPr>
    </w:p>
    <w:p>
      <w:pPr>
        <w:ind w:left="5"/>
        <w:spacing w:after="0"/>
        <w:rPr>
          <w:rFonts w:ascii="Arial" w:cs="Arial" w:eastAsia="Arial" w:hAnsi="Arial"/>
          <w:sz w:val="14"/>
          <w:szCs w:val="14"/>
          <w:color w:val="auto"/>
        </w:rPr>
      </w:pPr>
      <w:r>
        <w:rPr>
          <w:rFonts w:ascii="Arial" w:cs="Arial" w:eastAsia="Arial" w:hAnsi="Arial"/>
          <w:sz w:val="16"/>
          <w:szCs w:val="16"/>
          <w:color w:val="auto"/>
        </w:rPr>
        <w:t>follows:</w:t>
      </w:r>
    </w:p>
    <w:p>
      <w:pPr>
        <w:spacing w:after="0" w:line="206" w:lineRule="exact"/>
        <w:rPr>
          <w:rFonts w:ascii="Arial" w:cs="Arial" w:eastAsia="Arial" w:hAnsi="Arial"/>
          <w:sz w:val="14"/>
          <w:szCs w:val="14"/>
          <w:color w:val="auto"/>
        </w:rPr>
      </w:pPr>
    </w:p>
    <w:p>
      <w:pPr>
        <w:jc w:val="both"/>
        <w:ind w:left="5" w:firstLine="1696"/>
        <w:spacing w:after="0" w:line="269" w:lineRule="auto"/>
        <w:tabs>
          <w:tab w:leader="none" w:pos="2100" w:val="left"/>
        </w:tabs>
        <w:numPr>
          <w:ilvl w:val="2"/>
          <w:numId w:val="211"/>
        </w:numPr>
        <w:rPr>
          <w:rFonts w:ascii="Arial" w:cs="Arial" w:eastAsia="Arial" w:hAnsi="Arial"/>
          <w:sz w:val="15"/>
          <w:szCs w:val="15"/>
          <w:color w:val="auto"/>
        </w:rPr>
      </w:pPr>
      <w:r>
        <w:rPr>
          <w:rFonts w:ascii="Arial" w:cs="Arial" w:eastAsia="Arial" w:hAnsi="Arial"/>
          <w:sz w:val="15"/>
          <w:szCs w:val="15"/>
          <w:u w:val="single" w:color="auto"/>
          <w:color w:val="auto"/>
        </w:rPr>
        <w:t>Stock Splits, Combinations, Reclassifications and Other Changes in Common Stock</w:t>
      </w:r>
      <w:r>
        <w:rPr>
          <w:rFonts w:ascii="Arial" w:cs="Arial" w:eastAsia="Arial" w:hAnsi="Arial"/>
          <w:sz w:val="15"/>
          <w:szCs w:val="15"/>
          <w:color w:val="auto"/>
        </w:rPr>
        <w:t>. If LifeMap, at any time after the Effective Date, shall (A) pay a dividend in its Common Stock or make a distribution in Common Stock, (B) subdivide its outstanding Common Stock, (C) combine its outstanding Common Stock into a smaller number of shares, or (D) reclassify or change (including a change to the right to receive, or a change into, as the case may be, shares of stock, other securities, property, cash or any combination thereof) its Common Stock (including any such reclassification or change in connection with a consolidation or merger in which LifeMap is the surviving corporation), upon the exercise of this Option the Purchaser shall be entitled to receive from the Company the kind and number of LifeMap Shares or other securities of LifeMap or other property which the Purchaser would have owned or have been entitled to receive upon the happening of any of the events described above, had this Option been exercised at the Exchange Ratio immediately prior to the happening of such event or any record date with respect thereto.</w:t>
      </w:r>
    </w:p>
    <w:p>
      <w:pPr>
        <w:spacing w:after="0" w:line="182" w:lineRule="exact"/>
        <w:rPr>
          <w:rFonts w:ascii="Arial" w:cs="Arial" w:eastAsia="Arial" w:hAnsi="Arial"/>
          <w:sz w:val="15"/>
          <w:szCs w:val="15"/>
          <w:color w:val="auto"/>
        </w:rPr>
      </w:pPr>
    </w:p>
    <w:p>
      <w:pPr>
        <w:jc w:val="both"/>
        <w:ind w:left="5" w:firstLine="1696"/>
        <w:spacing w:after="0" w:line="284" w:lineRule="auto"/>
        <w:tabs>
          <w:tab w:leader="none" w:pos="2168" w:val="left"/>
        </w:tabs>
        <w:numPr>
          <w:ilvl w:val="2"/>
          <w:numId w:val="211"/>
        </w:numPr>
        <w:rPr>
          <w:rFonts w:ascii="Arial" w:cs="Arial" w:eastAsia="Arial" w:hAnsi="Arial"/>
          <w:sz w:val="14"/>
          <w:szCs w:val="14"/>
          <w:color w:val="auto"/>
        </w:rPr>
      </w:pPr>
      <w:r>
        <w:rPr>
          <w:rFonts w:ascii="Arial" w:cs="Arial" w:eastAsia="Arial" w:hAnsi="Arial"/>
          <w:sz w:val="14"/>
          <w:szCs w:val="14"/>
          <w:u w:val="single" w:color="auto"/>
          <w:color w:val="auto"/>
        </w:rPr>
        <w:t>Distribution of Options, Warrants, Warrants, Rights, and Convertible Securities or Other Assets.</w:t>
      </w:r>
      <w:r>
        <w:rPr>
          <w:rFonts w:ascii="Arial" w:cs="Arial" w:eastAsia="Arial" w:hAnsi="Arial"/>
          <w:sz w:val="14"/>
          <w:szCs w:val="14"/>
          <w:color w:val="auto"/>
        </w:rPr>
        <w:t xml:space="preserve"> If LifeMap at any time after the Effective Date, shall distribute to all holders of its Common Stock (including any distribution made in connection with a merger in which LifeMap is the surviving corporation) (i) rights, options or warrants, or convertible or exchangeable securities containing the right to subscribe for or purchase Common Stock, or (ii) evidences of its indebtedness or assets, including cash but excluding Ordinary Cash Dividends (as defined below), then in each case with respect to each LifeMap Share issued upon the exercise of this Option, the Purchaser shall also receive from the Company either (a) the portion of the subscription rights, options or warrants, or convertible or exchangeable securities (or securities issued upon the conversion of convertible securities) or assets or evidences of indebtedness so distributed to the Company applicable to one LifeMap Share, or (b) the then fair value of the securities described in</w:t>
      </w:r>
    </w:p>
    <w:p>
      <w:pPr>
        <w:spacing w:after="0" w:line="2" w:lineRule="exact"/>
        <w:rPr>
          <w:rFonts w:ascii="Arial" w:cs="Arial" w:eastAsia="Arial" w:hAnsi="Arial"/>
          <w:sz w:val="14"/>
          <w:szCs w:val="14"/>
          <w:color w:val="auto"/>
        </w:rPr>
      </w:pPr>
    </w:p>
    <w:p>
      <w:pPr>
        <w:jc w:val="both"/>
        <w:ind w:left="5" w:hanging="5"/>
        <w:spacing w:after="0" w:line="295" w:lineRule="auto"/>
        <w:tabs>
          <w:tab w:leader="none" w:pos="228" w:val="left"/>
        </w:tabs>
        <w:numPr>
          <w:ilvl w:val="0"/>
          <w:numId w:val="212"/>
        </w:numPr>
        <w:rPr>
          <w:rFonts w:ascii="Arial" w:cs="Arial" w:eastAsia="Arial" w:hAnsi="Arial"/>
          <w:sz w:val="14"/>
          <w:szCs w:val="14"/>
          <w:color w:val="auto"/>
        </w:rPr>
      </w:pPr>
      <w:r>
        <w:rPr>
          <w:rFonts w:ascii="Arial" w:cs="Arial" w:eastAsia="Arial" w:hAnsi="Arial"/>
          <w:sz w:val="14"/>
          <w:szCs w:val="14"/>
          <w:color w:val="auto"/>
        </w:rPr>
        <w:t>as determined in good faith by the Board of Directors of the Company whose determination shall be conclusive; provided, that the Company need not deliver any subscription rights, options or warrants that shall have expired by their terms. The Company shall determine whether to deliver the consideration described in clause (a) or clause (b) of the preceding sentence upon the exercise of this Option. A cash dividend shall be deemed an “Ordinary Cash Dividend” for purposes of this Option if the dividend is paid out of consolidated earnings or earned surplus and is declared by the Board of Directors of LifeMap to be a regular or ordinary quarterly, semi-annual or annual dividend.</w:t>
      </w:r>
    </w:p>
    <w:p>
      <w:pPr>
        <w:spacing w:after="0" w:line="104"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313" w:name="page314"/>
    <w:bookmarkEnd w:id="313"/>
    <w:p>
      <w:pPr>
        <w:ind w:left="5" w:firstLine="1696"/>
        <w:spacing w:after="0" w:line="267" w:lineRule="auto"/>
        <w:tabs>
          <w:tab w:leader="none" w:pos="2136" w:val="left"/>
        </w:tabs>
        <w:numPr>
          <w:ilvl w:val="2"/>
          <w:numId w:val="213"/>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Whenever an event described in paragraph (a) or paragraph (b) of this Section 3 occurs, the Company shall promptly, in any event within ten (10) days, send to the Purchaser notice of such event.</w:t>
      </w:r>
    </w:p>
    <w:p>
      <w:pPr>
        <w:spacing w:after="0" w:line="181" w:lineRule="exact"/>
        <w:rPr>
          <w:rFonts w:ascii="Arial" w:cs="Arial" w:eastAsia="Arial" w:hAnsi="Arial"/>
          <w:sz w:val="16"/>
          <w:szCs w:val="16"/>
          <w:color w:val="auto"/>
        </w:rPr>
      </w:pPr>
    </w:p>
    <w:p>
      <w:pPr>
        <w:jc w:val="both"/>
        <w:ind w:left="5" w:firstLine="1696"/>
        <w:spacing w:after="0" w:line="253" w:lineRule="auto"/>
        <w:tabs>
          <w:tab w:leader="none" w:pos="2121" w:val="left"/>
        </w:tabs>
        <w:numPr>
          <w:ilvl w:val="2"/>
          <w:numId w:val="213"/>
        </w:numPr>
        <w:rPr>
          <w:rFonts w:ascii="Arial" w:cs="Arial" w:eastAsia="Arial" w:hAnsi="Arial"/>
          <w:sz w:val="16"/>
          <w:szCs w:val="16"/>
          <w:color w:val="auto"/>
        </w:rPr>
      </w:pPr>
      <w:r>
        <w:rPr>
          <w:rFonts w:ascii="Arial" w:cs="Arial" w:eastAsia="Arial" w:hAnsi="Arial"/>
          <w:sz w:val="16"/>
          <w:szCs w:val="16"/>
          <w:u w:val="single" w:color="auto"/>
          <w:color w:val="auto"/>
        </w:rPr>
        <w:t>No Adjustment for Dividends</w:t>
      </w:r>
      <w:r>
        <w:rPr>
          <w:rFonts w:ascii="Arial" w:cs="Arial" w:eastAsia="Arial" w:hAnsi="Arial"/>
          <w:sz w:val="16"/>
          <w:szCs w:val="16"/>
          <w:color w:val="auto"/>
        </w:rPr>
        <w:t>. No adjustment in respect of any Ordinary Cash Dividends shall be made during the term of this Option or upon the exercise of this Option, nor shall the Purchaser be entitled to acquire from the Company upon the exercise of this Option any Ordinary Cash Dividends received by the Company with respect to LifeMap Shares or any other LifeMap securities owned or acquired by the Company upon the exercise of any subscription rights, options, warrants or exchangeable securities.</w:t>
      </w:r>
    </w:p>
    <w:p>
      <w:pPr>
        <w:spacing w:after="0" w:line="193" w:lineRule="exact"/>
        <w:rPr>
          <w:rFonts w:ascii="Arial" w:cs="Arial" w:eastAsia="Arial" w:hAnsi="Arial"/>
          <w:sz w:val="16"/>
          <w:szCs w:val="16"/>
          <w:color w:val="auto"/>
        </w:rPr>
      </w:pPr>
    </w:p>
    <w:p>
      <w:pPr>
        <w:ind w:left="1665" w:hanging="531"/>
        <w:spacing w:after="0"/>
        <w:tabs>
          <w:tab w:leader="none" w:pos="1665" w:val="left"/>
        </w:tabs>
        <w:numPr>
          <w:ilvl w:val="1"/>
          <w:numId w:val="214"/>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17" w:lineRule="exact"/>
        <w:rPr>
          <w:rFonts w:ascii="Arial" w:cs="Arial" w:eastAsia="Arial" w:hAnsi="Arial"/>
          <w:sz w:val="16"/>
          <w:szCs w:val="16"/>
          <w:color w:val="auto"/>
        </w:rPr>
      </w:pPr>
    </w:p>
    <w:p>
      <w:pPr>
        <w:jc w:val="both"/>
        <w:ind w:left="5" w:right="20" w:firstLine="1696"/>
        <w:spacing w:after="0" w:line="290" w:lineRule="auto"/>
        <w:tabs>
          <w:tab w:leader="none" w:pos="2088" w:val="left"/>
        </w:tabs>
        <w:numPr>
          <w:ilvl w:val="2"/>
          <w:numId w:val="214"/>
        </w:numPr>
        <w:rPr>
          <w:rFonts w:ascii="Arial" w:cs="Arial" w:eastAsia="Arial" w:hAnsi="Arial"/>
          <w:sz w:val="14"/>
          <w:szCs w:val="14"/>
          <w:color w:val="auto"/>
        </w:rPr>
      </w:pPr>
      <w:r>
        <w:rPr>
          <w:rFonts w:ascii="Arial" w:cs="Arial" w:eastAsia="Arial" w:hAnsi="Arial"/>
          <w:sz w:val="14"/>
          <w:szCs w:val="14"/>
          <w:u w:val="single" w:color="auto"/>
          <w:color w:val="auto"/>
        </w:rPr>
        <w:t>Transfer</w:t>
      </w:r>
      <w:r>
        <w:rPr>
          <w:rFonts w:ascii="Arial" w:cs="Arial" w:eastAsia="Arial" w:hAnsi="Arial"/>
          <w:sz w:val="14"/>
          <w:szCs w:val="14"/>
          <w:color w:val="auto"/>
        </w:rPr>
        <w:t>. This Option is personal to the Purchaser and may not be sold, transferred or assigned, except (i) to a successor in interest of the Purchaser as a result of any consolidation of the Purchaser with or merger of the Purchaser into another Person, (ii) to another Purchaser (as defined in the Securities Purchase Agreement) or</w:t>
      </w:r>
    </w:p>
    <w:p>
      <w:pPr>
        <w:ind w:left="285" w:hanging="285"/>
        <w:spacing w:after="0"/>
        <w:tabs>
          <w:tab w:leader="none" w:pos="28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to another Person as part of a sale of all or substantially all the property of the Purchaser to such other Person.</w:t>
      </w:r>
    </w:p>
    <w:p>
      <w:pPr>
        <w:spacing w:after="0" w:line="206" w:lineRule="exact"/>
        <w:rPr>
          <w:rFonts w:ascii="Arial" w:cs="Arial" w:eastAsia="Arial" w:hAnsi="Arial"/>
          <w:sz w:val="16"/>
          <w:szCs w:val="16"/>
          <w:color w:val="auto"/>
        </w:rPr>
      </w:pPr>
    </w:p>
    <w:p>
      <w:pPr>
        <w:ind w:left="2085" w:hanging="384"/>
        <w:spacing w:after="0"/>
        <w:tabs>
          <w:tab w:leader="none" w:pos="2085" w:val="left"/>
        </w:tabs>
        <w:numPr>
          <w:ilvl w:val="2"/>
          <w:numId w:val="215"/>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LifeMap Shares</w:t>
      </w:r>
      <w:r>
        <w:rPr>
          <w:rFonts w:ascii="Arial" w:cs="Arial" w:eastAsia="Arial" w:hAnsi="Arial"/>
          <w:sz w:val="16"/>
          <w:szCs w:val="16"/>
          <w:color w:val="auto"/>
        </w:rPr>
        <w:t>.</w:t>
      </w:r>
    </w:p>
    <w:p>
      <w:pPr>
        <w:spacing w:after="0" w:line="217" w:lineRule="exact"/>
        <w:rPr>
          <w:rFonts w:ascii="Arial" w:cs="Arial" w:eastAsia="Arial" w:hAnsi="Arial"/>
          <w:sz w:val="16"/>
          <w:szCs w:val="16"/>
          <w:color w:val="auto"/>
        </w:rPr>
      </w:pPr>
    </w:p>
    <w:p>
      <w:pPr>
        <w:jc w:val="both"/>
        <w:ind w:left="5" w:firstLine="1980"/>
        <w:spacing w:after="0" w:line="269" w:lineRule="auto"/>
        <w:tabs>
          <w:tab w:leader="none" w:pos="2269" w:val="left"/>
        </w:tabs>
        <w:numPr>
          <w:ilvl w:val="3"/>
          <w:numId w:val="215"/>
        </w:numPr>
        <w:rPr>
          <w:rFonts w:ascii="Arial" w:cs="Arial" w:eastAsia="Arial" w:hAnsi="Arial"/>
          <w:sz w:val="15"/>
          <w:szCs w:val="15"/>
          <w:color w:val="auto"/>
        </w:rPr>
      </w:pPr>
      <w:r>
        <w:rPr>
          <w:rFonts w:ascii="Arial" w:cs="Arial" w:eastAsia="Arial" w:hAnsi="Arial"/>
          <w:sz w:val="15"/>
          <w:szCs w:val="15"/>
          <w:color w:val="auto"/>
        </w:rPr>
        <w:t>Any LifeMap Shares issued to Purchaser upon the exercise of this Option, may not be sold, pledged, hypothecated, transferred or assigned, in whole or in part, unless (A) a registration statement under the Securities Act and under any applicable state securities laws is effective therefor or (B) an exemption from such registration is then available and an opinion of counsel, reasonably acceptable to LifeMap and the Transfer Agent, if any, has been rendered stating that such sale, pledge, hypothecation, transfer or assignment will not violate the Securities Act. Notwithstanding anything to the contrary contained herein (x) the LifeMap Shares may be pledged in connection with a bona fide margin account or other loan or financing arrangement secured by the securities and no legal opinion shall be required therefor and (y) no representation, warranty, covenant or opinion shall be required for the sale, pledge, hypothecation, transfer or assignment of any LifeMap Shares if a registration statement with respect to the resale of such LifeMap Shares is effective at the time of any such sale, pledge, hypothecation, transfer or assignment.</w:t>
      </w:r>
    </w:p>
    <w:p>
      <w:pPr>
        <w:spacing w:after="0" w:line="182" w:lineRule="exact"/>
        <w:rPr>
          <w:rFonts w:ascii="Arial" w:cs="Arial" w:eastAsia="Arial" w:hAnsi="Arial"/>
          <w:sz w:val="15"/>
          <w:szCs w:val="15"/>
          <w:color w:val="auto"/>
        </w:rPr>
      </w:pPr>
    </w:p>
    <w:p>
      <w:pPr>
        <w:jc w:val="both"/>
        <w:ind w:left="5" w:right="20" w:firstLine="1980"/>
        <w:spacing w:after="0" w:line="276" w:lineRule="auto"/>
        <w:tabs>
          <w:tab w:leader="none" w:pos="2348" w:val="left"/>
        </w:tabs>
        <w:numPr>
          <w:ilvl w:val="3"/>
          <w:numId w:val="215"/>
        </w:numPr>
        <w:rPr>
          <w:rFonts w:ascii="Arial" w:cs="Arial" w:eastAsia="Arial" w:hAnsi="Arial"/>
          <w:sz w:val="15"/>
          <w:szCs w:val="15"/>
          <w:color w:val="auto"/>
        </w:rPr>
      </w:pPr>
      <w:r>
        <w:rPr>
          <w:rFonts w:ascii="Arial" w:cs="Arial" w:eastAsia="Arial" w:hAnsi="Arial"/>
          <w:sz w:val="15"/>
          <w:szCs w:val="15"/>
          <w:color w:val="auto"/>
        </w:rPr>
        <w:t>As a condition precedent to the registration of transfer of any certificates representing LifeMap Shares upon the exercise of this Option or transfer of LifeMap Shares, the Company and LifeMap shall be entitled to obtain a letter or other instrument from the Purchaser containing such covenants, representations or warranties by such Purchaser similar to those contained in this Section 4 as reasonably deemed necessary by the Company or LifeMap to effect compliance by the Company or LifeMap with the requirements of the Securities Act and any other applicable federal and/or state securities laws.</w:t>
      </w:r>
    </w:p>
    <w:p>
      <w:pPr>
        <w:spacing w:after="0" w:line="113"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314" w:name="page315"/>
    <w:bookmarkEnd w:id="314"/>
    <w:p>
      <w:pPr>
        <w:ind w:firstLine="1980"/>
        <w:spacing w:after="0" w:line="267" w:lineRule="auto"/>
        <w:tabs>
          <w:tab w:leader="none" w:pos="2332"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Any sale, pledge, hypothecation, transfer, or assignment of this Option or LifeMap Shares in violation of the foregoing restrictions shall be deemed null and void and of no binding effect.</w:t>
      </w:r>
    </w:p>
    <w:p>
      <w:pPr>
        <w:spacing w:after="0" w:line="181" w:lineRule="exact"/>
        <w:rPr>
          <w:rFonts w:ascii="Arial" w:cs="Arial" w:eastAsia="Arial" w:hAnsi="Arial"/>
          <w:sz w:val="16"/>
          <w:szCs w:val="16"/>
          <w:color w:val="auto"/>
        </w:rPr>
      </w:pPr>
    </w:p>
    <w:p>
      <w:pPr>
        <w:jc w:val="both"/>
        <w:ind w:right="20" w:firstLine="1980"/>
        <w:spacing w:after="0" w:line="257" w:lineRule="auto"/>
        <w:tabs>
          <w:tab w:leader="none" w:pos="2267" w:val="left"/>
        </w:tabs>
        <w:numPr>
          <w:ilvl w:val="1"/>
          <w:numId w:val="216"/>
        </w:numPr>
        <w:rPr>
          <w:rFonts w:ascii="Arial" w:cs="Arial" w:eastAsia="Arial" w:hAnsi="Arial"/>
          <w:sz w:val="16"/>
          <w:szCs w:val="16"/>
          <w:color w:val="auto"/>
        </w:rPr>
      </w:pPr>
      <w:r>
        <w:rPr>
          <w:rFonts w:ascii="Arial" w:cs="Arial" w:eastAsia="Arial" w:hAnsi="Arial"/>
          <w:sz w:val="16"/>
          <w:szCs w:val="16"/>
          <w:color w:val="auto"/>
        </w:rPr>
        <w:t>The Company will, and will request that LifeMap will, issue instructions to any Transfer Agent and registrar of the Common Stock to refuse to register the transfer of any LifeMap Shares not made pursuant to registration under the Securities Act and applicable state securities laws, or pursuant to an available exemption from registration under the Securities Act and applicable state securities laws.</w:t>
      </w:r>
    </w:p>
    <w:p>
      <w:pPr>
        <w:spacing w:after="0" w:line="165" w:lineRule="exact"/>
        <w:rPr>
          <w:rFonts w:ascii="Arial" w:cs="Arial" w:eastAsia="Arial" w:hAnsi="Arial"/>
          <w:sz w:val="16"/>
          <w:szCs w:val="16"/>
          <w:color w:val="auto"/>
        </w:rPr>
      </w:pPr>
    </w:p>
    <w:p>
      <w:pPr>
        <w:jc w:val="both"/>
        <w:ind w:firstLine="1980"/>
        <w:spacing w:after="0" w:line="291" w:lineRule="auto"/>
        <w:tabs>
          <w:tab w:leader="none" w:pos="2266" w:val="left"/>
        </w:tabs>
        <w:numPr>
          <w:ilvl w:val="1"/>
          <w:numId w:val="216"/>
        </w:numPr>
        <w:rPr>
          <w:rFonts w:ascii="Arial" w:cs="Arial" w:eastAsia="Arial" w:hAnsi="Arial"/>
          <w:sz w:val="14"/>
          <w:szCs w:val="14"/>
          <w:color w:val="auto"/>
        </w:rPr>
      </w:pPr>
      <w:r>
        <w:rPr>
          <w:rFonts w:ascii="Arial" w:cs="Arial" w:eastAsia="Arial" w:hAnsi="Arial"/>
          <w:sz w:val="14"/>
          <w:szCs w:val="14"/>
          <w:color w:val="auto"/>
        </w:rPr>
        <w:t>The LifeMap Shares shall bear an appropriate legend, conspicuously disclosing the restrictions on transfer, under this Section 4, until the same are registered for sale under the Securities Act or are transferred in a transaction exempt from registration under the Securities Act entitling the transferee to receive securities that are not deemed to be “restricted securities” as such term is defined in Rule 144 under the Securities Act. The Company agrees that upon the sale of LifeMap Shares pursuant to a registration statement or an exemption entitling the transferee to receive securities that are not deemed to be “restricted securities,” or at such time as registration under the Securities Act shall no longer be required, upon the presentation of the certificates containing such a legend to the transfer agent or warrant agent, if any, it will request removal of such legend; provided, that unless the request for removal of the legend is in connection with a sale registered under the Securities Act, the Purchaser shall have provided an opinion of counsel, acceptable to the Company and the Transfer Agent to the effect that such legend may be removed in compliance with the Securities Act.</w:t>
      </w:r>
    </w:p>
    <w:p>
      <w:pPr>
        <w:spacing w:after="0" w:line="169" w:lineRule="exact"/>
        <w:rPr>
          <w:rFonts w:ascii="Arial" w:cs="Arial" w:eastAsia="Arial" w:hAnsi="Arial"/>
          <w:sz w:val="14"/>
          <w:szCs w:val="14"/>
          <w:color w:val="auto"/>
        </w:rPr>
      </w:pPr>
    </w:p>
    <w:p>
      <w:pPr>
        <w:ind w:right="20" w:firstLine="1696"/>
        <w:spacing w:after="0" w:line="267" w:lineRule="auto"/>
        <w:tabs>
          <w:tab w:leader="none" w:pos="2198"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Each Purchaser makes the following representations, severally and not jointly and severally, in connection with its acquisition of this Option and any LifeMap Shares upon the exercise of this Option:</w:t>
      </w:r>
    </w:p>
    <w:p>
      <w:pPr>
        <w:spacing w:after="0" w:line="181" w:lineRule="exact"/>
        <w:rPr>
          <w:rFonts w:ascii="Arial" w:cs="Arial" w:eastAsia="Arial" w:hAnsi="Arial"/>
          <w:sz w:val="16"/>
          <w:szCs w:val="16"/>
          <w:color w:val="auto"/>
        </w:rPr>
      </w:pPr>
    </w:p>
    <w:p>
      <w:pPr>
        <w:jc w:val="both"/>
        <w:ind w:firstLine="1980"/>
        <w:spacing w:after="0" w:line="250" w:lineRule="auto"/>
        <w:tabs>
          <w:tab w:leader="none" w:pos="224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Purchaser has made such investigation of LifeMap as Purchaser deemed appropriate for determining to acquire (and thereby make an investment in) this Option and LifeMap Shares, and in making such investigation Purchaser has had access to such financial and other information concerning LifeMap as Purchaser requested. Purchaser is relying on the information communicated to Purchaser in writing by LifeMap or the Company. Purchaser has not relied on any statement or representations inconsistent with those communicated to Purchaser in writing by LifeMap or the Company. Purchaser has had a reasonable opportunity to ask questions of and receive answers from the executive officers of LifeMap and the Company concerning LifeMap, and to obtain additional information, to the extent possessed or obtainable by LifeMap or the Company without unreasonable effort or expense, necessary to verify the information communicated or provided to Purchaser. All such questions have been answered to Purchaser’s satisfaction.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15" w:name="page316"/>
    <w:bookmarkEnd w:id="315"/>
    <w:p>
      <w:pPr>
        <w:jc w:val="both"/>
        <w:ind w:firstLine="1980"/>
        <w:spacing w:after="0" w:line="253" w:lineRule="auto"/>
        <w:tabs>
          <w:tab w:leader="none" w:pos="2343" w:val="left"/>
        </w:tabs>
        <w:numPr>
          <w:ilvl w:val="1"/>
          <w:numId w:val="218"/>
        </w:numPr>
        <w:rPr>
          <w:rFonts w:ascii="Arial" w:cs="Arial" w:eastAsia="Arial" w:hAnsi="Arial"/>
          <w:sz w:val="16"/>
          <w:szCs w:val="16"/>
          <w:color w:val="auto"/>
        </w:rPr>
      </w:pPr>
      <w:r>
        <w:rPr>
          <w:rFonts w:ascii="Arial" w:cs="Arial" w:eastAsia="Arial" w:hAnsi="Arial"/>
          <w:sz w:val="16"/>
          <w:szCs w:val="16"/>
          <w:color w:val="auto"/>
        </w:rPr>
        <w:t>Purchaser is acquiring this Option and upon exercise of this Option will purchase LifeMap Shares solely for Purchaser's own account, and Purchaser has no direct or indirect arrangement or understandings with any other persons to distribute or regarding the distribution of the LifeMap Shares or this Option; provided, that this representation and warranty shall not prohibit Purchaser from selling LifeMap Shares in the ordinary course of business pursuant to a registration statement under the Securities Act or otherwise in compliance with the Securities Act and applicable state securities or “blue sky” laws.</w:t>
      </w:r>
    </w:p>
    <w:p>
      <w:pPr>
        <w:spacing w:after="0" w:line="193" w:lineRule="exact"/>
        <w:rPr>
          <w:rFonts w:ascii="Arial" w:cs="Arial" w:eastAsia="Arial" w:hAnsi="Arial"/>
          <w:sz w:val="16"/>
          <w:szCs w:val="16"/>
          <w:color w:val="auto"/>
        </w:rPr>
      </w:pPr>
    </w:p>
    <w:p>
      <w:pPr>
        <w:ind w:left="2260" w:hanging="280"/>
        <w:spacing w:after="0"/>
        <w:tabs>
          <w:tab w:leader="none" w:pos="226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Purchaser is an “accredited investor” as defined in Rule 501 under the Securities Act.</w:t>
      </w:r>
    </w:p>
    <w:p>
      <w:pPr>
        <w:spacing w:after="0" w:line="217" w:lineRule="exact"/>
        <w:rPr>
          <w:rFonts w:ascii="Arial" w:cs="Arial" w:eastAsia="Arial" w:hAnsi="Arial"/>
          <w:sz w:val="16"/>
          <w:szCs w:val="16"/>
          <w:color w:val="auto"/>
        </w:rPr>
      </w:pPr>
    </w:p>
    <w:p>
      <w:pPr>
        <w:jc w:val="both"/>
        <w:ind w:right="20" w:firstLine="1980"/>
        <w:spacing w:after="0" w:line="311" w:lineRule="auto"/>
        <w:tabs>
          <w:tab w:leader="none" w:pos="2252" w:val="left"/>
        </w:tabs>
        <w:numPr>
          <w:ilvl w:val="1"/>
          <w:numId w:val="218"/>
        </w:numPr>
        <w:rPr>
          <w:rFonts w:ascii="Arial" w:cs="Arial" w:eastAsia="Arial" w:hAnsi="Arial"/>
          <w:sz w:val="14"/>
          <w:szCs w:val="14"/>
          <w:color w:val="auto"/>
        </w:rPr>
      </w:pPr>
      <w:r>
        <w:rPr>
          <w:rFonts w:ascii="Arial" w:cs="Arial" w:eastAsia="Arial" w:hAnsi="Arial"/>
          <w:sz w:val="14"/>
          <w:szCs w:val="14"/>
          <w:color w:val="auto"/>
        </w:rPr>
        <w:t>Purchaser, either alone or together with its representatives, has such knowledge, sophistication and experience in business and financial matters so as to be capable of evaluating the merits and risks of the prospective investment in this Option and LifeMap Shares, and has so evaluated the merits and risks of such investment. Such Purchaser is able to bear the economic risk of an investment in this Option and LifeMap Shares and, at the present time, is able to afford a complete loss of such investment.</w:t>
      </w:r>
    </w:p>
    <w:p>
      <w:pPr>
        <w:spacing w:after="0" w:line="154" w:lineRule="exact"/>
        <w:rPr>
          <w:rFonts w:ascii="Arial" w:cs="Arial" w:eastAsia="Arial" w:hAnsi="Arial"/>
          <w:sz w:val="14"/>
          <w:szCs w:val="14"/>
          <w:color w:val="auto"/>
        </w:rPr>
      </w:pPr>
    </w:p>
    <w:p>
      <w:pPr>
        <w:jc w:val="both"/>
        <w:ind w:right="20" w:firstLine="1129"/>
        <w:spacing w:after="0" w:line="289" w:lineRule="auto"/>
        <w:tabs>
          <w:tab w:leader="none" w:pos="1719" w:val="left"/>
        </w:tabs>
        <w:numPr>
          <w:ilvl w:val="0"/>
          <w:numId w:val="219"/>
        </w:numPr>
        <w:rPr>
          <w:rFonts w:ascii="Arial" w:cs="Arial" w:eastAsia="Arial" w:hAnsi="Arial"/>
          <w:sz w:val="14"/>
          <w:szCs w:val="14"/>
          <w:color w:val="auto"/>
        </w:rPr>
      </w:pPr>
      <w:r>
        <w:rPr>
          <w:rFonts w:ascii="Arial" w:cs="Arial" w:eastAsia="Arial" w:hAnsi="Arial"/>
          <w:sz w:val="14"/>
          <w:szCs w:val="14"/>
          <w:u w:val="single" w:color="auto"/>
          <w:color w:val="auto"/>
        </w:rPr>
        <w:t>REGISTRATION RIGHTS</w:t>
      </w:r>
      <w:r>
        <w:rPr>
          <w:rFonts w:ascii="Arial" w:cs="Arial" w:eastAsia="Arial" w:hAnsi="Arial"/>
          <w:sz w:val="14"/>
          <w:szCs w:val="14"/>
          <w:color w:val="auto"/>
        </w:rPr>
        <w:t>. The Company hereby covenants and agrees that in the event the Company receives any registration rights from LifeMap in respect of any LifeMap Shares owned by the Company, simultaneously with the exercise of any such registration rights at any time that this Option remains exercisable in whole or in part, the Company shall cause LifeMap to register all of the LifeMap Shares issuable to the Purchaser as of the applicable date of determination pursuant to the terms of this Option. The Company acknowledges and agrees that prior to excluding any LifeMap Shares from any registration statement, it shall first exclude all other LifeMap Shares owned by the Company other than any LifeMap Shares that are subject to an option provided to another Purchaser (as defined in the Securities Purchase Agreement) which shall be subject to exclusion on a pro rata basis with all other Purchasers (as defined in the Securities Purchase Agreement). The Company shall do and perform, or cause to be done and performed, all such further acts and things, and shall execute and deliver all such other agreements, certificates, instruments and documents, including, without limitation, any assignment of any registration rights with respect to the Common Stock purchasable pursuant to this Option granted to the Company under any registration rights agreement by LifeMap and the Company or under any registration statement, as Purchaser may reasonably request in order to carry out the intent and accomplish the purposes of this Section 5.</w:t>
      </w:r>
    </w:p>
    <w:p>
      <w:pPr>
        <w:spacing w:after="0" w:line="169" w:lineRule="exact"/>
        <w:rPr>
          <w:rFonts w:ascii="Arial" w:cs="Arial" w:eastAsia="Arial" w:hAnsi="Arial"/>
          <w:sz w:val="14"/>
          <w:szCs w:val="14"/>
          <w:color w:val="auto"/>
        </w:rPr>
      </w:pPr>
    </w:p>
    <w:p>
      <w:pPr>
        <w:jc w:val="both"/>
        <w:ind w:firstLine="1129"/>
        <w:spacing w:after="0" w:line="270" w:lineRule="auto"/>
        <w:tabs>
          <w:tab w:leader="none" w:pos="1648" w:val="left"/>
        </w:tabs>
        <w:numPr>
          <w:ilvl w:val="0"/>
          <w:numId w:val="219"/>
        </w:numPr>
        <w:rPr>
          <w:rFonts w:ascii="Arial" w:cs="Arial" w:eastAsia="Arial" w:hAnsi="Arial"/>
          <w:sz w:val="15"/>
          <w:szCs w:val="15"/>
          <w:color w:val="auto"/>
        </w:rPr>
      </w:pPr>
      <w:r>
        <w:rPr>
          <w:rFonts w:ascii="Arial" w:cs="Arial" w:eastAsia="Arial" w:hAnsi="Arial"/>
          <w:sz w:val="15"/>
          <w:szCs w:val="15"/>
          <w:u w:val="single" w:color="auto"/>
          <w:color w:val="auto"/>
        </w:rPr>
        <w:t>NONCIRCUMVENTION</w:t>
      </w:r>
      <w:r>
        <w:rPr>
          <w:rFonts w:ascii="Arial" w:cs="Arial" w:eastAsia="Arial" w:hAnsi="Arial"/>
          <w:sz w:val="15"/>
          <w:szCs w:val="15"/>
          <w:color w:val="auto"/>
        </w:rPr>
        <w:t>. The Company hereby covenants and agrees that the Company will not, by amendment of its Articles of Incorporation, Bylaws, or through any reorganization, transfer of assets, consolidation, merger, scheme of arrangement, dissolution, issue or sale of securities, or any other voluntary action, avoid or seek to avoid the observance or performance of any of the terms of this Option, and will at all times in good faith carry out all the provisions of this Option and take all action as may be required to protect the rights of the Purchaser. Without limiting the generality of the foregoing, the Company shall continue to hold a sufficient number of LifeMap Shares to permit Purchaser to exercise this Option in full. The Company will, and will request that LifeMap will, issue instructions to any Transfer Agent and registrar of the Common Stock to refuse to register the transfer of any LifeMap Shares in violation of the immediately preceding sentence.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316" w:name="page317"/>
    <w:bookmarkEnd w:id="316"/>
    <w:p>
      <w:pPr>
        <w:jc w:val="both"/>
        <w:ind w:firstLine="1129"/>
        <w:spacing w:after="0" w:line="267" w:lineRule="auto"/>
        <w:tabs>
          <w:tab w:leader="none" w:pos="1692" w:val="left"/>
        </w:tabs>
        <w:numPr>
          <w:ilvl w:val="0"/>
          <w:numId w:val="220"/>
        </w:numPr>
        <w:rPr>
          <w:rFonts w:ascii="Arial" w:cs="Arial" w:eastAsia="Arial" w:hAnsi="Arial"/>
          <w:sz w:val="15"/>
          <w:szCs w:val="15"/>
          <w:color w:val="auto"/>
        </w:rPr>
      </w:pPr>
      <w:r>
        <w:rPr>
          <w:rFonts w:ascii="Arial" w:cs="Arial" w:eastAsia="Arial" w:hAnsi="Arial"/>
          <w:sz w:val="15"/>
          <w:szCs w:val="15"/>
          <w:u w:val="single" w:color="auto"/>
          <w:color w:val="auto"/>
        </w:rPr>
        <w:t>PURCHASER NOT DEEMED A LIFEMAP SHAREHOLDER</w:t>
      </w:r>
      <w:r>
        <w:rPr>
          <w:rFonts w:ascii="Arial" w:cs="Arial" w:eastAsia="Arial" w:hAnsi="Arial"/>
          <w:sz w:val="15"/>
          <w:szCs w:val="15"/>
          <w:color w:val="auto"/>
        </w:rPr>
        <w:t>. The Purchaser, solely in such Person's capacity as the holder of this Option, shall not be entitled to vote or receive dividends or be deemed the holder of share capital of LifeMap for any purpose, nor shall anything contained in this Option be construed to confer upon the Purchaser, solely in such Person's capacity as the holder of this Option, any of the rights of a shareholder of LifeMap or any right to vote, give or withhold consent to any corporate action (whether any reorganization, issue of stock, reclassification of stock, consolidation, merger, conveyance or otherwise), receive notice of meetings, receive dividends or subscription rights, or otherwise, prior to the purchase of the LifeMap Shares through the due exercise of this Option. In addition, nothing contained in this Option shall be construed as imposing any liabilities on the Purchaser to purchase any securities or as a shareholder of the Company or LifeMap (other than upon exercise of this Option), whether such liabilities are asserted by the Company or LifeMap or by their respective creditors. Notwithstanding this Section, the Company shall provide the Purchaser with copies of such notices and other information given to the Common Stock holders of LifeMap generally, promptly after receipt thereof by the Company, unless the Company believes that such information is material, nonpublic information regarding the Company or LifeMap.</w:t>
      </w:r>
    </w:p>
    <w:p>
      <w:pPr>
        <w:spacing w:after="0" w:line="187" w:lineRule="exact"/>
        <w:rPr>
          <w:rFonts w:ascii="Arial" w:cs="Arial" w:eastAsia="Arial" w:hAnsi="Arial"/>
          <w:sz w:val="15"/>
          <w:szCs w:val="15"/>
          <w:color w:val="auto"/>
        </w:rPr>
      </w:pPr>
    </w:p>
    <w:p>
      <w:pPr>
        <w:jc w:val="both"/>
        <w:ind w:right="20" w:firstLine="1129"/>
        <w:spacing w:after="0" w:line="270" w:lineRule="auto"/>
        <w:tabs>
          <w:tab w:leader="none" w:pos="1751" w:val="left"/>
        </w:tabs>
        <w:numPr>
          <w:ilvl w:val="0"/>
          <w:numId w:val="220"/>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pursuant to this Agreement by the Purchaser to the Company shall be in writing and shall be delivered in person, or mailed first class, postage prepaid, or sent by air delivery service or by facsimile transmission (FAX) or email to the Company, at its office, Attention: Chief Financial Officer. The address of the principal office of the Company is 1301 Harbor Bay Parkway, Alameda, California 94502; FAX (510) 521-3389; email rpeabody@biotimemail.com. Any notice given pursuant to this Agreement by the Company to the Purchaser shall be in writing and shall be mailed first class, postage prepaid, or sent by air delivery service, or by facsimile transmission (FAX) or email or otherwise delivered to the Purchaser at the Purchaser’s address shown on the signature page of this Option. Each party hereto may from time to time change the address to which notices to it are to be delivered or mailed hereunder by notice to the other party.</w:t>
      </w:r>
    </w:p>
    <w:p>
      <w:pPr>
        <w:spacing w:after="0" w:line="182" w:lineRule="exact"/>
        <w:rPr>
          <w:rFonts w:ascii="Arial" w:cs="Arial" w:eastAsia="Arial" w:hAnsi="Arial"/>
          <w:sz w:val="15"/>
          <w:szCs w:val="15"/>
          <w:color w:val="auto"/>
        </w:rPr>
      </w:pPr>
    </w:p>
    <w:p>
      <w:pPr>
        <w:ind w:right="20" w:firstLine="1129"/>
        <w:spacing w:after="0" w:line="267" w:lineRule="auto"/>
        <w:tabs>
          <w:tab w:leader="none" w:pos="1950"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Option may only be amended by a written instrument signed by the Company and the Purchaser.</w:t>
      </w:r>
    </w:p>
    <w:p>
      <w:pPr>
        <w:spacing w:after="0" w:line="181" w:lineRule="exact"/>
        <w:rPr>
          <w:rFonts w:ascii="Arial" w:cs="Arial" w:eastAsia="Arial" w:hAnsi="Arial"/>
          <w:sz w:val="16"/>
          <w:szCs w:val="16"/>
          <w:color w:val="auto"/>
        </w:rPr>
      </w:pPr>
    </w:p>
    <w:p>
      <w:pPr>
        <w:jc w:val="both"/>
        <w:ind w:firstLine="1129"/>
        <w:spacing w:after="0" w:line="291" w:lineRule="auto"/>
        <w:tabs>
          <w:tab w:leader="none" w:pos="1758" w:val="left"/>
        </w:tabs>
        <w:numPr>
          <w:ilvl w:val="0"/>
          <w:numId w:val="220"/>
        </w:numPr>
        <w:rPr>
          <w:rFonts w:ascii="Arial" w:cs="Arial" w:eastAsia="Arial" w:hAnsi="Arial"/>
          <w:sz w:val="14"/>
          <w:szCs w:val="14"/>
          <w:color w:val="auto"/>
        </w:rPr>
      </w:pPr>
      <w:r>
        <w:rPr>
          <w:rFonts w:ascii="Arial" w:cs="Arial" w:eastAsia="Arial" w:hAnsi="Arial"/>
          <w:sz w:val="14"/>
          <w:szCs w:val="14"/>
          <w:u w:val="single" w:color="auto"/>
          <w:color w:val="auto"/>
        </w:rPr>
        <w:t>GOVERNING LAW; JURISDICTION</w:t>
      </w:r>
      <w:r>
        <w:rPr>
          <w:rFonts w:ascii="Arial" w:cs="Arial" w:eastAsia="Arial" w:hAnsi="Arial"/>
          <w:sz w:val="14"/>
          <w:szCs w:val="14"/>
          <w:color w:val="auto"/>
        </w:rPr>
        <w:t>. This Option shall be governed by and construed and enforced in accordance with, and all questions concerning the construction, validity, interpretation and performance of this Option shall be governed by, the internal laws of the State of California, without giving effect to any choice of law or conflict of law provision or rule (whether of the State of California or any other jurisdictions) that would cause the application of the laws of any jurisdictions other than the State of California. The Company and the Purchaser hereby irrevocably submit to the non-exclusive jurisdiction of the state and federal courts sitting in the City of New York and the County of Alameda and the United States District Court for the Northern District of California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17" w:name="page318"/>
    <w:bookmarkEnd w:id="317"/>
    <w:p>
      <w:pPr>
        <w:ind w:right="20" w:firstLine="1129"/>
        <w:spacing w:after="0" w:line="301" w:lineRule="auto"/>
        <w:tabs>
          <w:tab w:leader="none" w:pos="1669" w:val="left"/>
        </w:tabs>
        <w:numPr>
          <w:ilvl w:val="0"/>
          <w:numId w:val="221"/>
        </w:numPr>
        <w:rPr>
          <w:rFonts w:ascii="Arial" w:cs="Arial" w:eastAsia="Arial" w:hAnsi="Arial"/>
          <w:sz w:val="15"/>
          <w:szCs w:val="15"/>
          <w:color w:val="auto"/>
        </w:rPr>
      </w:pPr>
      <w:r>
        <w:rPr>
          <w:rFonts w:ascii="Arial" w:cs="Arial" w:eastAsia="Arial" w:hAnsi="Arial"/>
          <w:sz w:val="15"/>
          <w:szCs w:val="15"/>
          <w:u w:val="single" w:color="auto"/>
          <w:color w:val="auto"/>
        </w:rPr>
        <w:t>CONSTRUCTION; HEADINGS</w:t>
      </w:r>
      <w:r>
        <w:rPr>
          <w:rFonts w:ascii="Arial" w:cs="Arial" w:eastAsia="Arial" w:hAnsi="Arial"/>
          <w:sz w:val="15"/>
          <w:szCs w:val="15"/>
          <w:color w:val="auto"/>
        </w:rPr>
        <w:t>. This Option shall be deemed to be jointly drafted by the Company and Purchaser and shall not be construed against any Person as the drafter hereof. The headings of this Option are for convenience of reference and shall not form part of, or affect the interpretation of, this Option.</w:t>
      </w:r>
    </w:p>
    <w:p>
      <w:pPr>
        <w:spacing w:after="0" w:line="158" w:lineRule="exact"/>
        <w:rPr>
          <w:rFonts w:ascii="Arial" w:cs="Arial" w:eastAsia="Arial" w:hAnsi="Arial"/>
          <w:sz w:val="15"/>
          <w:szCs w:val="15"/>
          <w:color w:val="auto"/>
        </w:rPr>
      </w:pPr>
    </w:p>
    <w:p>
      <w:pPr>
        <w:jc w:val="both"/>
        <w:ind w:firstLine="1129"/>
        <w:spacing w:after="0" w:line="289" w:lineRule="auto"/>
        <w:tabs>
          <w:tab w:leader="none" w:pos="1805" w:val="left"/>
        </w:tabs>
        <w:numPr>
          <w:ilvl w:val="0"/>
          <w:numId w:val="221"/>
        </w:numPr>
        <w:rPr>
          <w:rFonts w:ascii="Arial" w:cs="Arial" w:eastAsia="Arial" w:hAnsi="Arial"/>
          <w:sz w:val="14"/>
          <w:szCs w:val="14"/>
          <w:color w:val="auto"/>
        </w:rPr>
      </w:pPr>
      <w:r>
        <w:rPr>
          <w:rFonts w:ascii="Arial" w:cs="Arial" w:eastAsia="Arial" w:hAnsi="Arial"/>
          <w:sz w:val="14"/>
          <w:szCs w:val="14"/>
          <w:u w:val="single" w:color="auto"/>
          <w:color w:val="auto"/>
        </w:rPr>
        <w:t>DISPUTE RESOLUTION</w:t>
      </w:r>
      <w:r>
        <w:rPr>
          <w:rFonts w:ascii="Arial" w:cs="Arial" w:eastAsia="Arial" w:hAnsi="Arial"/>
          <w:sz w:val="14"/>
          <w:szCs w:val="14"/>
          <w:color w:val="auto"/>
        </w:rPr>
        <w:t>. In the case of a dispute as to the determination of the Exchange Ratio or the arithmetic calculation of the LifeMap Shares purchasable upon the exercise of this Option, the Company shall submit the disputed determinations or arithmetic calculations via facsimile within two (2) Business Days of receipt of the Exercise Notice giving rise to such dispute, as the case may be, to the Purchaser. If the Purchaser and the Company are unable to agree upon such determination or calculation of the Exchange Ratio or the LifeMap Shares within three (3) Business Days of such disputed determination or arithmetic calculation being submitted to the Purchaser, then the Company shall, within two (2) Business Days submit via facsimile (a) the disputed determination of the Exchange Ratio to an independent, reputable investment bank selected by the Company and approved by the Purchaser or (b) the disputed arithmetic calculation of the LifeMap Shares to the Company's independent, outside accountant. The Company shall cause at its expense the investment bank or the accountant, as the case may be, to perform the determinations or calculations and notify the Company and the Purchaser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69" w:lineRule="exact"/>
        <w:rPr>
          <w:rFonts w:ascii="Arial" w:cs="Arial" w:eastAsia="Arial" w:hAnsi="Arial"/>
          <w:sz w:val="14"/>
          <w:szCs w:val="14"/>
          <w:color w:val="auto"/>
        </w:rPr>
      </w:pPr>
    </w:p>
    <w:p>
      <w:pPr>
        <w:jc w:val="both"/>
        <w:ind w:firstLine="1129"/>
        <w:spacing w:after="0" w:line="257" w:lineRule="auto"/>
        <w:tabs>
          <w:tab w:leader="none" w:pos="1817"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REMEDIES, OTHER OBLIGATIONS, BREACHES AND INJUNCTIVE RELIEF</w:t>
      </w:r>
      <w:r>
        <w:rPr>
          <w:rFonts w:ascii="Arial" w:cs="Arial" w:eastAsia="Arial" w:hAnsi="Arial"/>
          <w:sz w:val="16"/>
          <w:szCs w:val="16"/>
          <w:color w:val="auto"/>
        </w:rPr>
        <w:t>. The remedies provided in this Option shall be cumulative and in addition to all other remedies available under this Option, at law or in equity (including a decree of specific performance and/or other injunctive relief), and nothing herein shall limit the right of the Purchaser to pursue actual damages for any failure by the Company to comply with the terms of this Option.</w:t>
      </w:r>
    </w:p>
    <w:p>
      <w:pPr>
        <w:spacing w:after="0" w:line="188" w:lineRule="exact"/>
        <w:rPr>
          <w:rFonts w:ascii="Arial" w:cs="Arial" w:eastAsia="Arial" w:hAnsi="Arial"/>
          <w:sz w:val="16"/>
          <w:szCs w:val="16"/>
          <w:color w:val="auto"/>
        </w:rPr>
      </w:pPr>
    </w:p>
    <w:p>
      <w:pPr>
        <w:jc w:val="both"/>
        <w:ind w:right="20" w:firstLine="1129"/>
        <w:spacing w:after="0" w:line="250" w:lineRule="auto"/>
        <w:tabs>
          <w:tab w:leader="none" w:pos="1793"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Option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Option so long as this Option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18" w:name="page319"/>
    <w:bookmarkEnd w:id="318"/>
    <w:p>
      <w:pPr>
        <w:jc w:val="both"/>
        <w:ind w:firstLine="1129"/>
        <w:spacing w:after="0" w:line="266" w:lineRule="auto"/>
        <w:tabs>
          <w:tab w:leader="none" w:pos="1726" w:val="left"/>
        </w:tabs>
        <w:numPr>
          <w:ilvl w:val="0"/>
          <w:numId w:val="222"/>
        </w:numPr>
        <w:rPr>
          <w:rFonts w:ascii="Arial" w:cs="Arial" w:eastAsia="Arial" w:hAnsi="Arial"/>
          <w:sz w:val="15"/>
          <w:szCs w:val="15"/>
          <w:color w:val="auto"/>
        </w:rPr>
      </w:pPr>
      <w:r>
        <w:rPr>
          <w:rFonts w:ascii="Arial" w:cs="Arial" w:eastAsia="Arial" w:hAnsi="Arial"/>
          <w:sz w:val="15"/>
          <w:szCs w:val="15"/>
          <w:u w:val="single" w:color="auto"/>
          <w:color w:val="auto"/>
        </w:rPr>
        <w:t>COMPANY'S REPRESENTATIONS AND WARRANTIES</w:t>
      </w:r>
      <w:r>
        <w:rPr>
          <w:rFonts w:ascii="Arial" w:cs="Arial" w:eastAsia="Arial" w:hAnsi="Arial"/>
          <w:sz w:val="15"/>
          <w:szCs w:val="15"/>
          <w:color w:val="auto"/>
        </w:rPr>
        <w:t>. The Company is a corporation duly organized, validly existing and in good standing under the laws of the State of California, with the requisite power and authority to own and use its properties and assets and to carry on its business as currently conducted. The Company has the power and authority to execute and deliver this Option and to perform all of its obligations hereunder. This Option has been duly authorized, executed and delivered by the Company and is the valid and binding agreement of the Company, enforceable in accordance with its terms subject to: (i) laws of general application relating to bankruptcy, insolvency and the relief of debtors; and (ii) general principles of equity. There is no lawsuit, arbitration proceeding, or administrative action or proceeding pending or threatened against the Company which questions the validity of this Option or any action taken or to be taken by the Company in connection with this Option or the transfer of the LifeMap Shares hereunder. The Company owns beneficially of record, free and clear of any lien or other encumbrance, the LifeMap Shares, and upon exercise of the Option, the Purchaser will acquire good and valid title to such LifeMap Shares thereto, free and clear of any lien or other encumbrance. The execution and delivery of this Option and consummation of the transactions contemplated by this Option (a) do not and will not violate any provisions of (i) any rule, regulation, statute, or law, (ii) the terms of any order, writ or decree of any court or judicial or regulatory authority or body, (iii) the Articles of Incorporation or bylaws of the Company, or (iv) the rules and regulations of the NYSE MKT applicable to the listing of the Company’s common shares, (b) will not conflict with or result in a breach of any condition or provision or constitute a default under or pursuant to the terms of any Material Contract (as defined in the Securities Purchase Agreement), and (c) will not result in the creation or imposition of any lien, charge or encumbrance upon any of the LifeMap Shares (other than pursuant to this Option) or upon any of the assets or properties of the Company.</w:t>
      </w:r>
    </w:p>
    <w:p>
      <w:pPr>
        <w:spacing w:after="0" w:line="185" w:lineRule="exact"/>
        <w:rPr>
          <w:rFonts w:ascii="Arial" w:cs="Arial" w:eastAsia="Arial" w:hAnsi="Arial"/>
          <w:sz w:val="15"/>
          <w:szCs w:val="15"/>
          <w:color w:val="auto"/>
        </w:rPr>
      </w:pPr>
    </w:p>
    <w:p>
      <w:pPr>
        <w:jc w:val="both"/>
        <w:ind w:firstLine="1129"/>
        <w:spacing w:after="0" w:line="266" w:lineRule="auto"/>
        <w:tabs>
          <w:tab w:leader="none" w:pos="1678" w:val="left"/>
        </w:tabs>
        <w:numPr>
          <w:ilvl w:val="0"/>
          <w:numId w:val="222"/>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CONCERNING LIFEMAP</w:t>
      </w:r>
      <w:r>
        <w:rPr>
          <w:rFonts w:ascii="Arial" w:cs="Arial" w:eastAsia="Arial" w:hAnsi="Arial"/>
          <w:sz w:val="15"/>
          <w:szCs w:val="15"/>
          <w:color w:val="auto"/>
        </w:rPr>
        <w:t>. LifeMap is a corporation duly organized, validly existing and in good standing under the laws of the State of California, with the requisite power and authority to own and use its properties and assets and to carry on its business as currently conducted. There is no lawsuit, arbitration proceeding, or administrative action or proceeding pending or threatened against LifeMap which questions the validity of this Option or any action taken or to be taken by the Company in connection with this Option or the transfer of the LifeMap Shares hereunder. The execution and delivery of this Option and consummation of the transactions contemplated by this Option (a) do not and will not violate any provisions of (i) any rule, regulation, statute, or law, (ii) the terms of any order, writ or decree of any court or judicial or regulatory authority or body or (iii) the Articles of Incorporation or bylaws of LifeMap, (b) will not conflict with or result in a breach of any condition or provision or constitute a default under or pursuant to the terms of any Material Contract of LifeMap (as defined in the Securities Purchase Agreement as if such contract was a contract to which LifeMap is a party), and (c) will not result in the creation or imposition of any lien, charge or encumbrance upon any of the LifeMap Shares (other than pursuant to this Option) or upon any of the assets or properties of LifeMap. The authorized capital stock of LifeMap consists of: 2,250,000 shares of Preferred Stock, none of which are issued and outstanding, and 22,500,000 shares of Common Stock, of which 11,715,095 shares, are issued and outstanding. All outstanding shares of LifeMap Common Stock are duly and validly authorized and issued, fully paid and nonassessable. Except for up to 2,342,269 shares of Common Stock reserved for issuance to employees, directors and consultants under the terms of a stock option plan previously approved by LifeMap’s Board of Directors, there are no outstanding options, warrants, rights or obligations for the purchase or acquisition from LifeMap of any shares of capital stock.</w:t>
      </w:r>
    </w:p>
    <w:p>
      <w:pPr>
        <w:spacing w:after="0" w:line="185" w:lineRule="exact"/>
        <w:rPr>
          <w:rFonts w:ascii="Arial" w:cs="Arial" w:eastAsia="Arial" w:hAnsi="Arial"/>
          <w:sz w:val="15"/>
          <w:szCs w:val="15"/>
          <w:color w:val="auto"/>
        </w:rPr>
      </w:pPr>
    </w:p>
    <w:p>
      <w:pPr>
        <w:ind w:left="1660" w:hanging="531"/>
        <w:spacing w:after="0"/>
        <w:tabs>
          <w:tab w:leader="none" w:pos="1660"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Option, the following terms shall have the following meanings:</w:t>
      </w:r>
    </w:p>
    <w:p>
      <w:pPr>
        <w:spacing w:after="0" w:line="213" w:lineRule="exact"/>
        <w:rPr>
          <w:rFonts w:ascii="Arial" w:cs="Arial" w:eastAsia="Arial" w:hAnsi="Arial"/>
          <w:sz w:val="16"/>
          <w:szCs w:val="16"/>
          <w:color w:val="auto"/>
        </w:rPr>
      </w:pPr>
    </w:p>
    <w:p>
      <w:pPr>
        <w:jc w:val="both"/>
        <w:ind w:right="20" w:firstLine="1696"/>
        <w:spacing w:after="0" w:line="314" w:lineRule="auto"/>
        <w:tabs>
          <w:tab w:leader="none" w:pos="2198" w:val="left"/>
        </w:tabs>
        <w:numPr>
          <w:ilvl w:val="1"/>
          <w:numId w:val="22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19" w:name="page320"/>
    <w:bookmarkEnd w:id="319"/>
    <w:p>
      <w:pPr>
        <w:ind w:left="2085" w:hanging="384"/>
        <w:spacing w:after="0"/>
        <w:tabs>
          <w:tab w:leader="none" w:pos="2085" w:val="left"/>
        </w:tabs>
        <w:numPr>
          <w:ilvl w:val="1"/>
          <w:numId w:val="2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Bloomberg</w:t>
      </w:r>
      <w:r>
        <w:rPr>
          <w:rFonts w:ascii="Arial" w:cs="Arial" w:eastAsia="Arial" w:hAnsi="Arial"/>
          <w:sz w:val="16"/>
          <w:szCs w:val="16"/>
          <w:color w:val="auto"/>
        </w:rPr>
        <w:t>” means Bloomberg Financial Markets.</w:t>
      </w:r>
    </w:p>
    <w:p>
      <w:pPr>
        <w:spacing w:after="0" w:line="217" w:lineRule="exact"/>
        <w:rPr>
          <w:rFonts w:ascii="Arial" w:cs="Arial" w:eastAsia="Arial" w:hAnsi="Arial"/>
          <w:sz w:val="16"/>
          <w:szCs w:val="16"/>
          <w:color w:val="auto"/>
        </w:rPr>
      </w:pPr>
    </w:p>
    <w:p>
      <w:pPr>
        <w:ind w:left="2145" w:hanging="444"/>
        <w:spacing w:after="0"/>
        <w:tabs>
          <w:tab w:leader="none" w:pos="2145" w:val="left"/>
        </w:tabs>
        <w:numPr>
          <w:ilvl w:val="1"/>
          <w:numId w:val="22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any day other than Saturday, Sunday or other day on which commercial banks in The City of New York are authorized or</w:t>
      </w:r>
    </w:p>
    <w:p>
      <w:pPr>
        <w:spacing w:after="0" w:line="43" w:lineRule="exact"/>
        <w:rPr>
          <w:rFonts w:ascii="Arial" w:cs="Arial" w:eastAsia="Arial" w:hAnsi="Arial"/>
          <w:sz w:val="14"/>
          <w:szCs w:val="14"/>
          <w:color w:val="auto"/>
        </w:rPr>
      </w:pPr>
    </w:p>
    <w:p>
      <w:pPr>
        <w:ind w:left="5"/>
        <w:spacing w:after="0"/>
        <w:rPr>
          <w:rFonts w:ascii="Arial" w:cs="Arial" w:eastAsia="Arial" w:hAnsi="Arial"/>
          <w:sz w:val="14"/>
          <w:szCs w:val="14"/>
          <w:color w:val="auto"/>
        </w:rPr>
      </w:pPr>
      <w:r>
        <w:rPr>
          <w:rFonts w:ascii="Arial" w:cs="Arial" w:eastAsia="Arial" w:hAnsi="Arial"/>
          <w:sz w:val="16"/>
          <w:szCs w:val="16"/>
          <w:color w:val="auto"/>
        </w:rPr>
        <w:t>required by law to remain closed.</w:t>
      </w:r>
    </w:p>
    <w:p>
      <w:pPr>
        <w:spacing w:after="0" w:line="202" w:lineRule="exact"/>
        <w:rPr>
          <w:rFonts w:ascii="Arial" w:cs="Arial" w:eastAsia="Arial" w:hAnsi="Arial"/>
          <w:sz w:val="14"/>
          <w:szCs w:val="14"/>
          <w:color w:val="auto"/>
        </w:rPr>
      </w:pPr>
    </w:p>
    <w:p>
      <w:pPr>
        <w:jc w:val="both"/>
        <w:ind w:left="5" w:firstLine="1696"/>
        <w:spacing w:after="0" w:line="287" w:lineRule="auto"/>
        <w:tabs>
          <w:tab w:leader="none" w:pos="2263" w:val="left"/>
        </w:tabs>
        <w:numPr>
          <w:ilvl w:val="1"/>
          <w:numId w:val="22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Bid Price</w:t>
      </w:r>
      <w:r>
        <w:rPr>
          <w:rFonts w:ascii="Arial" w:cs="Arial" w:eastAsia="Arial" w:hAnsi="Arial"/>
          <w:sz w:val="14"/>
          <w:szCs w:val="14"/>
          <w:color w:val="auto"/>
        </w:rPr>
        <w:t>” and “</w:t>
      </w:r>
      <w:r>
        <w:rPr>
          <w:rFonts w:ascii="Arial" w:cs="Arial" w:eastAsia="Arial" w:hAnsi="Arial"/>
          <w:sz w:val="14"/>
          <w:szCs w:val="14"/>
          <w:b w:val="1"/>
          <w:bCs w:val="1"/>
          <w:color w:val="auto"/>
        </w:rPr>
        <w:t>Closing Sale Price</w:t>
      </w:r>
      <w:r>
        <w:rPr>
          <w:rFonts w:ascii="Arial" w:cs="Arial" w:eastAsia="Arial" w:hAnsi="Arial"/>
          <w:sz w:val="14"/>
          <w:szCs w:val="14"/>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If the Company and the Purchaser are unable to agree upon the fair market value of such security, then such dispute shall be resolved pursuant to Section</w:t>
      </w:r>
    </w:p>
    <w:p>
      <w:pPr>
        <w:spacing w:after="0" w:line="1" w:lineRule="exact"/>
        <w:rPr>
          <w:rFonts w:ascii="Arial" w:cs="Arial" w:eastAsia="Arial" w:hAnsi="Arial"/>
          <w:sz w:val="14"/>
          <w:szCs w:val="14"/>
          <w:color w:val="auto"/>
        </w:rPr>
      </w:pPr>
    </w:p>
    <w:p>
      <w:pPr>
        <w:ind w:left="5" w:right="20" w:hanging="5"/>
        <w:spacing w:after="0" w:line="253" w:lineRule="auto"/>
        <w:tabs>
          <w:tab w:leader="none" w:pos="25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All such determinations to be appropriately adjusted for any stock dividend, stock split, stock combination, reclassification or other similar transaction during the applicable calculation period.</w:t>
      </w:r>
    </w:p>
    <w:p>
      <w:pPr>
        <w:spacing w:after="0" w:line="187" w:lineRule="exact"/>
        <w:rPr>
          <w:rFonts w:ascii="Arial" w:cs="Arial" w:eastAsia="Arial" w:hAnsi="Arial"/>
          <w:sz w:val="16"/>
          <w:szCs w:val="16"/>
          <w:color w:val="auto"/>
        </w:rPr>
      </w:pPr>
    </w:p>
    <w:p>
      <w:pPr>
        <w:ind w:left="5" w:right="20" w:firstLine="1696"/>
        <w:spacing w:after="0" w:line="273" w:lineRule="auto"/>
        <w:tabs>
          <w:tab w:leader="none" w:pos="2183" w:val="left"/>
        </w:tabs>
        <w:numPr>
          <w:ilvl w:val="1"/>
          <w:numId w:val="2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(i) the Common Stock, no par value per share, of LifeMap, and (ii) any share capital into which such Common Stock shall have been changed or any share capital resulting from a reclassification of such Common Stock.</w:t>
      </w:r>
    </w:p>
    <w:p>
      <w:pPr>
        <w:spacing w:after="0" w:line="172" w:lineRule="exact"/>
        <w:rPr>
          <w:rFonts w:ascii="Arial" w:cs="Arial" w:eastAsia="Arial" w:hAnsi="Arial"/>
          <w:sz w:val="16"/>
          <w:szCs w:val="16"/>
          <w:color w:val="auto"/>
        </w:rPr>
      </w:pPr>
    </w:p>
    <w:p>
      <w:pPr>
        <w:ind w:left="5" w:right="20" w:firstLine="1696"/>
        <w:spacing w:after="0" w:line="273" w:lineRule="auto"/>
        <w:tabs>
          <w:tab w:leader="none" w:pos="2124" w:val="left"/>
        </w:tabs>
        <w:numPr>
          <w:ilvl w:val="1"/>
          <w:numId w:val="2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Market</w:t>
      </w:r>
      <w:r>
        <w:rPr>
          <w:rFonts w:ascii="Arial" w:cs="Arial" w:eastAsia="Arial" w:hAnsi="Arial"/>
          <w:sz w:val="16"/>
          <w:szCs w:val="16"/>
          <w:color w:val="auto"/>
        </w:rPr>
        <w:t>” means the NYSE, the NYSE MKT, The NASDAQ Global Market, The NASDAQ Global Select Market, the NASDAQ Capital Market, or the OTC Bulletin Board.</w:t>
      </w:r>
    </w:p>
    <w:p>
      <w:pPr>
        <w:spacing w:after="0" w:line="172" w:lineRule="exact"/>
        <w:rPr>
          <w:rFonts w:ascii="Arial" w:cs="Arial" w:eastAsia="Arial" w:hAnsi="Arial"/>
          <w:sz w:val="16"/>
          <w:szCs w:val="16"/>
          <w:color w:val="auto"/>
        </w:rPr>
      </w:pPr>
    </w:p>
    <w:p>
      <w:pPr>
        <w:ind w:left="2085" w:hanging="384"/>
        <w:spacing w:after="0"/>
        <w:tabs>
          <w:tab w:leader="none" w:pos="2085" w:val="left"/>
        </w:tabs>
        <w:numPr>
          <w:ilvl w:val="1"/>
          <w:numId w:val="224"/>
        </w:numPr>
        <w:rPr>
          <w:rFonts w:ascii="Arial" w:cs="Arial" w:eastAsia="Arial" w:hAnsi="Arial"/>
          <w:sz w:val="16"/>
          <w:szCs w:val="16"/>
          <w:color w:val="auto"/>
        </w:rPr>
      </w:pP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means the Securities Exchange Act of 1934, as amended.</w:t>
      </w:r>
    </w:p>
    <w:p>
      <w:pPr>
        <w:spacing w:after="0" w:line="217" w:lineRule="exact"/>
        <w:rPr>
          <w:rFonts w:ascii="Arial" w:cs="Arial" w:eastAsia="Arial" w:hAnsi="Arial"/>
          <w:sz w:val="16"/>
          <w:szCs w:val="16"/>
          <w:color w:val="auto"/>
        </w:rPr>
      </w:pPr>
    </w:p>
    <w:p>
      <w:pPr>
        <w:ind w:left="5" w:right="20" w:firstLine="1696"/>
        <w:spacing w:after="0" w:line="273" w:lineRule="auto"/>
        <w:tabs>
          <w:tab w:leader="none" w:pos="2168" w:val="left"/>
        </w:tabs>
        <w:numPr>
          <w:ilvl w:val="1"/>
          <w:numId w:val="2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has the meaning ascribed in Section 1, provided, that, if March 4, 2019 falls on a day other than a Business Day or on which trading does not take place on the Principal Market (a “</w:t>
      </w:r>
      <w:r>
        <w:rPr>
          <w:rFonts w:ascii="Arial" w:cs="Arial" w:eastAsia="Arial" w:hAnsi="Arial"/>
          <w:sz w:val="16"/>
          <w:szCs w:val="16"/>
          <w:b w:val="1"/>
          <w:bCs w:val="1"/>
          <w:color w:val="auto"/>
        </w:rPr>
        <w:t>Holiday</w:t>
      </w:r>
      <w:r>
        <w:rPr>
          <w:rFonts w:ascii="Arial" w:cs="Arial" w:eastAsia="Arial" w:hAnsi="Arial"/>
          <w:sz w:val="16"/>
          <w:szCs w:val="16"/>
          <w:color w:val="auto"/>
        </w:rPr>
        <w:t>”), the next day that is not a Holiday shall apply.</w:t>
      </w:r>
    </w:p>
    <w:p>
      <w:pPr>
        <w:spacing w:after="0" w:line="172" w:lineRule="exact"/>
        <w:rPr>
          <w:rFonts w:ascii="Arial" w:cs="Arial" w:eastAsia="Arial" w:hAnsi="Arial"/>
          <w:sz w:val="16"/>
          <w:szCs w:val="16"/>
          <w:color w:val="auto"/>
        </w:rPr>
      </w:pPr>
    </w:p>
    <w:p>
      <w:pPr>
        <w:ind w:left="5" w:right="20" w:firstLine="1696"/>
        <w:spacing w:after="0" w:line="273" w:lineRule="auto"/>
        <w:tabs>
          <w:tab w:leader="none" w:pos="2124" w:val="left"/>
        </w:tabs>
        <w:numPr>
          <w:ilvl w:val="1"/>
          <w:numId w:val="2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limited liability company, a partnership, a joint venture, a corporation, a trust, an unincorporated organization, any other entity and a government or any department or agency thereof.</w:t>
      </w:r>
    </w:p>
    <w:p>
      <w:pPr>
        <w:spacing w:after="0" w:line="172" w:lineRule="exact"/>
        <w:rPr>
          <w:rFonts w:ascii="Arial" w:cs="Arial" w:eastAsia="Arial" w:hAnsi="Arial"/>
          <w:sz w:val="16"/>
          <w:szCs w:val="16"/>
          <w:color w:val="auto"/>
        </w:rPr>
      </w:pPr>
    </w:p>
    <w:p>
      <w:pPr>
        <w:ind w:left="2125" w:hanging="424"/>
        <w:spacing w:after="0"/>
        <w:tabs>
          <w:tab w:leader="none" w:pos="2125" w:val="left"/>
        </w:tabs>
        <w:numPr>
          <w:ilvl w:val="1"/>
          <w:numId w:val="2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Market</w:t>
      </w:r>
      <w:r>
        <w:rPr>
          <w:rFonts w:ascii="Arial" w:cs="Arial" w:eastAsia="Arial" w:hAnsi="Arial"/>
          <w:sz w:val="16"/>
          <w:szCs w:val="16"/>
          <w:color w:val="auto"/>
        </w:rPr>
        <w:t>” means the principal Eligible Market on which the Common Stock trades.</w:t>
      </w:r>
    </w:p>
    <w:p>
      <w:pPr>
        <w:spacing w:after="0" w:line="217" w:lineRule="exact"/>
        <w:rPr>
          <w:rFonts w:ascii="Arial" w:cs="Arial" w:eastAsia="Arial" w:hAnsi="Arial"/>
          <w:sz w:val="16"/>
          <w:szCs w:val="16"/>
          <w:color w:val="auto"/>
        </w:rPr>
      </w:pPr>
    </w:p>
    <w:p>
      <w:pPr>
        <w:ind w:left="2125" w:hanging="424"/>
        <w:spacing w:after="0"/>
        <w:tabs>
          <w:tab w:leader="none" w:pos="2125" w:val="left"/>
        </w:tabs>
        <w:numPr>
          <w:ilvl w:val="1"/>
          <w:numId w:val="2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w:t>
      </w:r>
    </w:p>
    <w:p>
      <w:pPr>
        <w:spacing w:after="0" w:line="217" w:lineRule="exact"/>
        <w:rPr>
          <w:rFonts w:ascii="Arial" w:cs="Arial" w:eastAsia="Arial" w:hAnsi="Arial"/>
          <w:sz w:val="16"/>
          <w:szCs w:val="16"/>
          <w:color w:val="auto"/>
        </w:rPr>
      </w:pPr>
    </w:p>
    <w:p>
      <w:pPr>
        <w:jc w:val="both"/>
        <w:ind w:left="5" w:right="20" w:firstLine="1696"/>
        <w:spacing w:after="0" w:line="255" w:lineRule="auto"/>
        <w:tabs>
          <w:tab w:leader="none" w:pos="2172" w:val="left"/>
        </w:tabs>
        <w:numPr>
          <w:ilvl w:val="1"/>
          <w:numId w:val="2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6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[Signature Page Follows]</w:t>
      </w:r>
    </w:p>
    <w:p>
      <w:pPr>
        <w:spacing w:after="0" w:line="372"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3" w:right="219" w:bottom="1440" w:gutter="0" w:footer="0" w:header="0"/>
        </w:sectPr>
      </w:pPr>
    </w:p>
    <w:bookmarkStart w:id="320" w:name="page321"/>
    <w:bookmarkEnd w:id="320"/>
    <w:p>
      <w:pPr>
        <w:ind w:left="560"/>
        <w:spacing w:after="0"/>
        <w:rPr>
          <w:sz w:val="20"/>
          <w:szCs w:val="20"/>
          <w:color w:val="auto"/>
        </w:rPr>
      </w:pPr>
      <w:r>
        <w:rPr>
          <w:rFonts w:ascii="Arial" w:cs="Arial" w:eastAsia="Arial" w:hAnsi="Arial"/>
          <w:sz w:val="14"/>
          <w:szCs w:val="14"/>
          <w:b w:val="1"/>
          <w:bCs w:val="1"/>
          <w:color w:val="auto"/>
        </w:rPr>
        <w:t xml:space="preserve">IN WITNESS WHEREOF, </w:t>
      </w:r>
      <w:r>
        <w:rPr>
          <w:rFonts w:ascii="Arial" w:cs="Arial" w:eastAsia="Arial" w:hAnsi="Arial"/>
          <w:sz w:val="14"/>
          <w:szCs w:val="14"/>
          <w:color w:val="auto"/>
        </w:rPr>
        <w:t>the Company and Purchaser have caused this Option Agreement to be duly executed as of the Effective Date.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BIOTIME, INC.</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D.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11430</wp:posOffset>
            </wp:positionV>
            <wp:extent cx="2663825" cy="152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663825"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Name: Michael D. West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Title: Chief Executive Officer</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British &amp; American Investment Trust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2911475" cy="152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911475" cy="15240"/>
                    </a:xfrm>
                    <a:prstGeom prst="rect">
                      <a:avLst/>
                    </a:prstGeom>
                    <a:noFill/>
                  </pic:spPr>
                </pic:pic>
              </a:graphicData>
            </a:graphic>
          </wp:anchor>
        </w:drawing>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Jonathan C. Woolf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11430</wp:posOffset>
            </wp:positionV>
            <wp:extent cx="2663825" cy="152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663825"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Name: Jonathan C. Woolf</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Title: Managing Director</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321" w:name="page322"/>
    <w:bookmarkEnd w:id="321"/>
    <w:p>
      <w:pPr>
        <w:jc w:val="right"/>
        <w:spacing w:after="0"/>
        <w:rPr>
          <w:sz w:val="20"/>
          <w:szCs w:val="20"/>
          <w:color w:val="auto"/>
        </w:rPr>
      </w:pPr>
      <w:r>
        <w:rPr>
          <w:rFonts w:ascii="Arial" w:cs="Arial" w:eastAsia="Arial" w:hAnsi="Arial"/>
          <w:sz w:val="19"/>
          <w:szCs w:val="19"/>
          <w:b w:val="1"/>
          <w:bCs w:val="1"/>
          <w:color w:val="auto"/>
        </w:rPr>
        <w:t>EXHIBIT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EXERCISE NOTICE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EXECUTED BY THE REGISTERED PURCHASER TO EXERCISE THIS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OPTION TO PURCHASE LIFEMAP COMMON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BIOTIME, INC.</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undersigned Purchaser hereby exercises the right to purchase _________________ LifeMap Shares (“</w:t>
      </w:r>
      <w:r>
        <w:rPr>
          <w:rFonts w:ascii="Arial" w:cs="Arial" w:eastAsia="Arial" w:hAnsi="Arial"/>
          <w:sz w:val="14"/>
          <w:szCs w:val="14"/>
          <w:b w:val="1"/>
          <w:bCs w:val="1"/>
          <w:color w:val="auto"/>
        </w:rPr>
        <w:t>LifeMap Shares</w:t>
      </w:r>
      <w:r>
        <w:rPr>
          <w:rFonts w:ascii="Arial" w:cs="Arial" w:eastAsia="Arial" w:hAnsi="Arial"/>
          <w:sz w:val="14"/>
          <w:szCs w:val="14"/>
          <w:color w:val="auto"/>
        </w:rPr>
        <w:t>”) of LifeMap Sciences, Inc., a California</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corporation, held by BioTime, Inc. (the “</w:t>
      </w:r>
      <w:r>
        <w:rPr>
          <w:rFonts w:ascii="Arial" w:cs="Arial" w:eastAsia="Arial" w:hAnsi="Arial"/>
          <w:sz w:val="15"/>
          <w:szCs w:val="15"/>
          <w:b w:val="1"/>
          <w:bCs w:val="1"/>
          <w:color w:val="auto"/>
        </w:rPr>
        <w:t>Company</w:t>
      </w:r>
      <w:r>
        <w:rPr>
          <w:rFonts w:ascii="Arial" w:cs="Arial" w:eastAsia="Arial" w:hAnsi="Arial"/>
          <w:sz w:val="15"/>
          <w:szCs w:val="15"/>
          <w:color w:val="auto"/>
        </w:rPr>
        <w:t>”), pursuant to the attached Option Agreement and tenders herewith __________ shares of Series A Preferred Stock, duly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endorsed in blank, in exchange for such LifeMap Shares.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Capitalized terms used herein and not otherwise defined shall have the respective meanings set forth in the Option Agreement.</w:t>
      </w:r>
    </w:p>
    <w:p>
      <w:pPr>
        <w:spacing w:after="0" w:line="21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Date:</w:t>
        <w:tab/>
        <w:t>_______________ 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251460</wp:posOffset>
            </wp:positionV>
            <wp:extent cx="3263900" cy="152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387"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Name of Registered Purchaser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11430</wp:posOffset>
            </wp:positionV>
            <wp:extent cx="2903855" cy="152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903855" cy="15240"/>
                    </a:xfrm>
                    <a:prstGeom prst="rect">
                      <a:avLst/>
                    </a:prstGeom>
                    <a:noFill/>
                  </pic:spPr>
                </pic:pic>
              </a:graphicData>
            </a:graphic>
          </wp:anchor>
        </w:drawing>
      </w:r>
    </w:p>
    <w:p>
      <w:pPr>
        <w:spacing w:after="0" w:line="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Name:</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5"/>
          <w:szCs w:val="15"/>
          <w:color w:val="auto"/>
        </w:rPr>
        <w:t>NOTE: The above signature should correspond exactly with the name of the Purchaser in the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63765" cy="152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6"/>
          <w:szCs w:val="16"/>
          <w:b w:val="1"/>
          <w:bCs w:val="1"/>
          <w:color w:val="auto"/>
        </w:rPr>
        <w:t>ACKNOWLEDGMENT</w:t>
      </w:r>
    </w:p>
    <w:p>
      <w:pPr>
        <w:spacing w:after="0" w:line="222"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The Company hereby acknowledges this Exercise Notice and hereby directs [Transfer Agent] to issue the above indicated number of LifeMap Shares in accordance with the Transfer Agent Instructions dated ________ from the Company and acknowledged and agreed to by [Transfer Agent].</w:t>
      </w:r>
    </w:p>
    <w:p>
      <w:pPr>
        <w:spacing w:after="0" w:line="177"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BIOTIME, INC.</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11430</wp:posOffset>
            </wp:positionV>
            <wp:extent cx="2753995" cy="152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753995" cy="15240"/>
                    </a:xfrm>
                    <a:prstGeom prst="rect">
                      <a:avLst/>
                    </a:prstGeom>
                    <a:noFill/>
                  </pic:spPr>
                </pic:pic>
              </a:graphicData>
            </a:graphic>
          </wp:anchor>
        </w:drawing>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Name:</w:t>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263765" cy="152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23" w:name="page324"/>
    <w:bookmarkEnd w:id="323"/>
    <w:p>
      <w:pPr>
        <w:jc w:val="center"/>
        <w:spacing w:after="0"/>
        <w:rPr>
          <w:sz w:val="20"/>
          <w:szCs w:val="20"/>
          <w:color w:val="auto"/>
        </w:rPr>
      </w:pPr>
      <w:r>
        <w:rPr>
          <w:rFonts w:ascii="Arial" w:cs="Arial" w:eastAsia="Arial" w:hAnsi="Arial"/>
          <w:sz w:val="16"/>
          <w:szCs w:val="16"/>
          <w:b w:val="1"/>
          <w:bCs w:val="1"/>
          <w:color w:val="auto"/>
        </w:rPr>
        <w:t>OPTION AGREEMENT</w:t>
      </w:r>
    </w:p>
    <w:p>
      <w:pPr>
        <w:spacing w:after="0" w:line="194" w:lineRule="exact"/>
        <w:rPr>
          <w:sz w:val="20"/>
          <w:szCs w:val="20"/>
          <w:color w:val="auto"/>
        </w:rPr>
      </w:pPr>
    </w:p>
    <w:p>
      <w:pPr>
        <w:jc w:val="both"/>
        <w:ind w:right="20" w:firstLine="1134"/>
        <w:spacing w:after="0" w:line="259" w:lineRule="auto"/>
        <w:rPr>
          <w:sz w:val="20"/>
          <w:szCs w:val="20"/>
          <w:color w:val="auto"/>
        </w:rPr>
      </w:pPr>
      <w:r>
        <w:rPr>
          <w:rFonts w:ascii="Arial" w:cs="Arial" w:eastAsia="Arial" w:hAnsi="Arial"/>
          <w:sz w:val="16"/>
          <w:szCs w:val="16"/>
          <w:color w:val="auto"/>
        </w:rPr>
        <w:t>This Option Agreement (“Option”) is entered into as of March 4, 2014 (the “</w:t>
      </w:r>
      <w:r>
        <w:rPr>
          <w:rFonts w:ascii="Arial" w:cs="Arial" w:eastAsia="Arial" w:hAnsi="Arial"/>
          <w:sz w:val="16"/>
          <w:szCs w:val="16"/>
          <w:b w:val="1"/>
          <w:bCs w:val="1"/>
          <w:color w:val="auto"/>
        </w:rPr>
        <w:t>Effective Date</w:t>
      </w:r>
      <w:r>
        <w:rPr>
          <w:rFonts w:ascii="Arial" w:cs="Arial" w:eastAsia="Arial" w:hAnsi="Arial"/>
          <w:sz w:val="16"/>
          <w:szCs w:val="16"/>
          <w:color w:val="auto"/>
        </w:rPr>
        <w:t>”) by BioTime, Inc., a California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ALB Private Investments, LLC (the “</w:t>
      </w:r>
      <w:r>
        <w:rPr>
          <w:rFonts w:ascii="Arial" w:cs="Arial" w:eastAsia="Arial" w:hAnsi="Arial"/>
          <w:sz w:val="16"/>
          <w:szCs w:val="16"/>
          <w:b w:val="1"/>
          <w:bCs w:val="1"/>
          <w:color w:val="auto"/>
        </w:rPr>
        <w:t>Purchaser</w:t>
      </w:r>
      <w:r>
        <w:rPr>
          <w:rFonts w:ascii="Arial" w:cs="Arial" w:eastAsia="Arial" w:hAnsi="Arial"/>
          <w:sz w:val="16"/>
          <w:szCs w:val="16"/>
          <w:color w:val="auto"/>
        </w:rPr>
        <w:t>”) in connection that certain Preferred Stock Purchase Agreement, dated March 4, 2014, between the Company and Purchaser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w:t>
      </w:r>
    </w:p>
    <w:p>
      <w:pPr>
        <w:spacing w:after="0" w:line="188" w:lineRule="exact"/>
        <w:rPr>
          <w:sz w:val="20"/>
          <w:szCs w:val="20"/>
          <w:color w:val="auto"/>
        </w:rPr>
      </w:pPr>
    </w:p>
    <w:p>
      <w:pPr>
        <w:ind w:left="1640" w:hanging="511"/>
        <w:spacing w:after="0"/>
        <w:tabs>
          <w:tab w:leader="none" w:pos="1640"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GRANT OF OPTION.</w:t>
      </w:r>
    </w:p>
    <w:p>
      <w:pPr>
        <w:spacing w:after="0" w:line="213" w:lineRule="exact"/>
        <w:rPr>
          <w:rFonts w:ascii="Arial" w:cs="Arial" w:eastAsia="Arial" w:hAnsi="Arial"/>
          <w:sz w:val="16"/>
          <w:szCs w:val="16"/>
          <w:color w:val="auto"/>
        </w:rPr>
      </w:pPr>
    </w:p>
    <w:p>
      <w:pPr>
        <w:jc w:val="both"/>
        <w:ind w:right="20" w:firstLine="1696"/>
        <w:spacing w:after="0" w:line="298" w:lineRule="auto"/>
        <w:tabs>
          <w:tab w:leader="none" w:pos="2130" w:val="left"/>
        </w:tabs>
        <w:numPr>
          <w:ilvl w:val="1"/>
          <w:numId w:val="225"/>
        </w:numPr>
        <w:rPr>
          <w:rFonts w:ascii="Arial" w:cs="Arial" w:eastAsia="Arial" w:hAnsi="Arial"/>
          <w:sz w:val="14"/>
          <w:szCs w:val="14"/>
          <w:color w:val="auto"/>
        </w:rPr>
      </w:pPr>
      <w:r>
        <w:rPr>
          <w:rFonts w:ascii="Arial" w:cs="Arial" w:eastAsia="Arial" w:hAnsi="Arial"/>
          <w:sz w:val="14"/>
          <w:szCs w:val="14"/>
          <w:u w:val="single" w:color="auto"/>
          <w:color w:val="auto"/>
        </w:rPr>
        <w:t>Option</w:t>
      </w:r>
      <w:r>
        <w:rPr>
          <w:rFonts w:ascii="Arial" w:cs="Arial" w:eastAsia="Arial" w:hAnsi="Arial"/>
          <w:sz w:val="14"/>
          <w:szCs w:val="14"/>
          <w:color w:val="auto"/>
        </w:rPr>
        <w:t>. The Company hereby grants to Purchaser the option (the “</w:t>
      </w:r>
      <w:r>
        <w:rPr>
          <w:rFonts w:ascii="Arial" w:cs="Arial" w:eastAsia="Arial" w:hAnsi="Arial"/>
          <w:sz w:val="14"/>
          <w:szCs w:val="14"/>
          <w:b w:val="1"/>
          <w:bCs w:val="1"/>
          <w:color w:val="auto"/>
        </w:rPr>
        <w:t>Option</w:t>
      </w:r>
      <w:r>
        <w:rPr>
          <w:rFonts w:ascii="Arial" w:cs="Arial" w:eastAsia="Arial" w:hAnsi="Arial"/>
          <w:sz w:val="14"/>
          <w:szCs w:val="14"/>
          <w:color w:val="auto"/>
        </w:rPr>
        <w:t>”) to exchange shares of the Company’s Series A Convertible Preferred Stock (“</w:t>
      </w:r>
      <w:r>
        <w:rPr>
          <w:rFonts w:ascii="Arial" w:cs="Arial" w:eastAsia="Arial" w:hAnsi="Arial"/>
          <w:sz w:val="14"/>
          <w:szCs w:val="14"/>
          <w:b w:val="1"/>
          <w:bCs w:val="1"/>
          <w:color w:val="auto"/>
        </w:rPr>
        <w:t>Series A Preferred Stock”)</w:t>
      </w:r>
      <w:r>
        <w:rPr>
          <w:rFonts w:ascii="Arial" w:cs="Arial" w:eastAsia="Arial" w:hAnsi="Arial"/>
          <w:sz w:val="14"/>
          <w:szCs w:val="14"/>
          <w:color w:val="auto"/>
        </w:rPr>
        <w:t xml:space="preserve"> for Common Stock of LifeMap Sciences, Inc. (“</w:t>
      </w:r>
      <w:r>
        <w:rPr>
          <w:rFonts w:ascii="Arial" w:cs="Arial" w:eastAsia="Arial" w:hAnsi="Arial"/>
          <w:sz w:val="14"/>
          <w:szCs w:val="14"/>
          <w:b w:val="1"/>
          <w:bCs w:val="1"/>
          <w:color w:val="auto"/>
        </w:rPr>
        <w:t>LifeMap</w:t>
      </w:r>
      <w:r>
        <w:rPr>
          <w:rFonts w:ascii="Arial" w:cs="Arial" w:eastAsia="Arial" w:hAnsi="Arial"/>
          <w:sz w:val="14"/>
          <w:szCs w:val="14"/>
          <w:color w:val="auto"/>
        </w:rPr>
        <w:t>”) owned by the Company (the “</w:t>
      </w:r>
      <w:r>
        <w:rPr>
          <w:rFonts w:ascii="Arial" w:cs="Arial" w:eastAsia="Arial" w:hAnsi="Arial"/>
          <w:sz w:val="14"/>
          <w:szCs w:val="14"/>
          <w:b w:val="1"/>
          <w:bCs w:val="1"/>
          <w:color w:val="auto"/>
        </w:rPr>
        <w:t>LifeMap Shares</w:t>
      </w:r>
      <w:r>
        <w:rPr>
          <w:rFonts w:ascii="Arial" w:cs="Arial" w:eastAsia="Arial" w:hAnsi="Arial"/>
          <w:sz w:val="14"/>
          <w:szCs w:val="14"/>
          <w:color w:val="auto"/>
        </w:rPr>
        <w:t>”), free of any liens and charges and preemptive or similar rights. The Option shall expire if not exercised on or before the earliest to occur of (a) 5:00 p.m. New York time on March 4, 2019</w:t>
      </w:r>
      <w:r>
        <w:rPr>
          <w:rFonts w:ascii="Arial" w:cs="Arial" w:eastAsia="Arial" w:hAnsi="Arial"/>
          <w:sz w:val="14"/>
          <w:szCs w:val="14"/>
          <w:i w:val="1"/>
          <w:iCs w:val="1"/>
          <w:color w:val="auto"/>
        </w:rPr>
        <w:t>,</w:t>
      </w:r>
      <w:r>
        <w:rPr>
          <w:rFonts w:ascii="Arial" w:cs="Arial" w:eastAsia="Arial" w:hAnsi="Arial"/>
          <w:sz w:val="14"/>
          <w:szCs w:val="14"/>
          <w:color w:val="auto"/>
        </w:rPr>
        <w:t xml:space="preserve"> (b) the date on which all of the share of Series A Preferred Stock held by Purchaser have been converted into common shares of the Company, or the date on which all of the shares of Series A Preferred Stock issued by the Company to Purchaser shall have been sold or transferred otherwise than in a sale or transfer described in Section 4(a) (the “</w:t>
      </w:r>
      <w:r>
        <w:rPr>
          <w:rFonts w:ascii="Arial" w:cs="Arial" w:eastAsia="Arial" w:hAnsi="Arial"/>
          <w:sz w:val="14"/>
          <w:szCs w:val="14"/>
          <w:b w:val="1"/>
          <w:bCs w:val="1"/>
          <w:color w:val="auto"/>
        </w:rPr>
        <w:t>Expiration Date</w:t>
      </w:r>
      <w:r>
        <w:rPr>
          <w:rFonts w:ascii="Arial" w:cs="Arial" w:eastAsia="Arial" w:hAnsi="Arial"/>
          <w:sz w:val="14"/>
          <w:szCs w:val="14"/>
          <w:color w:val="auto"/>
        </w:rPr>
        <w:t>”).</w:t>
      </w:r>
    </w:p>
    <w:p>
      <w:pPr>
        <w:spacing w:after="0" w:line="162" w:lineRule="exact"/>
        <w:rPr>
          <w:rFonts w:ascii="Arial" w:cs="Arial" w:eastAsia="Arial" w:hAnsi="Arial"/>
          <w:sz w:val="14"/>
          <w:szCs w:val="14"/>
          <w:color w:val="auto"/>
        </w:rPr>
      </w:pPr>
    </w:p>
    <w:p>
      <w:pPr>
        <w:ind w:right="20" w:firstLine="1696"/>
        <w:spacing w:after="0" w:line="267" w:lineRule="auto"/>
        <w:tabs>
          <w:tab w:leader="none" w:pos="2186" w:val="left"/>
        </w:tabs>
        <w:numPr>
          <w:ilvl w:val="1"/>
          <w:numId w:val="225"/>
        </w:numPr>
        <w:rPr>
          <w:rFonts w:ascii="Arial" w:cs="Arial" w:eastAsia="Arial" w:hAnsi="Arial"/>
          <w:sz w:val="16"/>
          <w:szCs w:val="16"/>
          <w:color w:val="auto"/>
        </w:rPr>
      </w:pPr>
      <w:r>
        <w:rPr>
          <w:rFonts w:ascii="Arial" w:cs="Arial" w:eastAsia="Arial" w:hAnsi="Arial"/>
          <w:sz w:val="16"/>
          <w:szCs w:val="16"/>
          <w:u w:val="single" w:color="auto"/>
          <w:color w:val="auto"/>
        </w:rPr>
        <w:t>Exchange Ratio</w:t>
      </w:r>
      <w:r>
        <w:rPr>
          <w:rFonts w:ascii="Arial" w:cs="Arial" w:eastAsia="Arial" w:hAnsi="Arial"/>
          <w:sz w:val="16"/>
          <w:szCs w:val="16"/>
          <w:color w:val="auto"/>
        </w:rPr>
        <w:t>. Series A Preferred Stock may be exchanged for LifeMap Shares at the ratio of one share of Series A Preferred Stock for 12.5 LifeMap Shares, subject to adjustment as provided in Section 3 (the “</w:t>
      </w:r>
      <w:r>
        <w:rPr>
          <w:rFonts w:ascii="Arial" w:cs="Arial" w:eastAsia="Arial" w:hAnsi="Arial"/>
          <w:sz w:val="16"/>
          <w:szCs w:val="16"/>
          <w:b w:val="1"/>
          <w:bCs w:val="1"/>
          <w:color w:val="auto"/>
        </w:rPr>
        <w:t>Exchange Ratio</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right="60" w:firstLine="1696"/>
        <w:spacing w:after="0" w:line="340" w:lineRule="auto"/>
        <w:tabs>
          <w:tab w:leader="none" w:pos="2083" w:val="left"/>
        </w:tabs>
        <w:numPr>
          <w:ilvl w:val="1"/>
          <w:numId w:val="225"/>
        </w:numPr>
        <w:rPr>
          <w:rFonts w:ascii="Arial" w:cs="Arial" w:eastAsia="Arial" w:hAnsi="Arial"/>
          <w:sz w:val="14"/>
          <w:szCs w:val="14"/>
          <w:color w:val="auto"/>
        </w:rPr>
      </w:pPr>
      <w:r>
        <w:rPr>
          <w:rFonts w:ascii="Arial" w:cs="Arial" w:eastAsia="Arial" w:hAnsi="Arial"/>
          <w:sz w:val="14"/>
          <w:szCs w:val="14"/>
          <w:u w:val="single" w:color="auto"/>
          <w:color w:val="auto"/>
        </w:rPr>
        <w:t>Minimum Exercise</w:t>
      </w:r>
      <w:r>
        <w:rPr>
          <w:rFonts w:ascii="Arial" w:cs="Arial" w:eastAsia="Arial" w:hAnsi="Arial"/>
          <w:sz w:val="14"/>
          <w:szCs w:val="14"/>
          <w:color w:val="auto"/>
        </w:rPr>
        <w:t xml:space="preserve">. This Option may be exercised by Purchaser in whole or in part;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partial exercise of this Option shall not be for less than the lower of (i) 10,000 LifeMap Shares and (ii) all of the remaining LifeMap Shares that are issuable upon the exercise of the Option held by the Purchaser.</w:t>
      </w:r>
    </w:p>
    <w:p>
      <w:pPr>
        <w:spacing w:after="0" w:line="134" w:lineRule="exact"/>
        <w:rPr>
          <w:rFonts w:ascii="Arial" w:cs="Arial" w:eastAsia="Arial" w:hAnsi="Arial"/>
          <w:sz w:val="14"/>
          <w:szCs w:val="14"/>
          <w:color w:val="auto"/>
        </w:rPr>
      </w:pPr>
    </w:p>
    <w:p>
      <w:pPr>
        <w:ind w:left="1640" w:hanging="511"/>
        <w:spacing w:after="0"/>
        <w:tabs>
          <w:tab w:leader="none" w:pos="1640"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p>
    <w:p>
      <w:pPr>
        <w:spacing w:after="0" w:line="217" w:lineRule="exact"/>
        <w:rPr>
          <w:rFonts w:ascii="Arial" w:cs="Arial" w:eastAsia="Arial" w:hAnsi="Arial"/>
          <w:sz w:val="16"/>
          <w:szCs w:val="16"/>
          <w:color w:val="auto"/>
        </w:rPr>
      </w:pPr>
    </w:p>
    <w:p>
      <w:pPr>
        <w:jc w:val="both"/>
        <w:ind w:firstLine="1696"/>
        <w:spacing w:after="0" w:line="274" w:lineRule="auto"/>
        <w:tabs>
          <w:tab w:leader="none" w:pos="2225" w:val="left"/>
        </w:tabs>
        <w:numPr>
          <w:ilvl w:val="1"/>
          <w:numId w:val="225"/>
        </w:numPr>
        <w:rPr>
          <w:rFonts w:ascii="Arial" w:cs="Arial" w:eastAsia="Arial" w:hAnsi="Arial"/>
          <w:sz w:val="14"/>
          <w:szCs w:val="14"/>
          <w:color w:val="auto"/>
        </w:rPr>
      </w:pPr>
      <w:r>
        <w:rPr>
          <w:rFonts w:ascii="Arial" w:cs="Arial" w:eastAsia="Arial" w:hAnsi="Arial"/>
          <w:sz w:val="14"/>
          <w:szCs w:val="14"/>
          <w:u w:val="single" w:color="auto"/>
          <w:color w:val="auto"/>
        </w:rPr>
        <w:t>Mechanics of Exercise</w:t>
      </w:r>
      <w:r>
        <w:rPr>
          <w:rFonts w:ascii="Arial" w:cs="Arial" w:eastAsia="Arial" w:hAnsi="Arial"/>
          <w:sz w:val="14"/>
          <w:szCs w:val="14"/>
          <w:color w:val="auto"/>
        </w:rPr>
        <w:t xml:space="preserve">. Subject to the terms and conditions hereof (including, without limitation, the limitations set forth in Section 1(c) and Section 4), this Option may be exercised by the Purchaser at any time or times on or after the Effective Date, in whole or in part, subject to Section 1(c), by (i) delivery of a written notice, in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(the "</w:t>
      </w:r>
      <w:r>
        <w:rPr>
          <w:rFonts w:ascii="Arial" w:cs="Arial" w:eastAsia="Arial" w:hAnsi="Arial"/>
          <w:sz w:val="14"/>
          <w:szCs w:val="14"/>
          <w:b w:val="1"/>
          <w:bCs w:val="1"/>
          <w:color w:val="auto"/>
        </w:rPr>
        <w:t>Exercise Notice</w:t>
      </w:r>
      <w:r>
        <w:rPr>
          <w:rFonts w:ascii="Arial" w:cs="Arial" w:eastAsia="Arial" w:hAnsi="Arial"/>
          <w:sz w:val="14"/>
          <w:szCs w:val="14"/>
          <w:color w:val="auto"/>
        </w:rPr>
        <w:t>"), duly completed and executed by Purchaser, stating Purchaser's election to exercise this Option, the number of shares of Series A Preferred Stock being tendered in exchange for LifeMap Shares upon exercise of this Option, and the number of LifeMap Shares being issued upon such exchange, and (ii) delivery of shares of Series A Preferred Stock, endorsed in blank, to the Company to be exchange for LifeMap Shares at the Exchange Ratio then in effect. On or before the first (1</w:t>
      </w:r>
      <w:r>
        <w:rPr>
          <w:rFonts w:ascii="Arial" w:cs="Arial" w:eastAsia="Arial" w:hAnsi="Arial"/>
          <w:sz w:val="23"/>
          <w:szCs w:val="23"/>
          <w:color w:val="auto"/>
          <w:vertAlign w:val="superscript"/>
        </w:rPr>
        <w:t>st</w:t>
      </w:r>
      <w:r>
        <w:rPr>
          <w:rFonts w:ascii="Arial" w:cs="Arial" w:eastAsia="Arial" w:hAnsi="Arial"/>
          <w:sz w:val="14"/>
          <w:szCs w:val="14"/>
          <w:color w:val="auto"/>
        </w:rPr>
        <w:t>) Trading Day following the date on which the Company has received the Exercise Notice and shares of Series A Preferred Stock, the Company shall transmit by facsimile an acknowledgment of confirmation of receipt of the Exercise Notice to the Purchaser and the transfer agent of the LifeMap Shares (the "</w:t>
      </w:r>
      <w:r>
        <w:rPr>
          <w:rFonts w:ascii="Arial" w:cs="Arial" w:eastAsia="Arial" w:hAnsi="Arial"/>
          <w:sz w:val="14"/>
          <w:szCs w:val="14"/>
          <w:b w:val="1"/>
          <w:bCs w:val="1"/>
          <w:color w:val="auto"/>
        </w:rPr>
        <w:t>Transfer Agent</w:t>
      </w:r>
      <w:r>
        <w:rPr>
          <w:rFonts w:ascii="Arial" w:cs="Arial" w:eastAsia="Arial" w:hAnsi="Arial"/>
          <w:sz w:val="14"/>
          <w:szCs w:val="14"/>
          <w:color w:val="auto"/>
        </w:rPr>
        <w:t>"), if any. On or before the third (3rd) Trading Day following the date on which the Company has received the Exercise Notice, so long as the Purchaser delivers a number of shares of Series A Preferred Stock sufficient for such exercise at the Exchange Ratio (the “</w:t>
      </w:r>
      <w:r>
        <w:rPr>
          <w:rFonts w:ascii="Arial" w:cs="Arial" w:eastAsia="Arial" w:hAnsi="Arial"/>
          <w:sz w:val="14"/>
          <w:szCs w:val="14"/>
          <w:b w:val="1"/>
          <w:bCs w:val="1"/>
          <w:color w:val="auto"/>
        </w:rPr>
        <w:t>Aggregate Option Exchange Shares</w:t>
      </w:r>
      <w:r>
        <w:rPr>
          <w:rFonts w:ascii="Arial" w:cs="Arial" w:eastAsia="Arial" w:hAnsi="Arial"/>
          <w:sz w:val="14"/>
          <w:szCs w:val="14"/>
          <w:color w:val="auto"/>
        </w:rPr>
        <w:t>”) on or prior to the second (2nd) Trading Day following the date on which the Company has received the Exercise Notice (the "</w:t>
      </w:r>
      <w:r>
        <w:rPr>
          <w:rFonts w:ascii="Arial" w:cs="Arial" w:eastAsia="Arial" w:hAnsi="Arial"/>
          <w:sz w:val="14"/>
          <w:szCs w:val="14"/>
          <w:b w:val="1"/>
          <w:bCs w:val="1"/>
          <w:color w:val="auto"/>
        </w:rPr>
        <w:t>Share Delivery Date</w:t>
      </w:r>
      <w:r>
        <w:rPr>
          <w:rFonts w:ascii="Arial" w:cs="Arial" w:eastAsia="Arial" w:hAnsi="Arial"/>
          <w:sz w:val="14"/>
          <w:szCs w:val="14"/>
          <w:color w:val="auto"/>
        </w:rPr>
        <w:t>") (provided that if the Aggregate Option Exchange Shares have not been delivered by such date, the Share Delivery Date shall be one (1) Trading Day after the Aggregate Option Exchange Shares are delivered), the Company shall (X) provided that the Transfer Agent is participating in The Depository Trust Company ("</w:t>
      </w:r>
      <w:r>
        <w:rPr>
          <w:rFonts w:ascii="Arial" w:cs="Arial" w:eastAsia="Arial" w:hAnsi="Arial"/>
          <w:sz w:val="14"/>
          <w:szCs w:val="14"/>
          <w:b w:val="1"/>
          <w:bCs w:val="1"/>
          <w:color w:val="auto"/>
        </w:rPr>
        <w:t>DTC</w:t>
      </w:r>
      <w:r>
        <w:rPr>
          <w:rFonts w:ascii="Arial" w:cs="Arial" w:eastAsia="Arial" w:hAnsi="Arial"/>
          <w:sz w:val="14"/>
          <w:szCs w:val="14"/>
          <w:color w:val="auto"/>
        </w:rPr>
        <w:t>") Fast Automated Securities Transfer Program, credit such aggregate number of LifeMap Shares to which the Purchaser is entitled pursuant to such exercise to the Purchaser's or its designee's balance account with DTC through its Deposit / Withdrawal At Custodian system, or (Y) if the Transfer Agent is not participating in the DTC Fast Automated Securities Transfer Program, or if there is no Transfer Agent, issue and dispatch by overnight courier to the address as specified in the Exercise Notice, a certificate, registered in the name of the Purchaser or its designee, for the number of LifeMap Shares to which the Purchaser is entitled pursuant to such exercise. The Company shall be responsible for all fees and expenses of the Transfer Agent and all fees and expenses with respect to the transfer of LifeMap Shares to the Purchaser, if any. No fractional LifeMap Shares are to be issued upon the exercise of this Option, but rather the number of LifeMap Shares to be issued shall be rounded down to the nearest whole number. The Company shall pay any and all taxes which may be payable with respect to the transfer of LifeMap Shares to the Purchaser upon exercise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7263765" cy="152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324" w:name="page325"/>
    <w:bookmarkEnd w:id="324"/>
    <w:p>
      <w:pPr>
        <w:jc w:val="both"/>
        <w:ind w:firstLine="1696"/>
        <w:spacing w:after="0" w:line="257" w:lineRule="auto"/>
        <w:tabs>
          <w:tab w:leader="none" w:pos="2139"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Reissue of Stock Certificate</w:t>
      </w:r>
      <w:r>
        <w:rPr>
          <w:rFonts w:ascii="Arial" w:cs="Arial" w:eastAsia="Arial" w:hAnsi="Arial"/>
          <w:sz w:val="16"/>
          <w:szCs w:val="16"/>
          <w:color w:val="auto"/>
        </w:rPr>
        <w:t>. If the Purchaser delivers to the Company a number of shares of Series A Preferred Stock greater than the Aggregate Option Exchange Shares upon the exercise of this Option, the Company shall issue to Purchaser a replacement Series A Preferred Stock certificate for the number of shares of Series A Preferred Stock in excess of the Aggregate Option Exchange Shares.</w:t>
      </w:r>
    </w:p>
    <w:p>
      <w:pPr>
        <w:spacing w:after="0" w:line="188" w:lineRule="exact"/>
        <w:rPr>
          <w:rFonts w:ascii="Arial" w:cs="Arial" w:eastAsia="Arial" w:hAnsi="Arial"/>
          <w:sz w:val="16"/>
          <w:szCs w:val="16"/>
          <w:color w:val="auto"/>
        </w:rPr>
      </w:pPr>
    </w:p>
    <w:p>
      <w:pPr>
        <w:jc w:val="both"/>
        <w:ind w:firstLine="1696"/>
        <w:spacing w:after="0" w:line="275" w:lineRule="auto"/>
        <w:tabs>
          <w:tab w:leader="none" w:pos="2178" w:val="left"/>
        </w:tabs>
        <w:numPr>
          <w:ilvl w:val="0"/>
          <w:numId w:val="226"/>
        </w:numPr>
        <w:rPr>
          <w:rFonts w:ascii="Arial" w:cs="Arial" w:eastAsia="Arial" w:hAnsi="Arial"/>
          <w:sz w:val="14"/>
          <w:szCs w:val="14"/>
          <w:color w:val="auto"/>
        </w:rPr>
      </w:pPr>
      <w:r>
        <w:rPr>
          <w:rFonts w:ascii="Arial" w:cs="Arial" w:eastAsia="Arial" w:hAnsi="Arial"/>
          <w:sz w:val="14"/>
          <w:szCs w:val="14"/>
          <w:u w:val="single" w:color="auto"/>
          <w:color w:val="auto"/>
        </w:rPr>
        <w:t>Company's Failure to Timely Deliver Securities</w:t>
      </w:r>
      <w:r>
        <w:rPr>
          <w:rFonts w:ascii="Arial" w:cs="Arial" w:eastAsia="Arial" w:hAnsi="Arial"/>
          <w:sz w:val="14"/>
          <w:szCs w:val="14"/>
          <w:color w:val="auto"/>
        </w:rPr>
        <w:t>. If the Company shall fail for any reason or for no reason to transfer to the Purchaser, or cause LifeMap to issue, on or prior to the Share Delivery Date, a certificate for the number of LifeMap Shares to which the Purchaser is entitled and cause such LifeMap Shares to be registered on LifeMap's share register or to credit the Purchaser's balance account with DTC for such number of LifeMap Shares to which the Purchaser is entitled upon the Purchaser's exercise of this Option, then, in addition to all other remedies available to the Purchaser, the Company (X) shall pay in cash to the Purchaser on each day after such third (3</w:t>
      </w:r>
      <w:r>
        <w:rPr>
          <w:rFonts w:ascii="Arial" w:cs="Arial" w:eastAsia="Arial" w:hAnsi="Arial"/>
          <w:sz w:val="23"/>
          <w:szCs w:val="23"/>
          <w:color w:val="auto"/>
          <w:vertAlign w:val="superscript"/>
        </w:rPr>
        <w:t>rd</w:t>
      </w:r>
      <w:r>
        <w:rPr>
          <w:rFonts w:ascii="Arial" w:cs="Arial" w:eastAsia="Arial" w:hAnsi="Arial"/>
          <w:sz w:val="14"/>
          <w:szCs w:val="14"/>
          <w:color w:val="auto"/>
        </w:rPr>
        <w:t>) Trading Day that the transfer of such LifeMap Shares is not timely effected an amount equal to 1.5% of the product of (A) the sum of the number of LifeMap Shares not transferred to the Purchaser on a timely basis and to which the Purchaser is entitled and (B) the Closing Sale Price of the LifeMap Shares on the Trading Day immediately preceding the last possible date which the Company could have transferred such LifeMap Shares to the Purchaser without violating Section 2(a), or if the LifeMap Shares are then not traded on an Eligible Market, $4.00 (the “</w:t>
      </w:r>
      <w:r>
        <w:rPr>
          <w:rFonts w:ascii="Arial" w:cs="Arial" w:eastAsia="Arial" w:hAnsi="Arial"/>
          <w:sz w:val="14"/>
          <w:szCs w:val="14"/>
          <w:b w:val="1"/>
          <w:bCs w:val="1"/>
          <w:color w:val="auto"/>
        </w:rPr>
        <w:t>Designated Price</w:t>
      </w:r>
      <w:r>
        <w:rPr>
          <w:rFonts w:ascii="Arial" w:cs="Arial" w:eastAsia="Arial" w:hAnsi="Arial"/>
          <w:sz w:val="14"/>
          <w:szCs w:val="14"/>
          <w:color w:val="auto"/>
        </w:rPr>
        <w:t>”), and (Y) the Purchaser, upon written notice to the Company, may void its Exercise Notice with respect to, and retain or have returned, as the case may be, any shares of Series A Preferred Stock cancelled in connection with such voided exercise; provided that the voiding of an exercise shall not affect the Company's obligations to make any payments which have accrued prior to the date of such notice pursuant to this Section 2(c) or otherwise. In addition to the foregoing, if on or prior to the Share Delivery Date, the Company shall fail to transfer, or cause LifeMap to issue, a certificate to the Purchaser and cause the registration of such LifeMap Shares on LifeMap's share register or credit the Purchaser's balance account with DTC for the number of LifeMap Shares to which the Purchaser is entitled upon the Purchaser's exercise of this Option or pursuant to the Company's obligation pursuant to clause (ii) below, as applicable, and if on or after such Trading Day the Purchaser purchases (in an open market transaction or otherwise) LifeMap Shares to deliver in satisfaction of a sale by the Purchaser of LifeMap Shares issuable upon such exercise that the Purchaser anticipated receiving from the Company (a "</w:t>
      </w:r>
      <w:r>
        <w:rPr>
          <w:rFonts w:ascii="Arial" w:cs="Arial" w:eastAsia="Arial" w:hAnsi="Arial"/>
          <w:sz w:val="14"/>
          <w:szCs w:val="14"/>
          <w:b w:val="1"/>
          <w:bCs w:val="1"/>
          <w:color w:val="auto"/>
        </w:rPr>
        <w:t>Buy-In</w:t>
      </w:r>
      <w:r>
        <w:rPr>
          <w:rFonts w:ascii="Arial" w:cs="Arial" w:eastAsia="Arial" w:hAnsi="Arial"/>
          <w:sz w:val="14"/>
          <w:szCs w:val="14"/>
          <w:color w:val="auto"/>
        </w:rPr>
        <w:t>"), then the Company shall, within three (3) Trading Days after the Purchaser's request and in the Purchaser's discretion, either (i) pay cash to the Purchaser in an amount equal to the Purchaser's total purchase price (including brokerage commissions and other out-of-pocket expenses, if any) for the LifeMap Shares so purchased (the "</w:t>
      </w:r>
      <w:r>
        <w:rPr>
          <w:rFonts w:ascii="Arial" w:cs="Arial" w:eastAsia="Arial" w:hAnsi="Arial"/>
          <w:sz w:val="14"/>
          <w:szCs w:val="14"/>
          <w:b w:val="1"/>
          <w:bCs w:val="1"/>
          <w:color w:val="auto"/>
        </w:rPr>
        <w:t>Buy-In Price</w:t>
      </w:r>
      <w:r>
        <w:rPr>
          <w:rFonts w:ascii="Arial" w:cs="Arial" w:eastAsia="Arial" w:hAnsi="Arial"/>
          <w:sz w:val="14"/>
          <w:szCs w:val="14"/>
          <w:color w:val="auto"/>
        </w:rPr>
        <w:t>"), at which point the Company's obligation to deliver such certificate (and to transfer LifeMap Shares) or credit such Purchaser's balance account with DTC for such LifeMap Shares shall terminate, or (ii) promptly honor its obligation to deliver to the Purchaser a certificate or certificates representing such LifeMap Shares or credit such Purchaser's balance account with DTC and pay cash to the Purchaser in an amount equal to the excess (if any) of the Buy-In Price over the product of (A) such number of LifeMap Shares, times (B) the Closing Bid Price on the date of exercise. Nothing shall limit the Purchaser's right to pursue a decree of specific performance and/or injunctive relief with respect to the Company's failure to timely deliver certificates representing LifeMap Shares (or to electronically deliver such LifeMap Shares) upon the exercise of this Option as required pursuant to the terms hereof.</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325" w:name="page326"/>
    <w:bookmarkEnd w:id="325"/>
    <w:p>
      <w:pPr>
        <w:ind w:left="5" w:right="20" w:firstLine="1696"/>
        <w:spacing w:after="0" w:line="301" w:lineRule="auto"/>
        <w:tabs>
          <w:tab w:leader="none" w:pos="2121" w:val="left"/>
        </w:tabs>
        <w:numPr>
          <w:ilvl w:val="2"/>
          <w:numId w:val="227"/>
        </w:numPr>
        <w:rPr>
          <w:rFonts w:ascii="Arial" w:cs="Arial" w:eastAsia="Arial" w:hAnsi="Arial"/>
          <w:sz w:val="15"/>
          <w:szCs w:val="15"/>
          <w:color w:val="auto"/>
        </w:rPr>
      </w:pPr>
      <w:r>
        <w:rPr>
          <w:rFonts w:ascii="Arial" w:cs="Arial" w:eastAsia="Arial" w:hAnsi="Arial"/>
          <w:sz w:val="15"/>
          <w:szCs w:val="15"/>
          <w:u w:val="single" w:color="auto"/>
          <w:color w:val="auto"/>
        </w:rPr>
        <w:t>Disputes</w:t>
      </w:r>
      <w:r>
        <w:rPr>
          <w:rFonts w:ascii="Arial" w:cs="Arial" w:eastAsia="Arial" w:hAnsi="Arial"/>
          <w:sz w:val="15"/>
          <w:szCs w:val="15"/>
          <w:color w:val="auto"/>
        </w:rPr>
        <w:t>. In the case of a dispute as to the determination of the Exchange Ratio or the arithmetic calculation of the LifeMap Shares, the Company shall promptly transfer to the Purchaser the number of LifeMap Shares that are not disputed and resolve such dispute in accordance with Section 12.</w:t>
      </w:r>
    </w:p>
    <w:p>
      <w:pPr>
        <w:spacing w:after="0" w:line="158" w:lineRule="exact"/>
        <w:rPr>
          <w:rFonts w:ascii="Arial" w:cs="Arial" w:eastAsia="Arial" w:hAnsi="Arial"/>
          <w:sz w:val="15"/>
          <w:szCs w:val="15"/>
          <w:color w:val="auto"/>
        </w:rPr>
      </w:pPr>
    </w:p>
    <w:p>
      <w:pPr>
        <w:ind w:left="1865" w:hanging="731"/>
        <w:spacing w:after="0"/>
        <w:tabs>
          <w:tab w:leader="none" w:pos="1865" w:val="left"/>
        </w:tabs>
        <w:numPr>
          <w:ilvl w:val="1"/>
          <w:numId w:val="228"/>
        </w:numPr>
        <w:rPr>
          <w:rFonts w:ascii="Arial" w:cs="Arial" w:eastAsia="Arial" w:hAnsi="Arial"/>
          <w:sz w:val="14"/>
          <w:szCs w:val="14"/>
          <w:color w:val="auto"/>
        </w:rPr>
      </w:pPr>
      <w:r>
        <w:rPr>
          <w:rFonts w:ascii="Arial" w:cs="Arial" w:eastAsia="Arial" w:hAnsi="Arial"/>
          <w:sz w:val="14"/>
          <w:szCs w:val="14"/>
          <w:u w:val="single" w:color="auto"/>
          <w:color w:val="auto"/>
        </w:rPr>
        <w:t>CERTAIN ADJUSTMENTS</w:t>
      </w:r>
      <w:r>
        <w:rPr>
          <w:rFonts w:ascii="Arial" w:cs="Arial" w:eastAsia="Arial" w:hAnsi="Arial"/>
          <w:sz w:val="14"/>
          <w:szCs w:val="14"/>
          <w:color w:val="auto"/>
        </w:rPr>
        <w:t>.  The Exchange Ratio and the number of LifeMap Shares purchasable hereunder shall be adjusted from time to time as</w:t>
      </w:r>
    </w:p>
    <w:p>
      <w:pPr>
        <w:spacing w:after="0" w:line="39" w:lineRule="exact"/>
        <w:rPr>
          <w:rFonts w:ascii="Arial" w:cs="Arial" w:eastAsia="Arial" w:hAnsi="Arial"/>
          <w:sz w:val="14"/>
          <w:szCs w:val="14"/>
          <w:color w:val="auto"/>
        </w:rPr>
      </w:pPr>
    </w:p>
    <w:p>
      <w:pPr>
        <w:ind w:left="5"/>
        <w:spacing w:after="0"/>
        <w:rPr>
          <w:rFonts w:ascii="Arial" w:cs="Arial" w:eastAsia="Arial" w:hAnsi="Arial"/>
          <w:sz w:val="14"/>
          <w:szCs w:val="14"/>
          <w:color w:val="auto"/>
        </w:rPr>
      </w:pPr>
      <w:r>
        <w:rPr>
          <w:rFonts w:ascii="Arial" w:cs="Arial" w:eastAsia="Arial" w:hAnsi="Arial"/>
          <w:sz w:val="16"/>
          <w:szCs w:val="16"/>
          <w:color w:val="auto"/>
        </w:rPr>
        <w:t>follows:</w:t>
      </w:r>
    </w:p>
    <w:p>
      <w:pPr>
        <w:spacing w:after="0" w:line="206" w:lineRule="exact"/>
        <w:rPr>
          <w:rFonts w:ascii="Arial" w:cs="Arial" w:eastAsia="Arial" w:hAnsi="Arial"/>
          <w:sz w:val="14"/>
          <w:szCs w:val="14"/>
          <w:color w:val="auto"/>
        </w:rPr>
      </w:pPr>
    </w:p>
    <w:p>
      <w:pPr>
        <w:jc w:val="both"/>
        <w:ind w:left="5" w:firstLine="1696"/>
        <w:spacing w:after="0" w:line="269" w:lineRule="auto"/>
        <w:tabs>
          <w:tab w:leader="none" w:pos="2100" w:val="left"/>
        </w:tabs>
        <w:numPr>
          <w:ilvl w:val="2"/>
          <w:numId w:val="228"/>
        </w:numPr>
        <w:rPr>
          <w:rFonts w:ascii="Arial" w:cs="Arial" w:eastAsia="Arial" w:hAnsi="Arial"/>
          <w:sz w:val="15"/>
          <w:szCs w:val="15"/>
          <w:color w:val="auto"/>
        </w:rPr>
      </w:pPr>
      <w:r>
        <w:rPr>
          <w:rFonts w:ascii="Arial" w:cs="Arial" w:eastAsia="Arial" w:hAnsi="Arial"/>
          <w:sz w:val="15"/>
          <w:szCs w:val="15"/>
          <w:u w:val="single" w:color="auto"/>
          <w:color w:val="auto"/>
        </w:rPr>
        <w:t>Stock Splits, Combinations, Reclassifications and Other Changes in Common Stock</w:t>
      </w:r>
      <w:r>
        <w:rPr>
          <w:rFonts w:ascii="Arial" w:cs="Arial" w:eastAsia="Arial" w:hAnsi="Arial"/>
          <w:sz w:val="15"/>
          <w:szCs w:val="15"/>
          <w:color w:val="auto"/>
        </w:rPr>
        <w:t>. If LifeMap, at any time after the Effective Date, shall (A) pay a dividend in its Common Stock or make a distribution in Common Stock, (B) subdivide its outstanding Common Stock, (C) combine its outstanding Common Stock into a smaller number of shares, or (D) reclassify or change (including a change to the right to receive, or a change into, as the case may be, shares of stock, other securities, property, cash or any combination thereof) its Common Stock (including any such reclassification or change in connection with a consolidation or merger in which LifeMap is the surviving corporation), upon the exercise of this Option the Purchaser shall be entitled to receive from the Company the kind and number of LifeMap Shares or other securities of LifeMap or other property which the Purchaser would have owned or have been entitled to receive upon the happening of any of the events described above, had this Option been exercised at the Exchange Ratio immediately prior to the happening of such event or any record date with respect thereto.</w:t>
      </w:r>
    </w:p>
    <w:p>
      <w:pPr>
        <w:spacing w:after="0" w:line="182" w:lineRule="exact"/>
        <w:rPr>
          <w:rFonts w:ascii="Arial" w:cs="Arial" w:eastAsia="Arial" w:hAnsi="Arial"/>
          <w:sz w:val="15"/>
          <w:szCs w:val="15"/>
          <w:color w:val="auto"/>
        </w:rPr>
      </w:pPr>
    </w:p>
    <w:p>
      <w:pPr>
        <w:jc w:val="both"/>
        <w:ind w:left="5" w:firstLine="1696"/>
        <w:spacing w:after="0" w:line="284" w:lineRule="auto"/>
        <w:tabs>
          <w:tab w:leader="none" w:pos="2168" w:val="left"/>
        </w:tabs>
        <w:numPr>
          <w:ilvl w:val="2"/>
          <w:numId w:val="228"/>
        </w:numPr>
        <w:rPr>
          <w:rFonts w:ascii="Arial" w:cs="Arial" w:eastAsia="Arial" w:hAnsi="Arial"/>
          <w:sz w:val="14"/>
          <w:szCs w:val="14"/>
          <w:color w:val="auto"/>
        </w:rPr>
      </w:pPr>
      <w:r>
        <w:rPr>
          <w:rFonts w:ascii="Arial" w:cs="Arial" w:eastAsia="Arial" w:hAnsi="Arial"/>
          <w:sz w:val="14"/>
          <w:szCs w:val="14"/>
          <w:u w:val="single" w:color="auto"/>
          <w:color w:val="auto"/>
        </w:rPr>
        <w:t>Distribution of Options, Warrants, Warrants, Rights, and Convertible Securities or Other Assets.</w:t>
      </w:r>
      <w:r>
        <w:rPr>
          <w:rFonts w:ascii="Arial" w:cs="Arial" w:eastAsia="Arial" w:hAnsi="Arial"/>
          <w:sz w:val="14"/>
          <w:szCs w:val="14"/>
          <w:color w:val="auto"/>
        </w:rPr>
        <w:t xml:space="preserve"> If LifeMap at any time after the Effective Date, shall distribute to all holders of its Common Stock (including any distribution made in connection with a merger in which LifeMap is the surviving corporation) (i) rights, options or warrants, or convertible or exchangeable securities containing the right to subscribe for or purchase Common Stock, or (ii) evidences of its indebtedness or assets, including cash but excluding Ordinary Cash Dividends (as defined below), then in each case with respect to each LifeMap Share issued upon the exercise of this Option, the Purchaser shall also receive from the Company either (a) the portion of the subscription rights, options or warrants, or convertible or exchangeable securities (or securities issued upon the conversion of convertible securities) or assets or evidences of indebtedness so distributed to the Company applicable to one LifeMap Share, or (b) the then fair value of the securities described in</w:t>
      </w:r>
    </w:p>
    <w:p>
      <w:pPr>
        <w:spacing w:after="0" w:line="2" w:lineRule="exact"/>
        <w:rPr>
          <w:rFonts w:ascii="Arial" w:cs="Arial" w:eastAsia="Arial" w:hAnsi="Arial"/>
          <w:sz w:val="14"/>
          <w:szCs w:val="14"/>
          <w:color w:val="auto"/>
        </w:rPr>
      </w:pPr>
    </w:p>
    <w:p>
      <w:pPr>
        <w:jc w:val="both"/>
        <w:ind w:left="5" w:hanging="5"/>
        <w:spacing w:after="0" w:line="295" w:lineRule="auto"/>
        <w:tabs>
          <w:tab w:leader="none" w:pos="228" w:val="left"/>
        </w:tabs>
        <w:numPr>
          <w:ilvl w:val="0"/>
          <w:numId w:val="229"/>
        </w:numPr>
        <w:rPr>
          <w:rFonts w:ascii="Arial" w:cs="Arial" w:eastAsia="Arial" w:hAnsi="Arial"/>
          <w:sz w:val="14"/>
          <w:szCs w:val="14"/>
          <w:color w:val="auto"/>
        </w:rPr>
      </w:pPr>
      <w:r>
        <w:rPr>
          <w:rFonts w:ascii="Arial" w:cs="Arial" w:eastAsia="Arial" w:hAnsi="Arial"/>
          <w:sz w:val="14"/>
          <w:szCs w:val="14"/>
          <w:color w:val="auto"/>
        </w:rPr>
        <w:t>as determined in good faith by the Board of Directors of the Company whose determination shall be conclusive; provided, that the Company need not deliver any subscription rights, options or warrants that shall have expired by their terms. The Company shall determine whether to deliver the consideration described in clause (a) or clause (b) of the preceding sentence upon the exercise of this Option. A cash dividend shall be deemed an “Ordinary Cash Dividend” for purposes of this Option if the dividend is paid out of consolidated earnings or earned surplus and is declared by the Board of Directors of LifeMap to be a regular or ordinary quarterly, semi-annual or annual dividend.</w:t>
      </w:r>
    </w:p>
    <w:p>
      <w:pPr>
        <w:spacing w:after="0" w:line="104"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326" w:name="page327"/>
    <w:bookmarkEnd w:id="326"/>
    <w:p>
      <w:pPr>
        <w:ind w:left="5" w:firstLine="1696"/>
        <w:spacing w:after="0" w:line="267" w:lineRule="auto"/>
        <w:tabs>
          <w:tab w:leader="none" w:pos="2136" w:val="left"/>
        </w:tabs>
        <w:numPr>
          <w:ilvl w:val="2"/>
          <w:numId w:val="230"/>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Whenever an event described in paragraph (a) or paragraph (b) of this Section 3 occurs, the Company shall promptly, in any event within ten (10) days, send to the Purchaser notice of such event.</w:t>
      </w:r>
    </w:p>
    <w:p>
      <w:pPr>
        <w:spacing w:after="0" w:line="181" w:lineRule="exact"/>
        <w:rPr>
          <w:rFonts w:ascii="Arial" w:cs="Arial" w:eastAsia="Arial" w:hAnsi="Arial"/>
          <w:sz w:val="16"/>
          <w:szCs w:val="16"/>
          <w:color w:val="auto"/>
        </w:rPr>
      </w:pPr>
    </w:p>
    <w:p>
      <w:pPr>
        <w:jc w:val="both"/>
        <w:ind w:left="5" w:firstLine="1696"/>
        <w:spacing w:after="0" w:line="253" w:lineRule="auto"/>
        <w:tabs>
          <w:tab w:leader="none" w:pos="2121" w:val="left"/>
        </w:tabs>
        <w:numPr>
          <w:ilvl w:val="2"/>
          <w:numId w:val="230"/>
        </w:numPr>
        <w:rPr>
          <w:rFonts w:ascii="Arial" w:cs="Arial" w:eastAsia="Arial" w:hAnsi="Arial"/>
          <w:sz w:val="16"/>
          <w:szCs w:val="16"/>
          <w:color w:val="auto"/>
        </w:rPr>
      </w:pPr>
      <w:r>
        <w:rPr>
          <w:rFonts w:ascii="Arial" w:cs="Arial" w:eastAsia="Arial" w:hAnsi="Arial"/>
          <w:sz w:val="16"/>
          <w:szCs w:val="16"/>
          <w:u w:val="single" w:color="auto"/>
          <w:color w:val="auto"/>
        </w:rPr>
        <w:t>No Adjustment for Dividends</w:t>
      </w:r>
      <w:r>
        <w:rPr>
          <w:rFonts w:ascii="Arial" w:cs="Arial" w:eastAsia="Arial" w:hAnsi="Arial"/>
          <w:sz w:val="16"/>
          <w:szCs w:val="16"/>
          <w:color w:val="auto"/>
        </w:rPr>
        <w:t>. No adjustment in respect of any Ordinary Cash Dividends shall be made during the term of this Option or upon the exercise of this Option, nor shall the Purchaser be entitled to acquire from the Company upon the exercise of this Option any Ordinary Cash Dividends received by the Company with respect to LifeMap Shares or any other LifeMap securities owned or acquired by the Company upon the exercise of any subscription rights, options, warrants or exchangeable securities.</w:t>
      </w:r>
    </w:p>
    <w:p>
      <w:pPr>
        <w:spacing w:after="0" w:line="193" w:lineRule="exact"/>
        <w:rPr>
          <w:rFonts w:ascii="Arial" w:cs="Arial" w:eastAsia="Arial" w:hAnsi="Arial"/>
          <w:sz w:val="16"/>
          <w:szCs w:val="16"/>
          <w:color w:val="auto"/>
        </w:rPr>
      </w:pPr>
    </w:p>
    <w:p>
      <w:pPr>
        <w:ind w:left="1665" w:hanging="531"/>
        <w:spacing w:after="0"/>
        <w:tabs>
          <w:tab w:leader="none" w:pos="1665" w:val="left"/>
        </w:tabs>
        <w:numPr>
          <w:ilvl w:val="1"/>
          <w:numId w:val="231"/>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17" w:lineRule="exact"/>
        <w:rPr>
          <w:rFonts w:ascii="Arial" w:cs="Arial" w:eastAsia="Arial" w:hAnsi="Arial"/>
          <w:sz w:val="16"/>
          <w:szCs w:val="16"/>
          <w:color w:val="auto"/>
        </w:rPr>
      </w:pPr>
    </w:p>
    <w:p>
      <w:pPr>
        <w:jc w:val="both"/>
        <w:ind w:left="5" w:right="20" w:firstLine="1696"/>
        <w:spacing w:after="0" w:line="290" w:lineRule="auto"/>
        <w:tabs>
          <w:tab w:leader="none" w:pos="2088" w:val="left"/>
        </w:tabs>
        <w:numPr>
          <w:ilvl w:val="2"/>
          <w:numId w:val="231"/>
        </w:numPr>
        <w:rPr>
          <w:rFonts w:ascii="Arial" w:cs="Arial" w:eastAsia="Arial" w:hAnsi="Arial"/>
          <w:sz w:val="14"/>
          <w:szCs w:val="14"/>
          <w:color w:val="auto"/>
        </w:rPr>
      </w:pPr>
      <w:r>
        <w:rPr>
          <w:rFonts w:ascii="Arial" w:cs="Arial" w:eastAsia="Arial" w:hAnsi="Arial"/>
          <w:sz w:val="14"/>
          <w:szCs w:val="14"/>
          <w:u w:val="single" w:color="auto"/>
          <w:color w:val="auto"/>
        </w:rPr>
        <w:t>Transfer</w:t>
      </w:r>
      <w:r>
        <w:rPr>
          <w:rFonts w:ascii="Arial" w:cs="Arial" w:eastAsia="Arial" w:hAnsi="Arial"/>
          <w:sz w:val="14"/>
          <w:szCs w:val="14"/>
          <w:color w:val="auto"/>
        </w:rPr>
        <w:t>. This Option is personal to the Purchaser and may not be sold, transferred or assigned, except (i) to a successor in interest of the Purchaser as a result of any consolidation of the Purchaser with or merger of the Purchaser into another Person, (ii) to another Purchaser (as defined in the Securities Purchase Agreement) or</w:t>
      </w:r>
    </w:p>
    <w:p>
      <w:pPr>
        <w:ind w:left="285" w:hanging="285"/>
        <w:spacing w:after="0"/>
        <w:tabs>
          <w:tab w:leader="none" w:pos="28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to another Person as part of a sale of all or substantially all the property of the Purchaser to such other Person.</w:t>
      </w:r>
    </w:p>
    <w:p>
      <w:pPr>
        <w:spacing w:after="0" w:line="206" w:lineRule="exact"/>
        <w:rPr>
          <w:rFonts w:ascii="Arial" w:cs="Arial" w:eastAsia="Arial" w:hAnsi="Arial"/>
          <w:sz w:val="16"/>
          <w:szCs w:val="16"/>
          <w:color w:val="auto"/>
        </w:rPr>
      </w:pPr>
    </w:p>
    <w:p>
      <w:pPr>
        <w:ind w:left="2085" w:hanging="384"/>
        <w:spacing w:after="0"/>
        <w:tabs>
          <w:tab w:leader="none" w:pos="2085" w:val="left"/>
        </w:tabs>
        <w:numPr>
          <w:ilvl w:val="2"/>
          <w:numId w:val="232"/>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LifeMap Shares</w:t>
      </w:r>
      <w:r>
        <w:rPr>
          <w:rFonts w:ascii="Arial" w:cs="Arial" w:eastAsia="Arial" w:hAnsi="Arial"/>
          <w:sz w:val="16"/>
          <w:szCs w:val="16"/>
          <w:color w:val="auto"/>
        </w:rPr>
        <w:t>.</w:t>
      </w:r>
    </w:p>
    <w:p>
      <w:pPr>
        <w:spacing w:after="0" w:line="217" w:lineRule="exact"/>
        <w:rPr>
          <w:rFonts w:ascii="Arial" w:cs="Arial" w:eastAsia="Arial" w:hAnsi="Arial"/>
          <w:sz w:val="16"/>
          <w:szCs w:val="16"/>
          <w:color w:val="auto"/>
        </w:rPr>
      </w:pPr>
    </w:p>
    <w:p>
      <w:pPr>
        <w:jc w:val="both"/>
        <w:ind w:left="5" w:firstLine="1980"/>
        <w:spacing w:after="0" w:line="269" w:lineRule="auto"/>
        <w:tabs>
          <w:tab w:leader="none" w:pos="2269" w:val="left"/>
        </w:tabs>
        <w:numPr>
          <w:ilvl w:val="3"/>
          <w:numId w:val="232"/>
        </w:numPr>
        <w:rPr>
          <w:rFonts w:ascii="Arial" w:cs="Arial" w:eastAsia="Arial" w:hAnsi="Arial"/>
          <w:sz w:val="15"/>
          <w:szCs w:val="15"/>
          <w:color w:val="auto"/>
        </w:rPr>
      </w:pPr>
      <w:r>
        <w:rPr>
          <w:rFonts w:ascii="Arial" w:cs="Arial" w:eastAsia="Arial" w:hAnsi="Arial"/>
          <w:sz w:val="15"/>
          <w:szCs w:val="15"/>
          <w:color w:val="auto"/>
        </w:rPr>
        <w:t>Any LifeMap Shares issued to Purchaser upon the exercise of this Option, may not be sold, pledged, hypothecated, transferred or assigned, in whole or in part, unless (A) a registration statement under the Securities Act and under any applicable state securities laws is effective therefor or (B) an exemption from such registration is then available and an opinion of counsel, reasonably acceptable to LifeMap and the Transfer Agent, if any, has been rendered stating that such sale, pledge, hypothecation, transfer or assignment will not violate the Securities Act. Notwithstanding anything to the contrary contained herein (x) the LifeMap Shares may be pledged in connection with a bona fide margin account or other loan or financing arrangement secured by the securities and no legal opinion shall be required therefor and (y) no representation, warranty, covenant or opinion shall be required for the sale, pledge, hypothecation, transfer or assignment of any LifeMap Shares if a registration statement with respect to the resale of such LifeMap Shares is effective at the time of any such sale, pledge, hypothecation, transfer or assignment.</w:t>
      </w:r>
    </w:p>
    <w:p>
      <w:pPr>
        <w:spacing w:after="0" w:line="182" w:lineRule="exact"/>
        <w:rPr>
          <w:rFonts w:ascii="Arial" w:cs="Arial" w:eastAsia="Arial" w:hAnsi="Arial"/>
          <w:sz w:val="15"/>
          <w:szCs w:val="15"/>
          <w:color w:val="auto"/>
        </w:rPr>
      </w:pPr>
    </w:p>
    <w:p>
      <w:pPr>
        <w:jc w:val="both"/>
        <w:ind w:left="5" w:right="20" w:firstLine="1980"/>
        <w:spacing w:after="0" w:line="276" w:lineRule="auto"/>
        <w:tabs>
          <w:tab w:leader="none" w:pos="2348" w:val="left"/>
        </w:tabs>
        <w:numPr>
          <w:ilvl w:val="3"/>
          <w:numId w:val="232"/>
        </w:numPr>
        <w:rPr>
          <w:rFonts w:ascii="Arial" w:cs="Arial" w:eastAsia="Arial" w:hAnsi="Arial"/>
          <w:sz w:val="15"/>
          <w:szCs w:val="15"/>
          <w:color w:val="auto"/>
        </w:rPr>
      </w:pPr>
      <w:r>
        <w:rPr>
          <w:rFonts w:ascii="Arial" w:cs="Arial" w:eastAsia="Arial" w:hAnsi="Arial"/>
          <w:sz w:val="15"/>
          <w:szCs w:val="15"/>
          <w:color w:val="auto"/>
        </w:rPr>
        <w:t>As a condition precedent to the registration of transfer of any certificates representing LifeMap Shares upon the exercise of this Option or transfer of LifeMap Shares, the Company and LifeMap shall be entitled to obtain a letter or other instrument from the Purchaser containing such covenants, representations or warranties by such Purchaser similar to those contained in this Section 4 as reasonably deemed necessary by the Company or LifeMap to effect compliance by the Company or LifeMap with the requirements of the Securities Act and any other applicable federal and/or state securities laws.</w:t>
      </w:r>
    </w:p>
    <w:p>
      <w:pPr>
        <w:spacing w:after="0" w:line="113"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327" w:name="page328"/>
    <w:bookmarkEnd w:id="327"/>
    <w:p>
      <w:pPr>
        <w:ind w:right="20" w:firstLine="1980"/>
        <w:spacing w:after="0" w:line="267" w:lineRule="auto"/>
        <w:tabs>
          <w:tab w:leader="none" w:pos="2299" w:val="left"/>
        </w:tabs>
        <w:numPr>
          <w:ilvl w:val="1"/>
          <w:numId w:val="233"/>
        </w:numPr>
        <w:rPr>
          <w:rFonts w:ascii="Arial" w:cs="Arial" w:eastAsia="Arial" w:hAnsi="Arial"/>
          <w:sz w:val="16"/>
          <w:szCs w:val="16"/>
          <w:color w:val="auto"/>
        </w:rPr>
      </w:pPr>
      <w:r>
        <w:rPr>
          <w:rFonts w:ascii="Arial" w:cs="Arial" w:eastAsia="Arial" w:hAnsi="Arial"/>
          <w:sz w:val="16"/>
          <w:szCs w:val="16"/>
          <w:color w:val="auto"/>
        </w:rPr>
        <w:t>Any sale, pledge, hypothecation, transfer, or assignment of this Option or LifeMap Shares in violation of the foregoing restrictions shall be deemed null and void and of no binding effect.</w:t>
      </w:r>
    </w:p>
    <w:p>
      <w:pPr>
        <w:spacing w:after="0" w:line="181" w:lineRule="exact"/>
        <w:rPr>
          <w:rFonts w:ascii="Arial" w:cs="Arial" w:eastAsia="Arial" w:hAnsi="Arial"/>
          <w:sz w:val="16"/>
          <w:szCs w:val="16"/>
          <w:color w:val="auto"/>
        </w:rPr>
      </w:pPr>
    </w:p>
    <w:p>
      <w:pPr>
        <w:jc w:val="both"/>
        <w:ind w:right="20" w:firstLine="1980"/>
        <w:spacing w:after="0" w:line="257" w:lineRule="auto"/>
        <w:tabs>
          <w:tab w:leader="none" w:pos="2267" w:val="left"/>
        </w:tabs>
        <w:numPr>
          <w:ilvl w:val="1"/>
          <w:numId w:val="233"/>
        </w:numPr>
        <w:rPr>
          <w:rFonts w:ascii="Arial" w:cs="Arial" w:eastAsia="Arial" w:hAnsi="Arial"/>
          <w:sz w:val="16"/>
          <w:szCs w:val="16"/>
          <w:color w:val="auto"/>
        </w:rPr>
      </w:pPr>
      <w:r>
        <w:rPr>
          <w:rFonts w:ascii="Arial" w:cs="Arial" w:eastAsia="Arial" w:hAnsi="Arial"/>
          <w:sz w:val="16"/>
          <w:szCs w:val="16"/>
          <w:color w:val="auto"/>
        </w:rPr>
        <w:t>The Company will, and will request that LifeMap will, issue instructions to any Transfer Agent and registrar of the Common Stock to refuse to register the transfer of any LifeMap Shares not made pursuant to registration under the Securities Act and applicable state securities laws, or pursuant to an available exemption from registration under the Securities Act and applicable state securities laws.</w:t>
      </w:r>
    </w:p>
    <w:p>
      <w:pPr>
        <w:spacing w:after="0" w:line="165" w:lineRule="exact"/>
        <w:rPr>
          <w:rFonts w:ascii="Arial" w:cs="Arial" w:eastAsia="Arial" w:hAnsi="Arial"/>
          <w:sz w:val="16"/>
          <w:szCs w:val="16"/>
          <w:color w:val="auto"/>
        </w:rPr>
      </w:pPr>
    </w:p>
    <w:p>
      <w:pPr>
        <w:jc w:val="both"/>
        <w:ind w:firstLine="1980"/>
        <w:spacing w:after="0" w:line="291" w:lineRule="auto"/>
        <w:tabs>
          <w:tab w:leader="none" w:pos="2266" w:val="left"/>
        </w:tabs>
        <w:numPr>
          <w:ilvl w:val="1"/>
          <w:numId w:val="233"/>
        </w:numPr>
        <w:rPr>
          <w:rFonts w:ascii="Arial" w:cs="Arial" w:eastAsia="Arial" w:hAnsi="Arial"/>
          <w:sz w:val="14"/>
          <w:szCs w:val="14"/>
          <w:color w:val="auto"/>
        </w:rPr>
      </w:pPr>
      <w:r>
        <w:rPr>
          <w:rFonts w:ascii="Arial" w:cs="Arial" w:eastAsia="Arial" w:hAnsi="Arial"/>
          <w:sz w:val="14"/>
          <w:szCs w:val="14"/>
          <w:color w:val="auto"/>
        </w:rPr>
        <w:t>The LifeMap Shares shall bear an appropriate legend, conspicuously disclosing the restrictions on transfer, under this Section 4, until the same are registered for sale under the Securities Act or are transferred in a transaction exempt from registration under the Securities Act entitling the transferee to receive securities that are not deemed to be “restricted securities” as such term is defined in Rule 144 under the Securities Act. The Company agrees that upon the sale of LifeMap Shares pursuant to a registration statement or an exemption entitling the transferee to receive securities that are not deemed to be “restricted securities,” or at such time as registration under the Securities Act shall no longer be required, upon the presentation of the certificates containing such a legend to the transfer agent or warrant agent, if any, it will request removal of such legend; provided, that unless the request for removal of the legend is in connection with a sale registered under the Securities Act, the Purchaser shall have provided an opinion of counsel, acceptable to the Company and the Transfer Agent to the effect that such legend may be removed in compliance with the Securities Act.</w:t>
      </w:r>
    </w:p>
    <w:p>
      <w:pPr>
        <w:spacing w:after="0" w:line="169" w:lineRule="exact"/>
        <w:rPr>
          <w:rFonts w:ascii="Arial" w:cs="Arial" w:eastAsia="Arial" w:hAnsi="Arial"/>
          <w:sz w:val="14"/>
          <w:szCs w:val="14"/>
          <w:color w:val="auto"/>
        </w:rPr>
      </w:pPr>
    </w:p>
    <w:p>
      <w:pPr>
        <w:ind w:right="20" w:firstLine="1696"/>
        <w:spacing w:after="0" w:line="267" w:lineRule="auto"/>
        <w:tabs>
          <w:tab w:leader="none" w:pos="2198"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Investment Representations</w:t>
      </w:r>
      <w:r>
        <w:rPr>
          <w:rFonts w:ascii="Arial" w:cs="Arial" w:eastAsia="Arial" w:hAnsi="Arial"/>
          <w:sz w:val="16"/>
          <w:szCs w:val="16"/>
          <w:color w:val="auto"/>
        </w:rPr>
        <w:t>. Each Purchaser makes the following representations, severally and not jointly and severally, in connection with its acquisition of this Option and any LifeMap Shares upon the exercise of this Option:</w:t>
      </w:r>
    </w:p>
    <w:p>
      <w:pPr>
        <w:spacing w:after="0" w:line="181" w:lineRule="exact"/>
        <w:rPr>
          <w:rFonts w:ascii="Arial" w:cs="Arial" w:eastAsia="Arial" w:hAnsi="Arial"/>
          <w:sz w:val="16"/>
          <w:szCs w:val="16"/>
          <w:color w:val="auto"/>
        </w:rPr>
      </w:pPr>
    </w:p>
    <w:p>
      <w:pPr>
        <w:jc w:val="both"/>
        <w:ind w:firstLine="1980"/>
        <w:spacing w:after="0" w:line="250" w:lineRule="auto"/>
        <w:tabs>
          <w:tab w:leader="none" w:pos="224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Purchaser has made such investigation of LifeMap as Purchaser deemed appropriate for determining to acquire (and thereby make an investment in) this Option and LifeMap Shares, and in making such investigation Purchaser has had access to such financial and other information concerning LifeMap as Purchaser requested. Purchaser is relying on the information communicated to Purchaser in writing by LifeMap or the Company. Purchaser has not relied on any statement or representations inconsistent with those communicated to Purchaser in writing by LifeMap or the Company. Purchaser has had a reasonable opportunity to ask questions of and receive answers from the executive officers of LifeMap and the Company concerning LifeMap, and to obtain additional information, to the extent possessed or obtainable by LifeMap or the Company without unreasonable effort or expense, necessary to verify the information communicated or provided to Purchaser. All such questions have been answered to Purchaser’s satisfaction.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328" w:name="page329"/>
    <w:bookmarkEnd w:id="328"/>
    <w:p>
      <w:pPr>
        <w:jc w:val="both"/>
        <w:ind w:firstLine="1980"/>
        <w:spacing w:after="0" w:line="253" w:lineRule="auto"/>
        <w:tabs>
          <w:tab w:leader="none" w:pos="2343" w:val="left"/>
        </w:tabs>
        <w:numPr>
          <w:ilvl w:val="1"/>
          <w:numId w:val="235"/>
        </w:numPr>
        <w:rPr>
          <w:rFonts w:ascii="Arial" w:cs="Arial" w:eastAsia="Arial" w:hAnsi="Arial"/>
          <w:sz w:val="16"/>
          <w:szCs w:val="16"/>
          <w:color w:val="auto"/>
        </w:rPr>
      </w:pPr>
      <w:r>
        <w:rPr>
          <w:rFonts w:ascii="Arial" w:cs="Arial" w:eastAsia="Arial" w:hAnsi="Arial"/>
          <w:sz w:val="16"/>
          <w:szCs w:val="16"/>
          <w:color w:val="auto"/>
        </w:rPr>
        <w:t>Purchaser is acquiring this Option and upon exercise of this Option will purchase LifeMap Shares solely for Purchaser's own account, and Purchaser has no direct or indirect arrangement or understandings with any other persons to distribute or regarding the distribution of the LifeMap Shares or this Option; provided, that this representation and warranty shall not prohibit Purchaser from selling LifeMap Shares in the ordinary course of business pursuant to a registration statement under the Securities Act or otherwise in compliance with the Securities Act and applicable state securities or “blue sky” laws.</w:t>
      </w:r>
    </w:p>
    <w:p>
      <w:pPr>
        <w:spacing w:after="0" w:line="193" w:lineRule="exact"/>
        <w:rPr>
          <w:rFonts w:ascii="Arial" w:cs="Arial" w:eastAsia="Arial" w:hAnsi="Arial"/>
          <w:sz w:val="16"/>
          <w:szCs w:val="16"/>
          <w:color w:val="auto"/>
        </w:rPr>
      </w:pPr>
    </w:p>
    <w:p>
      <w:pPr>
        <w:ind w:left="2240" w:hanging="260"/>
        <w:spacing w:after="0"/>
        <w:tabs>
          <w:tab w:leader="none" w:pos="224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Purchaser is an “accredited investor” as defined in Rule 501 under the Securities Act.</w:t>
      </w:r>
    </w:p>
    <w:p>
      <w:pPr>
        <w:spacing w:after="0" w:line="217" w:lineRule="exact"/>
        <w:rPr>
          <w:rFonts w:ascii="Arial" w:cs="Arial" w:eastAsia="Arial" w:hAnsi="Arial"/>
          <w:sz w:val="16"/>
          <w:szCs w:val="16"/>
          <w:color w:val="auto"/>
        </w:rPr>
      </w:pPr>
    </w:p>
    <w:p>
      <w:pPr>
        <w:jc w:val="both"/>
        <w:ind w:right="20" w:firstLine="1980"/>
        <w:spacing w:after="0" w:line="311" w:lineRule="auto"/>
        <w:tabs>
          <w:tab w:leader="none" w:pos="2232" w:val="left"/>
        </w:tabs>
        <w:numPr>
          <w:ilvl w:val="1"/>
          <w:numId w:val="235"/>
        </w:numPr>
        <w:rPr>
          <w:rFonts w:ascii="Arial" w:cs="Arial" w:eastAsia="Arial" w:hAnsi="Arial"/>
          <w:sz w:val="14"/>
          <w:szCs w:val="14"/>
          <w:color w:val="auto"/>
        </w:rPr>
      </w:pPr>
      <w:r>
        <w:rPr>
          <w:rFonts w:ascii="Arial" w:cs="Arial" w:eastAsia="Arial" w:hAnsi="Arial"/>
          <w:sz w:val="14"/>
          <w:szCs w:val="14"/>
          <w:color w:val="auto"/>
        </w:rPr>
        <w:t>Purchaser, either alone or together with its representatives, has such knowledge, sophistication and experience in business and financial matters so as to be capable of evaluating the merits and risks of the prospective investment in this Option and LifeMap Shares, and has so evaluated the merits and risks of such investment. Such Purchaser is able to bear the economic risk of an investment in this Option and LifeMap Shares and, at the present time, is able to afford a complete loss of such investment.</w:t>
      </w:r>
    </w:p>
    <w:p>
      <w:pPr>
        <w:spacing w:after="0" w:line="154" w:lineRule="exact"/>
        <w:rPr>
          <w:rFonts w:ascii="Arial" w:cs="Arial" w:eastAsia="Arial" w:hAnsi="Arial"/>
          <w:sz w:val="14"/>
          <w:szCs w:val="14"/>
          <w:color w:val="auto"/>
        </w:rPr>
      </w:pPr>
    </w:p>
    <w:p>
      <w:pPr>
        <w:jc w:val="both"/>
        <w:ind w:firstLine="1129"/>
        <w:spacing w:after="0" w:line="289" w:lineRule="auto"/>
        <w:tabs>
          <w:tab w:leader="none" w:pos="1739" w:val="left"/>
        </w:tabs>
        <w:numPr>
          <w:ilvl w:val="0"/>
          <w:numId w:val="236"/>
        </w:numPr>
        <w:rPr>
          <w:rFonts w:ascii="Arial" w:cs="Arial" w:eastAsia="Arial" w:hAnsi="Arial"/>
          <w:sz w:val="14"/>
          <w:szCs w:val="14"/>
          <w:color w:val="auto"/>
        </w:rPr>
      </w:pPr>
      <w:r>
        <w:rPr>
          <w:rFonts w:ascii="Arial" w:cs="Arial" w:eastAsia="Arial" w:hAnsi="Arial"/>
          <w:sz w:val="14"/>
          <w:szCs w:val="14"/>
          <w:u w:val="single" w:color="auto"/>
          <w:color w:val="auto"/>
        </w:rPr>
        <w:t>REGISTRATION RIGHTS</w:t>
      </w:r>
      <w:r>
        <w:rPr>
          <w:rFonts w:ascii="Arial" w:cs="Arial" w:eastAsia="Arial" w:hAnsi="Arial"/>
          <w:sz w:val="14"/>
          <w:szCs w:val="14"/>
          <w:color w:val="auto"/>
        </w:rPr>
        <w:t>. The Company hereby covenants and agrees that in the event the Company receives any registration rights from LifeMap in respect of any LifeMap Shares owned by the Company, simultaneously with the exercise of any such registration rights at any time that this Option remains exercisable in whole or in part, the Company shall cause LifeMap to register all of the LifeMap Shares issuable to the Purchaser as of the applicable date of determination pursuant to the terms of this Option. The Company acknowledges and agrees that prior to excluding any LifeMap Shares from any registration statement, it shall first exclude all other LifeMap Shares owned by the Company other than any LifeMap Shares that are subject to an option provided to another Purchaser (as defined in the Securities Purchase Agreement) which shall be subject to exclusion on a pro rata basis with all other Purchasers (as defined in the Securities Purchase Agreement). The Company shall do and perform, or cause to be done and performed, all such further acts and things, and shall execute and deliver all such other agreements, certificates, instruments and documents, including, without limitation, any assignment of any registration rights with respect to the Common Stock purchasable pursuant to this Option granted to the Company under any registration rights agreement by LifeMap and the Company or under any registration statement, as Purchaser may reasonably request in order to carry out the intent and accomplish the purposes of this Section 5.</w:t>
      </w:r>
    </w:p>
    <w:p>
      <w:pPr>
        <w:spacing w:after="0" w:line="169" w:lineRule="exact"/>
        <w:rPr>
          <w:rFonts w:ascii="Arial" w:cs="Arial" w:eastAsia="Arial" w:hAnsi="Arial"/>
          <w:sz w:val="14"/>
          <w:szCs w:val="14"/>
          <w:color w:val="auto"/>
        </w:rPr>
      </w:pPr>
    </w:p>
    <w:p>
      <w:pPr>
        <w:jc w:val="both"/>
        <w:ind w:firstLine="1129"/>
        <w:spacing w:after="0" w:line="270" w:lineRule="auto"/>
        <w:tabs>
          <w:tab w:leader="none" w:pos="1657" w:val="left"/>
        </w:tabs>
        <w:numPr>
          <w:ilvl w:val="0"/>
          <w:numId w:val="236"/>
        </w:numPr>
        <w:rPr>
          <w:rFonts w:ascii="Arial" w:cs="Arial" w:eastAsia="Arial" w:hAnsi="Arial"/>
          <w:sz w:val="15"/>
          <w:szCs w:val="15"/>
          <w:color w:val="auto"/>
        </w:rPr>
      </w:pPr>
      <w:r>
        <w:rPr>
          <w:rFonts w:ascii="Arial" w:cs="Arial" w:eastAsia="Arial" w:hAnsi="Arial"/>
          <w:sz w:val="15"/>
          <w:szCs w:val="15"/>
          <w:u w:val="single" w:color="auto"/>
          <w:color w:val="auto"/>
        </w:rPr>
        <w:t>NONCIRCUMVENTION</w:t>
      </w:r>
      <w:r>
        <w:rPr>
          <w:rFonts w:ascii="Arial" w:cs="Arial" w:eastAsia="Arial" w:hAnsi="Arial"/>
          <w:sz w:val="15"/>
          <w:szCs w:val="15"/>
          <w:color w:val="auto"/>
        </w:rPr>
        <w:t>. The Company hereby covenants and agrees that the Company will not, by amendment of its Articles of Incorporation, Bylaws, or through any reorganization, transfer of assets, consolidation, merger, scheme of arrangement, dissolution, issue or sale of securities, or any other voluntary action, avoid or seek to avoid the observance or performance of any of the terms of this Option, and will at all times in good faith carry out all the provisions of this Option and take all action as may be required to protect the rights of the Purchaser. Without limiting the generality of the foregoing, the Company shall continue to hold a sufficient number of LifeMap Shares to permit Purchaser to exercise this Option in full. The Company will, and will request that LifeMap will, issue instructions to any Transfer Agent and registrar of the Common Stock to refuse to register the transfer of any LifeMap Shares in violation of the immediately preceding sentence.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29" w:name="page330"/>
    <w:bookmarkEnd w:id="329"/>
    <w:p>
      <w:pPr>
        <w:jc w:val="both"/>
        <w:ind w:firstLine="1129"/>
        <w:spacing w:after="0" w:line="267" w:lineRule="auto"/>
        <w:tabs>
          <w:tab w:leader="none" w:pos="1684" w:val="left"/>
        </w:tabs>
        <w:numPr>
          <w:ilvl w:val="0"/>
          <w:numId w:val="237"/>
        </w:numPr>
        <w:rPr>
          <w:rFonts w:ascii="Arial" w:cs="Arial" w:eastAsia="Arial" w:hAnsi="Arial"/>
          <w:sz w:val="15"/>
          <w:szCs w:val="15"/>
          <w:color w:val="auto"/>
        </w:rPr>
      </w:pPr>
      <w:r>
        <w:rPr>
          <w:rFonts w:ascii="Arial" w:cs="Arial" w:eastAsia="Arial" w:hAnsi="Arial"/>
          <w:sz w:val="15"/>
          <w:szCs w:val="15"/>
          <w:u w:val="single" w:color="auto"/>
          <w:color w:val="auto"/>
        </w:rPr>
        <w:t>PURCHASER NOT DEEMED A LIFEMAP SHAREHOLDER</w:t>
      </w:r>
      <w:r>
        <w:rPr>
          <w:rFonts w:ascii="Arial" w:cs="Arial" w:eastAsia="Arial" w:hAnsi="Arial"/>
          <w:sz w:val="15"/>
          <w:szCs w:val="15"/>
          <w:color w:val="auto"/>
        </w:rPr>
        <w:t>. The Purchaser, solely in such Person's capacity as the holder of this Option, shall not be entitled to vote or receive dividends or be deemed the holder of share capital of LifeMap for any purpose, nor shall anything contained in this Option be construed to confer upon the Purchaser, solely in such Person's capacity as the holder of this Option, any of the rights of a shareholder of LifeMap or any right to vote, give or withhold consent to any corporate action (whether any reorganization, issue of stock, reclassification of stock, consolidation, merger, conveyance or otherwise), receive notice of meetings, receive dividends or subscription rights, or otherwise, prior to the purchase of the LifeMap Shares through the due exercise of this Option. In addition, nothing contained in this Option shall be construed as imposing any liabilities on the Purchaser to purchase any securities or as a shareholder of the Company or LifeMap (other than upon exercise of this Option), whether such liabilities are asserted by the Company or LifeMap or by their respective creditors. Notwithstanding this Section, the Company shall provide the Purchaser with copies of such notices and other information given to the Common Stock holders of LifeMap generally, promptly after receipt thereof by the Company, unless the Company believes that such information is material, nonpublic information regarding the Company or LifeMap.</w:t>
      </w:r>
    </w:p>
    <w:p>
      <w:pPr>
        <w:spacing w:after="0" w:line="187" w:lineRule="exact"/>
        <w:rPr>
          <w:rFonts w:ascii="Arial" w:cs="Arial" w:eastAsia="Arial" w:hAnsi="Arial"/>
          <w:sz w:val="15"/>
          <w:szCs w:val="15"/>
          <w:color w:val="auto"/>
        </w:rPr>
      </w:pPr>
    </w:p>
    <w:p>
      <w:pPr>
        <w:jc w:val="both"/>
        <w:ind w:right="20" w:firstLine="1129"/>
        <w:spacing w:after="0" w:line="270" w:lineRule="auto"/>
        <w:tabs>
          <w:tab w:leader="none" w:pos="1751" w:val="left"/>
        </w:tabs>
        <w:numPr>
          <w:ilvl w:val="0"/>
          <w:numId w:val="237"/>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pursuant to this Agreement by the Purchaser to the Company shall be in writing and shall be delivered in person, or mailed first class, postage prepaid, or sent by air delivery service or by facsimile transmission (FAX) or email to the Company, at its office, Attention: Chief Financial Officer. The address of the principal office of the Company is 1301 Harbor Bay Parkway, Alameda, California 94502; FAX (510) 521-3389; email rpeabody@biotimemail.com. Any notice given pursuant to this Agreement by the Company to the Purchaser shall be in writing and shall be mailed first class, postage prepaid, or sent by air delivery service, or by facsimile transmission (FAX) or email or otherwise delivered to the Purchaser at the Purchaser’s address shown on the signature page of this Option. Each party hereto may from time to time change the address to which notices to it are to be delivered or mailed hereunder by notice to the other party.</w:t>
      </w:r>
    </w:p>
    <w:p>
      <w:pPr>
        <w:spacing w:after="0" w:line="182" w:lineRule="exact"/>
        <w:rPr>
          <w:rFonts w:ascii="Arial" w:cs="Arial" w:eastAsia="Arial" w:hAnsi="Arial"/>
          <w:sz w:val="15"/>
          <w:szCs w:val="15"/>
          <w:color w:val="auto"/>
        </w:rPr>
      </w:pPr>
    </w:p>
    <w:p>
      <w:pPr>
        <w:ind w:right="20" w:firstLine="1129"/>
        <w:spacing w:after="0" w:line="267" w:lineRule="auto"/>
        <w:tabs>
          <w:tab w:leader="none" w:pos="1938"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Option may only be amended by a written instrument signed by the Company and the Purchaser.</w:t>
      </w:r>
    </w:p>
    <w:p>
      <w:pPr>
        <w:spacing w:after="0" w:line="181" w:lineRule="exact"/>
        <w:rPr>
          <w:rFonts w:ascii="Arial" w:cs="Arial" w:eastAsia="Arial" w:hAnsi="Arial"/>
          <w:sz w:val="16"/>
          <w:szCs w:val="16"/>
          <w:color w:val="auto"/>
        </w:rPr>
      </w:pPr>
    </w:p>
    <w:p>
      <w:pPr>
        <w:jc w:val="both"/>
        <w:ind w:firstLine="1129"/>
        <w:spacing w:after="0" w:line="291" w:lineRule="auto"/>
        <w:tabs>
          <w:tab w:leader="none" w:pos="1758" w:val="left"/>
        </w:tabs>
        <w:numPr>
          <w:ilvl w:val="0"/>
          <w:numId w:val="237"/>
        </w:numPr>
        <w:rPr>
          <w:rFonts w:ascii="Arial" w:cs="Arial" w:eastAsia="Arial" w:hAnsi="Arial"/>
          <w:sz w:val="14"/>
          <w:szCs w:val="14"/>
          <w:color w:val="auto"/>
        </w:rPr>
      </w:pPr>
      <w:r>
        <w:rPr>
          <w:rFonts w:ascii="Arial" w:cs="Arial" w:eastAsia="Arial" w:hAnsi="Arial"/>
          <w:sz w:val="14"/>
          <w:szCs w:val="14"/>
          <w:u w:val="single" w:color="auto"/>
          <w:color w:val="auto"/>
        </w:rPr>
        <w:t>GOVERNING LAW; JURISDICTION</w:t>
      </w:r>
      <w:r>
        <w:rPr>
          <w:rFonts w:ascii="Arial" w:cs="Arial" w:eastAsia="Arial" w:hAnsi="Arial"/>
          <w:sz w:val="14"/>
          <w:szCs w:val="14"/>
          <w:color w:val="auto"/>
        </w:rPr>
        <w:t>. This Option shall be governed by and construed and enforced in accordance with, and all questions concerning the construction, validity, interpretation and performance of this Option shall be governed by, the internal laws of the State of California, without giving effect to any choice of law or conflict of law provision or rule (whether of the State of California or any other jurisdictions) that would cause the application of the laws of any jurisdictions other than the State of California. The Company and the Purchaser hereby irrevocably submit to the non-exclusive jurisdiction of the state and federal courts sitting in the City of New York and the County of Alameda and the United States District Court for the Northern District of California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330" w:name="page331"/>
    <w:bookmarkEnd w:id="330"/>
    <w:p>
      <w:pPr>
        <w:ind w:right="20" w:firstLine="1129"/>
        <w:spacing w:after="0" w:line="301" w:lineRule="auto"/>
        <w:tabs>
          <w:tab w:leader="none" w:pos="1669" w:val="left"/>
        </w:tabs>
        <w:numPr>
          <w:ilvl w:val="0"/>
          <w:numId w:val="238"/>
        </w:numPr>
        <w:rPr>
          <w:rFonts w:ascii="Arial" w:cs="Arial" w:eastAsia="Arial" w:hAnsi="Arial"/>
          <w:sz w:val="15"/>
          <w:szCs w:val="15"/>
          <w:color w:val="auto"/>
        </w:rPr>
      </w:pPr>
      <w:r>
        <w:rPr>
          <w:rFonts w:ascii="Arial" w:cs="Arial" w:eastAsia="Arial" w:hAnsi="Arial"/>
          <w:sz w:val="15"/>
          <w:szCs w:val="15"/>
          <w:u w:val="single" w:color="auto"/>
          <w:color w:val="auto"/>
        </w:rPr>
        <w:t>CONSTRUCTION; HEADINGS</w:t>
      </w:r>
      <w:r>
        <w:rPr>
          <w:rFonts w:ascii="Arial" w:cs="Arial" w:eastAsia="Arial" w:hAnsi="Arial"/>
          <w:sz w:val="15"/>
          <w:szCs w:val="15"/>
          <w:color w:val="auto"/>
        </w:rPr>
        <w:t>. This Option shall be deemed to be jointly drafted by the Company and Purchaser and shall not be construed against any Person as the drafter hereof. The headings of this Option are for convenience of reference and shall not form part of, or affect the interpretation of, this Option.</w:t>
      </w:r>
    </w:p>
    <w:p>
      <w:pPr>
        <w:spacing w:after="0" w:line="158" w:lineRule="exact"/>
        <w:rPr>
          <w:rFonts w:ascii="Arial" w:cs="Arial" w:eastAsia="Arial" w:hAnsi="Arial"/>
          <w:sz w:val="15"/>
          <w:szCs w:val="15"/>
          <w:color w:val="auto"/>
        </w:rPr>
      </w:pPr>
    </w:p>
    <w:p>
      <w:pPr>
        <w:jc w:val="both"/>
        <w:ind w:firstLine="1129"/>
        <w:spacing w:after="0" w:line="289" w:lineRule="auto"/>
        <w:tabs>
          <w:tab w:leader="none" w:pos="1805" w:val="left"/>
        </w:tabs>
        <w:numPr>
          <w:ilvl w:val="0"/>
          <w:numId w:val="238"/>
        </w:numPr>
        <w:rPr>
          <w:rFonts w:ascii="Arial" w:cs="Arial" w:eastAsia="Arial" w:hAnsi="Arial"/>
          <w:sz w:val="14"/>
          <w:szCs w:val="14"/>
          <w:color w:val="auto"/>
        </w:rPr>
      </w:pPr>
      <w:r>
        <w:rPr>
          <w:rFonts w:ascii="Arial" w:cs="Arial" w:eastAsia="Arial" w:hAnsi="Arial"/>
          <w:sz w:val="14"/>
          <w:szCs w:val="14"/>
          <w:u w:val="single" w:color="auto"/>
          <w:color w:val="auto"/>
        </w:rPr>
        <w:t>DISPUTE RESOLUTION</w:t>
      </w:r>
      <w:r>
        <w:rPr>
          <w:rFonts w:ascii="Arial" w:cs="Arial" w:eastAsia="Arial" w:hAnsi="Arial"/>
          <w:sz w:val="14"/>
          <w:szCs w:val="14"/>
          <w:color w:val="auto"/>
        </w:rPr>
        <w:t>. In the case of a dispute as to the determination of the Exchange Ratio or the arithmetic calculation of the LifeMap Shares purchasable upon the exercise of this Option, the Company shall submit the disputed determinations or arithmetic calculations via facsimile within two (2) Business Days of receipt of the Exercise Notice giving rise to such dispute, as the case may be, to the Purchaser. If the Purchaser and the Company are unable to agree upon such determination or calculation of the Exchange Ratio or the LifeMap Shares within three (3) Business Days of such disputed determination or arithmetic calculation being submitted to the Purchaser, then the Company shall, within two (2) Business Days submit via facsimile (a) the disputed determination of the Exchange Ratio to an independent, reputable investment bank selected by the Company and approved by the Purchaser or (b) the disputed arithmetic calculation of the LifeMap Shares to the Company's independent, outside accountant. The Company shall cause at its expense the investment bank or the accountant, as the case may be, to perform the determinations or calculations and notify the Company and the Purchaser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69" w:lineRule="exact"/>
        <w:rPr>
          <w:rFonts w:ascii="Arial" w:cs="Arial" w:eastAsia="Arial" w:hAnsi="Arial"/>
          <w:sz w:val="14"/>
          <w:szCs w:val="14"/>
          <w:color w:val="auto"/>
        </w:rPr>
      </w:pPr>
    </w:p>
    <w:p>
      <w:pPr>
        <w:jc w:val="both"/>
        <w:ind w:firstLine="1129"/>
        <w:spacing w:after="0" w:line="257" w:lineRule="auto"/>
        <w:tabs>
          <w:tab w:leader="none" w:pos="1808"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REMEDIES, OTHER OBLIGATIONS, BREACHES AND INJUNCTIVE RELIEF</w:t>
      </w:r>
      <w:r>
        <w:rPr>
          <w:rFonts w:ascii="Arial" w:cs="Arial" w:eastAsia="Arial" w:hAnsi="Arial"/>
          <w:sz w:val="16"/>
          <w:szCs w:val="16"/>
          <w:color w:val="auto"/>
        </w:rPr>
        <w:t>. The remedies provided in this Option shall be cumulative and in addition to all other remedies available under this Option, at law or in equity (including a decree of specific performance and/or other injunctive relief), and nothing herein shall limit the right of the Purchaser to pursue actual damages for any failure by the Company to comply with the terms of this Option.</w:t>
      </w:r>
    </w:p>
    <w:p>
      <w:pPr>
        <w:spacing w:after="0" w:line="188" w:lineRule="exact"/>
        <w:rPr>
          <w:rFonts w:ascii="Arial" w:cs="Arial" w:eastAsia="Arial" w:hAnsi="Arial"/>
          <w:sz w:val="16"/>
          <w:szCs w:val="16"/>
          <w:color w:val="auto"/>
        </w:rPr>
      </w:pPr>
    </w:p>
    <w:p>
      <w:pPr>
        <w:jc w:val="both"/>
        <w:ind w:right="20" w:firstLine="1129"/>
        <w:spacing w:after="0" w:line="250" w:lineRule="auto"/>
        <w:tabs>
          <w:tab w:leader="none" w:pos="1793"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Option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Option so long as this Option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w:t>
      </w:r>
    </w:p>
    <w:p>
      <w:pPr>
        <w:spacing w:after="0" w:line="197" w:lineRule="exact"/>
        <w:rPr>
          <w:rFonts w:ascii="Arial" w:cs="Arial" w:eastAsia="Arial" w:hAnsi="Arial"/>
          <w:sz w:val="16"/>
          <w:szCs w:val="16"/>
          <w:color w:val="auto"/>
        </w:rPr>
      </w:pPr>
    </w:p>
    <w:p>
      <w:pPr>
        <w:jc w:val="both"/>
        <w:ind w:firstLine="1129"/>
        <w:spacing w:after="0" w:line="266" w:lineRule="auto"/>
        <w:tabs>
          <w:tab w:leader="none" w:pos="1746" w:val="left"/>
        </w:tabs>
        <w:numPr>
          <w:ilvl w:val="0"/>
          <w:numId w:val="238"/>
        </w:numPr>
        <w:rPr>
          <w:rFonts w:ascii="Arial" w:cs="Arial" w:eastAsia="Arial" w:hAnsi="Arial"/>
          <w:sz w:val="15"/>
          <w:szCs w:val="15"/>
          <w:color w:val="auto"/>
        </w:rPr>
      </w:pPr>
      <w:r>
        <w:rPr>
          <w:rFonts w:ascii="Arial" w:cs="Arial" w:eastAsia="Arial" w:hAnsi="Arial"/>
          <w:sz w:val="15"/>
          <w:szCs w:val="15"/>
          <w:u w:val="single" w:color="auto"/>
          <w:color w:val="auto"/>
        </w:rPr>
        <w:t>COMPANY'S REPRESENTATIONS AND WARRANTIES</w:t>
      </w:r>
      <w:r>
        <w:rPr>
          <w:rFonts w:ascii="Arial" w:cs="Arial" w:eastAsia="Arial" w:hAnsi="Arial"/>
          <w:sz w:val="15"/>
          <w:szCs w:val="15"/>
          <w:color w:val="auto"/>
        </w:rPr>
        <w:t>. The Company is a corporation duly organized, validly existing and in good standing under the laws of the State of California, with the requisite power and authority to own and use its properties and assets and to carry on its business as currently conducted. The Company has the power and authority to execute and deliver this Option and to perform all of its obligations hereunder. This Option has been duly authorized, executed and delivered by the Company and is the valid and binding agreement of the Company, enforceable in accordance with its terms subject to: (i) laws of general application relating to bankruptcy, insolvency and the relief of debtors; and (ii) general principles of equity. There is no lawsuit, arbitration proceeding, or administrative action or proceeding pending or threatened against the Company which questions the validity of this Option or any action taken or to be taken by the Company in connection with this Option or the transfer of the LifeMap Shares hereunder. The Company owns beneficially of record, free and clear of any lien or other encumbrance, the LifeMap Shares, and upon exercise of the Option, the Purchaser will acquire good and valid title to such LifeMap Shares thereto, free and clear of any lien or other encumbrance. The execution and delivery of this Option and consummation of the transactions contemplated by this Option (a) do not and will not violate any provisions of (i) any rule, regulation, statute, or law, (ii) the terms of any order, writ or decree of any court or judicial or regulatory authority or body, (iii) the Articles of Incorporation or bylaws of the Company, or (iv) the rules and regulations of the NYSE MKT applicable to the listing of the Company’s common shares, (b) will not conflict with or result in a breach of any condition or provision or constitute a default under or pursuant to the terms of any Material Contract (as defined in the Securities Purchase Agreement), and (c) will not result in the creation or imposition of any lien, charge or encumbrance upon any of the LifeMap Shares (other than pursuant to this Option) or upon any of the assets or properties of the Company.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31" w:name="page332"/>
    <w:bookmarkEnd w:id="331"/>
    <w:p>
      <w:pPr>
        <w:jc w:val="both"/>
        <w:ind w:firstLine="1129"/>
        <w:spacing w:after="0" w:line="266" w:lineRule="auto"/>
        <w:tabs>
          <w:tab w:leader="none" w:pos="1687" w:val="left"/>
        </w:tabs>
        <w:numPr>
          <w:ilvl w:val="0"/>
          <w:numId w:val="239"/>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CONCERNING LIFEMAP</w:t>
      </w:r>
      <w:r>
        <w:rPr>
          <w:rFonts w:ascii="Arial" w:cs="Arial" w:eastAsia="Arial" w:hAnsi="Arial"/>
          <w:sz w:val="15"/>
          <w:szCs w:val="15"/>
          <w:color w:val="auto"/>
        </w:rPr>
        <w:t>. LifeMap is a corporation duly organized, validly existing and in good standing under the laws of the State of California, with the requisite power and authority to own and use its properties and assets and to carry on its business as currently conducted. There is no lawsuit, arbitration proceeding, or administrative action or proceeding pending or threatened against LifeMap which questions the validity of this Option or any action taken or to be taken by the Company in connection with this Option or the transfer of the LifeMap Shares hereunder. The execution and delivery of this Option and consummation of the transactions contemplated by this Option (a) do not and will not violate any provisions of (i) any rule, regulation, statute, or law, (ii) the terms of any order, writ or decree of any court or judicial or regulatory authority or body or (iii) the Articles of Incorporation or bylaws of LifeMap, (b) will not conflict with or result in a breach of any condition or provision or constitute a default under or pursuant to the terms of any Material Contract of LifeMap (as defined in the Securities Purchase Agreement as if such contract was a contract to which LifeMap is a party), and (c) will not result in the creation or imposition of any lien, charge or encumbrance upon any of the LifeMap Shares (other than pursuant to this Option) or upon any of the assets or properties of LifeMap. The authorized capital stock of LifeMap consists of: 2,250,000 shares of Preferred Stock, none of which are issued and outstanding, and 22,500,000 shares of Common Stock, of which 11,715,095 shares, are issued and outstanding. All outstanding shares of LifeMap Common Stock are duly and validly authorized and issued, fully paid and nonassessable. Except for up to 2,342,269 shares of Common Stock reserved for issuance to employees, directors and consultants under the terms of a stock option plan previously approved by LifeMap’s Board of Directors, there are no outstanding options, warrants, rights or obligations for the purchase or acquisition from LifeMap of any shares of capital stock.</w:t>
      </w:r>
    </w:p>
    <w:p>
      <w:pPr>
        <w:spacing w:after="0" w:line="185" w:lineRule="exact"/>
        <w:rPr>
          <w:rFonts w:ascii="Arial" w:cs="Arial" w:eastAsia="Arial" w:hAnsi="Arial"/>
          <w:sz w:val="15"/>
          <w:szCs w:val="15"/>
          <w:color w:val="auto"/>
        </w:rPr>
      </w:pPr>
    </w:p>
    <w:p>
      <w:pPr>
        <w:ind w:left="1660" w:hanging="531"/>
        <w:spacing w:after="0"/>
        <w:tabs>
          <w:tab w:leader="none" w:pos="1660"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Option, the following terms shall have the following meanings:</w:t>
      </w:r>
    </w:p>
    <w:p>
      <w:pPr>
        <w:spacing w:after="0" w:line="213" w:lineRule="exact"/>
        <w:rPr>
          <w:rFonts w:ascii="Arial" w:cs="Arial" w:eastAsia="Arial" w:hAnsi="Arial"/>
          <w:sz w:val="16"/>
          <w:szCs w:val="16"/>
          <w:color w:val="auto"/>
        </w:rPr>
      </w:pPr>
    </w:p>
    <w:p>
      <w:pPr>
        <w:jc w:val="both"/>
        <w:ind w:right="20" w:firstLine="1696"/>
        <w:spacing w:after="0" w:line="314" w:lineRule="auto"/>
        <w:tabs>
          <w:tab w:leader="none" w:pos="2198" w:val="left"/>
        </w:tabs>
        <w:numPr>
          <w:ilvl w:val="1"/>
          <w:numId w:val="23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32" w:name="page333"/>
    <w:bookmarkEnd w:id="332"/>
    <w:p>
      <w:pPr>
        <w:ind w:left="2085" w:hanging="384"/>
        <w:spacing w:after="0"/>
        <w:tabs>
          <w:tab w:leader="none" w:pos="2085" w:val="left"/>
        </w:tabs>
        <w:numPr>
          <w:ilvl w:val="1"/>
          <w:numId w:val="2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Bloomberg</w:t>
      </w:r>
      <w:r>
        <w:rPr>
          <w:rFonts w:ascii="Arial" w:cs="Arial" w:eastAsia="Arial" w:hAnsi="Arial"/>
          <w:sz w:val="16"/>
          <w:szCs w:val="16"/>
          <w:color w:val="auto"/>
        </w:rPr>
        <w:t>" means Bloomberg Financial Markets.</w:t>
      </w:r>
    </w:p>
    <w:p>
      <w:pPr>
        <w:spacing w:after="0" w:line="217" w:lineRule="exact"/>
        <w:rPr>
          <w:rFonts w:ascii="Arial" w:cs="Arial" w:eastAsia="Arial" w:hAnsi="Arial"/>
          <w:sz w:val="16"/>
          <w:szCs w:val="16"/>
          <w:color w:val="auto"/>
        </w:rPr>
      </w:pPr>
    </w:p>
    <w:p>
      <w:pPr>
        <w:ind w:left="2165" w:hanging="464"/>
        <w:spacing w:after="0"/>
        <w:tabs>
          <w:tab w:leader="none" w:pos="2165" w:val="left"/>
        </w:tabs>
        <w:numPr>
          <w:ilvl w:val="1"/>
          <w:numId w:val="24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any day other than Saturday, Sunday or other day on which commercial banks in The City of New York are authorized or</w:t>
      </w:r>
    </w:p>
    <w:p>
      <w:pPr>
        <w:spacing w:after="0" w:line="43" w:lineRule="exact"/>
        <w:rPr>
          <w:rFonts w:ascii="Arial" w:cs="Arial" w:eastAsia="Arial" w:hAnsi="Arial"/>
          <w:sz w:val="14"/>
          <w:szCs w:val="14"/>
          <w:color w:val="auto"/>
        </w:rPr>
      </w:pPr>
    </w:p>
    <w:p>
      <w:pPr>
        <w:ind w:left="5"/>
        <w:spacing w:after="0"/>
        <w:rPr>
          <w:rFonts w:ascii="Arial" w:cs="Arial" w:eastAsia="Arial" w:hAnsi="Arial"/>
          <w:sz w:val="14"/>
          <w:szCs w:val="14"/>
          <w:color w:val="auto"/>
        </w:rPr>
      </w:pPr>
      <w:r>
        <w:rPr>
          <w:rFonts w:ascii="Arial" w:cs="Arial" w:eastAsia="Arial" w:hAnsi="Arial"/>
          <w:sz w:val="16"/>
          <w:szCs w:val="16"/>
          <w:color w:val="auto"/>
        </w:rPr>
        <w:t>required by law to remain closed.</w:t>
      </w:r>
    </w:p>
    <w:p>
      <w:pPr>
        <w:spacing w:after="0" w:line="202" w:lineRule="exact"/>
        <w:rPr>
          <w:rFonts w:ascii="Arial" w:cs="Arial" w:eastAsia="Arial" w:hAnsi="Arial"/>
          <w:sz w:val="14"/>
          <w:szCs w:val="14"/>
          <w:color w:val="auto"/>
        </w:rPr>
      </w:pPr>
    </w:p>
    <w:p>
      <w:pPr>
        <w:jc w:val="both"/>
        <w:ind w:left="5" w:firstLine="1696"/>
        <w:spacing w:after="0" w:line="287" w:lineRule="auto"/>
        <w:tabs>
          <w:tab w:leader="none" w:pos="2263" w:val="left"/>
        </w:tabs>
        <w:numPr>
          <w:ilvl w:val="1"/>
          <w:numId w:val="24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Bid Price</w:t>
      </w:r>
      <w:r>
        <w:rPr>
          <w:rFonts w:ascii="Arial" w:cs="Arial" w:eastAsia="Arial" w:hAnsi="Arial"/>
          <w:sz w:val="14"/>
          <w:szCs w:val="14"/>
          <w:color w:val="auto"/>
        </w:rPr>
        <w:t>" and "</w:t>
      </w:r>
      <w:r>
        <w:rPr>
          <w:rFonts w:ascii="Arial" w:cs="Arial" w:eastAsia="Arial" w:hAnsi="Arial"/>
          <w:sz w:val="14"/>
          <w:szCs w:val="14"/>
          <w:b w:val="1"/>
          <w:bCs w:val="1"/>
          <w:color w:val="auto"/>
        </w:rPr>
        <w:t>Closing Sale Price</w:t>
      </w:r>
      <w:r>
        <w:rPr>
          <w:rFonts w:ascii="Arial" w:cs="Arial" w:eastAsia="Arial" w:hAnsi="Arial"/>
          <w:sz w:val="14"/>
          <w:szCs w:val="14"/>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If the Company and the Purchaser are unable to agree upon the fair market value of such security, then such dispute shall be resolved pursuant to Section</w:t>
      </w:r>
    </w:p>
    <w:p>
      <w:pPr>
        <w:spacing w:after="0" w:line="1" w:lineRule="exact"/>
        <w:rPr>
          <w:rFonts w:ascii="Arial" w:cs="Arial" w:eastAsia="Arial" w:hAnsi="Arial"/>
          <w:sz w:val="14"/>
          <w:szCs w:val="14"/>
          <w:color w:val="auto"/>
        </w:rPr>
      </w:pPr>
    </w:p>
    <w:p>
      <w:pPr>
        <w:ind w:left="5" w:right="20" w:hanging="5"/>
        <w:spacing w:after="0" w:line="253" w:lineRule="auto"/>
        <w:tabs>
          <w:tab w:leader="none" w:pos="256" w:val="left"/>
        </w:tabs>
        <w:numPr>
          <w:ilvl w:val="0"/>
          <w:numId w:val="241"/>
        </w:numPr>
        <w:rPr>
          <w:rFonts w:ascii="Arial" w:cs="Arial" w:eastAsia="Arial" w:hAnsi="Arial"/>
          <w:sz w:val="16"/>
          <w:szCs w:val="16"/>
          <w:color w:val="auto"/>
        </w:rPr>
      </w:pPr>
      <w:r>
        <w:rPr>
          <w:rFonts w:ascii="Arial" w:cs="Arial" w:eastAsia="Arial" w:hAnsi="Arial"/>
          <w:sz w:val="16"/>
          <w:szCs w:val="16"/>
          <w:color w:val="auto"/>
        </w:rPr>
        <w:t>All such determinations to be appropriately adjusted for any stock dividend, stock split, stock combination, reclassification or other similar transaction during the applicable calculation period.</w:t>
      </w:r>
    </w:p>
    <w:p>
      <w:pPr>
        <w:spacing w:after="0" w:line="187" w:lineRule="exact"/>
        <w:rPr>
          <w:rFonts w:ascii="Arial" w:cs="Arial" w:eastAsia="Arial" w:hAnsi="Arial"/>
          <w:sz w:val="16"/>
          <w:szCs w:val="16"/>
          <w:color w:val="auto"/>
        </w:rPr>
      </w:pPr>
    </w:p>
    <w:p>
      <w:pPr>
        <w:ind w:left="5" w:right="20" w:firstLine="1696"/>
        <w:spacing w:after="0" w:line="273" w:lineRule="auto"/>
        <w:tabs>
          <w:tab w:leader="none" w:pos="2204" w:val="left"/>
        </w:tabs>
        <w:numPr>
          <w:ilvl w:val="1"/>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(i) the Common Stock, no par value per share, of LifeMap, and (ii) any share capital into which such Common Stock shall have been changed or any share capital resulting from a reclassification of such Common Stock.</w:t>
      </w:r>
    </w:p>
    <w:p>
      <w:pPr>
        <w:spacing w:after="0" w:line="172" w:lineRule="exact"/>
        <w:rPr>
          <w:rFonts w:ascii="Arial" w:cs="Arial" w:eastAsia="Arial" w:hAnsi="Arial"/>
          <w:sz w:val="16"/>
          <w:szCs w:val="16"/>
          <w:color w:val="auto"/>
        </w:rPr>
      </w:pPr>
    </w:p>
    <w:p>
      <w:pPr>
        <w:ind w:left="5" w:right="20" w:firstLine="1696"/>
        <w:spacing w:after="0" w:line="273" w:lineRule="auto"/>
        <w:tabs>
          <w:tab w:leader="none" w:pos="2136" w:val="left"/>
        </w:tabs>
        <w:numPr>
          <w:ilvl w:val="1"/>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Market</w:t>
      </w:r>
      <w:r>
        <w:rPr>
          <w:rFonts w:ascii="Arial" w:cs="Arial" w:eastAsia="Arial" w:hAnsi="Arial"/>
          <w:sz w:val="16"/>
          <w:szCs w:val="16"/>
          <w:color w:val="auto"/>
        </w:rPr>
        <w:t>" means the NYSE, the NYSE MKT, The NASDAQ Global Market, The NASDAQ Global Select Market, the NASDAQ Capital Market, or the OTC Bulletin Board.</w:t>
      </w:r>
    </w:p>
    <w:p>
      <w:pPr>
        <w:spacing w:after="0" w:line="172" w:lineRule="exact"/>
        <w:rPr>
          <w:rFonts w:ascii="Arial" w:cs="Arial" w:eastAsia="Arial" w:hAnsi="Arial"/>
          <w:sz w:val="16"/>
          <w:szCs w:val="16"/>
          <w:color w:val="auto"/>
        </w:rPr>
      </w:pPr>
    </w:p>
    <w:p>
      <w:pPr>
        <w:ind w:left="2085" w:hanging="384"/>
        <w:spacing w:after="0"/>
        <w:tabs>
          <w:tab w:leader="none" w:pos="2085" w:val="left"/>
        </w:tabs>
        <w:numPr>
          <w:ilvl w:val="1"/>
          <w:numId w:val="241"/>
        </w:numPr>
        <w:rPr>
          <w:rFonts w:ascii="Arial" w:cs="Arial" w:eastAsia="Arial" w:hAnsi="Arial"/>
          <w:sz w:val="16"/>
          <w:szCs w:val="16"/>
          <w:color w:val="auto"/>
        </w:rPr>
      </w:pP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means the Securities Exchange Act of 1934, as amended.</w:t>
      </w:r>
    </w:p>
    <w:p>
      <w:pPr>
        <w:spacing w:after="0" w:line="217" w:lineRule="exact"/>
        <w:rPr>
          <w:rFonts w:ascii="Arial" w:cs="Arial" w:eastAsia="Arial" w:hAnsi="Arial"/>
          <w:sz w:val="16"/>
          <w:szCs w:val="16"/>
          <w:color w:val="auto"/>
        </w:rPr>
      </w:pPr>
    </w:p>
    <w:p>
      <w:pPr>
        <w:ind w:left="5" w:right="20" w:firstLine="1696"/>
        <w:spacing w:after="0" w:line="273" w:lineRule="auto"/>
        <w:tabs>
          <w:tab w:leader="none" w:pos="2168" w:val="left"/>
        </w:tabs>
        <w:numPr>
          <w:ilvl w:val="1"/>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has the meaning ascribed in Section 1, provided, that, if March 4, 2019 falls on a day other than a Business Day or on which trading does not take place on the Principal Market (a "</w:t>
      </w:r>
      <w:r>
        <w:rPr>
          <w:rFonts w:ascii="Arial" w:cs="Arial" w:eastAsia="Arial" w:hAnsi="Arial"/>
          <w:sz w:val="16"/>
          <w:szCs w:val="16"/>
          <w:b w:val="1"/>
          <w:bCs w:val="1"/>
          <w:color w:val="auto"/>
        </w:rPr>
        <w:t>Holiday</w:t>
      </w:r>
      <w:r>
        <w:rPr>
          <w:rFonts w:ascii="Arial" w:cs="Arial" w:eastAsia="Arial" w:hAnsi="Arial"/>
          <w:sz w:val="16"/>
          <w:szCs w:val="16"/>
          <w:color w:val="auto"/>
        </w:rPr>
        <w:t>"), the next day that is not a Holiday shall apply.</w:t>
      </w:r>
    </w:p>
    <w:p>
      <w:pPr>
        <w:spacing w:after="0" w:line="172" w:lineRule="exact"/>
        <w:rPr>
          <w:rFonts w:ascii="Arial" w:cs="Arial" w:eastAsia="Arial" w:hAnsi="Arial"/>
          <w:sz w:val="16"/>
          <w:szCs w:val="16"/>
          <w:color w:val="auto"/>
        </w:rPr>
      </w:pPr>
    </w:p>
    <w:p>
      <w:pPr>
        <w:ind w:left="5" w:right="20" w:firstLine="1696"/>
        <w:spacing w:after="0" w:line="273" w:lineRule="auto"/>
        <w:tabs>
          <w:tab w:leader="none" w:pos="2116" w:val="left"/>
        </w:tabs>
        <w:numPr>
          <w:ilvl w:val="1"/>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limited liability company, a partnership, a joint venture, a corporation, a trust, an unincorporated organization, any other entity and a government or any department or agency thereof.</w:t>
      </w:r>
    </w:p>
    <w:p>
      <w:pPr>
        <w:spacing w:after="0" w:line="172" w:lineRule="exact"/>
        <w:rPr>
          <w:rFonts w:ascii="Arial" w:cs="Arial" w:eastAsia="Arial" w:hAnsi="Arial"/>
          <w:sz w:val="16"/>
          <w:szCs w:val="16"/>
          <w:color w:val="auto"/>
        </w:rPr>
      </w:pPr>
    </w:p>
    <w:p>
      <w:pPr>
        <w:ind w:left="2105" w:hanging="404"/>
        <w:spacing w:after="0"/>
        <w:tabs>
          <w:tab w:leader="none" w:pos="2105" w:val="left"/>
        </w:tabs>
        <w:numPr>
          <w:ilvl w:val="1"/>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Market</w:t>
      </w:r>
      <w:r>
        <w:rPr>
          <w:rFonts w:ascii="Arial" w:cs="Arial" w:eastAsia="Arial" w:hAnsi="Arial"/>
          <w:sz w:val="16"/>
          <w:szCs w:val="16"/>
          <w:color w:val="auto"/>
        </w:rPr>
        <w:t>" means the principal Eligible Market on which the Common Stock trades.</w:t>
      </w:r>
    </w:p>
    <w:p>
      <w:pPr>
        <w:spacing w:after="0" w:line="217" w:lineRule="exact"/>
        <w:rPr>
          <w:rFonts w:ascii="Arial" w:cs="Arial" w:eastAsia="Arial" w:hAnsi="Arial"/>
          <w:sz w:val="16"/>
          <w:szCs w:val="16"/>
          <w:color w:val="auto"/>
        </w:rPr>
      </w:pPr>
    </w:p>
    <w:p>
      <w:pPr>
        <w:ind w:left="2105" w:hanging="404"/>
        <w:spacing w:after="0"/>
        <w:tabs>
          <w:tab w:leader="none" w:pos="2105" w:val="left"/>
        </w:tabs>
        <w:numPr>
          <w:ilvl w:val="1"/>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w:t>
      </w:r>
    </w:p>
    <w:p>
      <w:pPr>
        <w:spacing w:after="0" w:line="217" w:lineRule="exact"/>
        <w:rPr>
          <w:rFonts w:ascii="Arial" w:cs="Arial" w:eastAsia="Arial" w:hAnsi="Arial"/>
          <w:sz w:val="16"/>
          <w:szCs w:val="16"/>
          <w:color w:val="auto"/>
        </w:rPr>
      </w:pPr>
    </w:p>
    <w:p>
      <w:pPr>
        <w:jc w:val="both"/>
        <w:ind w:left="5" w:firstLine="1696"/>
        <w:spacing w:after="0" w:line="255" w:lineRule="auto"/>
        <w:tabs>
          <w:tab w:leader="none" w:pos="2163" w:val="left"/>
        </w:tabs>
        <w:numPr>
          <w:ilvl w:val="1"/>
          <w:numId w:val="2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87"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Signature Page Follows]</w:t>
      </w:r>
    </w:p>
    <w:p>
      <w:pPr>
        <w:spacing w:after="0" w:line="372" w:lineRule="exact"/>
        <w:rPr>
          <w:sz w:val="20"/>
          <w:szCs w:val="20"/>
          <w:color w:val="auto"/>
        </w:rPr>
      </w:pPr>
    </w:p>
    <w:p>
      <w:pPr>
        <w:jc w:val="center"/>
        <w:ind w:right="-4"/>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263765" cy="152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123" w:right="219" w:bottom="1440" w:gutter="0" w:footer="0" w:header="0"/>
        </w:sectPr>
      </w:pPr>
    </w:p>
    <w:bookmarkStart w:id="333" w:name="page334"/>
    <w:bookmarkEnd w:id="333"/>
    <w:p>
      <w:pPr>
        <w:ind w:left="560"/>
        <w:spacing w:after="0"/>
        <w:rPr>
          <w:sz w:val="20"/>
          <w:szCs w:val="20"/>
          <w:color w:val="auto"/>
        </w:rPr>
      </w:pPr>
      <w:r>
        <w:rPr>
          <w:rFonts w:ascii="Arial" w:cs="Arial" w:eastAsia="Arial" w:hAnsi="Arial"/>
          <w:sz w:val="14"/>
          <w:szCs w:val="14"/>
          <w:b w:val="1"/>
          <w:bCs w:val="1"/>
          <w:color w:val="auto"/>
        </w:rPr>
        <w:t xml:space="preserve">IN WITNESS WHEREOF, </w:t>
      </w:r>
      <w:r>
        <w:rPr>
          <w:rFonts w:ascii="Arial" w:cs="Arial" w:eastAsia="Arial" w:hAnsi="Arial"/>
          <w:sz w:val="14"/>
          <w:szCs w:val="14"/>
          <w:color w:val="auto"/>
        </w:rPr>
        <w:t>the Company and Purchaser have caused this Option Agreement to be duly executed as of the Effective Date.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BIOTIME, INC.</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D.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11430</wp:posOffset>
            </wp:positionV>
            <wp:extent cx="2663825" cy="152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663825"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Name: Michael D. West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Title: Chief Executive Officer</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ALB Private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2911475" cy="152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911475" cy="15240"/>
                    </a:xfrm>
                    <a:prstGeom prst="rect">
                      <a:avLst/>
                    </a:prstGeom>
                    <a:noFill/>
                  </pic:spPr>
                </pic:pic>
              </a:graphicData>
            </a:graphic>
          </wp:anchor>
        </w:drawing>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Francis A. Mlynarczyk,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11430</wp:posOffset>
            </wp:positionV>
            <wp:extent cx="2663825" cy="152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663825"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Name: Francis A. Mlynarczyk, Jr.</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Title: Manager</w:t>
      </w:r>
    </w:p>
    <w:p>
      <w:pPr>
        <w:spacing w:after="0" w:line="200" w:lineRule="exact"/>
        <w:rPr>
          <w:sz w:val="20"/>
          <w:szCs w:val="20"/>
          <w:color w:val="auto"/>
        </w:rPr>
      </w:pPr>
    </w:p>
    <w:p>
      <w:pPr>
        <w:spacing w:after="0" w:line="370"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263765" cy="152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334" w:name="page335"/>
    <w:bookmarkEnd w:id="334"/>
    <w:p>
      <w:pPr>
        <w:jc w:val="right"/>
        <w:spacing w:after="0"/>
        <w:rPr>
          <w:sz w:val="20"/>
          <w:szCs w:val="20"/>
          <w:color w:val="auto"/>
        </w:rPr>
      </w:pPr>
      <w:r>
        <w:rPr>
          <w:rFonts w:ascii="Arial" w:cs="Arial" w:eastAsia="Arial" w:hAnsi="Arial"/>
          <w:sz w:val="16"/>
          <w:szCs w:val="16"/>
          <w:b w:val="1"/>
          <w:bCs w:val="1"/>
          <w:color w:val="auto"/>
        </w:rPr>
        <w:t>EXHIBIT A</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EXERCISE NOTICE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EXECUTED BY THE REGISTERED PURCHASER TO EXERCISE THIS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OPTION TO PURCHASE LIFEMAP COMMON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BIOTIME, INC.</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undersigned Purchaser hereby exercises the right to purchase _________________ LifeMap Shares ("</w:t>
      </w:r>
      <w:r>
        <w:rPr>
          <w:rFonts w:ascii="Arial" w:cs="Arial" w:eastAsia="Arial" w:hAnsi="Arial"/>
          <w:sz w:val="14"/>
          <w:szCs w:val="14"/>
          <w:b w:val="1"/>
          <w:bCs w:val="1"/>
          <w:color w:val="auto"/>
        </w:rPr>
        <w:t>LifeMap Shares</w:t>
      </w:r>
      <w:r>
        <w:rPr>
          <w:rFonts w:ascii="Arial" w:cs="Arial" w:eastAsia="Arial" w:hAnsi="Arial"/>
          <w:sz w:val="14"/>
          <w:szCs w:val="14"/>
          <w:color w:val="auto"/>
        </w:rPr>
        <w:t>") of LifeMap Sciences, Inc., a California</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corporation, held by BioTime, Inc. (the "</w:t>
      </w:r>
      <w:r>
        <w:rPr>
          <w:rFonts w:ascii="Arial" w:cs="Arial" w:eastAsia="Arial" w:hAnsi="Arial"/>
          <w:sz w:val="15"/>
          <w:szCs w:val="15"/>
          <w:b w:val="1"/>
          <w:bCs w:val="1"/>
          <w:color w:val="auto"/>
        </w:rPr>
        <w:t>Company</w:t>
      </w:r>
      <w:r>
        <w:rPr>
          <w:rFonts w:ascii="Arial" w:cs="Arial" w:eastAsia="Arial" w:hAnsi="Arial"/>
          <w:sz w:val="15"/>
          <w:szCs w:val="15"/>
          <w:color w:val="auto"/>
        </w:rPr>
        <w:t>"), pursuant to the attached Option Agreement and tenders herewith __________ shares of Series A Preferred Stock, duly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endorsed in blank, in exchange for such LifeMap Shares.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Capitalized terms used herein and not otherwise defined shall have the respective meanings set forth in the Option Agreement.</w:t>
      </w:r>
    </w:p>
    <w:p>
      <w:pPr>
        <w:spacing w:after="0" w:line="21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Date:</w:t>
        <w:tab/>
        <w:t>_______________ 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251460</wp:posOffset>
            </wp:positionV>
            <wp:extent cx="3263900" cy="152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263900" cy="15240"/>
                    </a:xfrm>
                    <a:prstGeom prst="rect">
                      <a:avLst/>
                    </a:prstGeom>
                    <a:noFill/>
                  </pic:spPr>
                </pic:pic>
              </a:graphicData>
            </a:graphic>
          </wp:anchor>
        </w:drawing>
      </w:r>
    </w:p>
    <w:p>
      <w:pPr>
        <w:spacing w:after="0" w:line="387"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Name of Registered Purchaser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11430</wp:posOffset>
            </wp:positionV>
            <wp:extent cx="2903855" cy="152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903855" cy="15240"/>
                    </a:xfrm>
                    <a:prstGeom prst="rect">
                      <a:avLst/>
                    </a:prstGeom>
                    <a:noFill/>
                  </pic:spPr>
                </pic:pic>
              </a:graphicData>
            </a:graphic>
          </wp:anchor>
        </w:drawing>
      </w:r>
    </w:p>
    <w:p>
      <w:pPr>
        <w:spacing w:after="0" w:line="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Name:</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Title: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[NOTE: The above signature should correspond exactly with the name of the Purchaser in the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7263765" cy="152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6"/>
          <w:szCs w:val="16"/>
          <w:b w:val="1"/>
          <w:bCs w:val="1"/>
          <w:color w:val="auto"/>
        </w:rPr>
        <w:t>ACKNOWLEDGMENT</w:t>
      </w:r>
    </w:p>
    <w:p>
      <w:pPr>
        <w:spacing w:after="0" w:line="222" w:lineRule="exact"/>
        <w:rPr>
          <w:sz w:val="20"/>
          <w:szCs w:val="20"/>
          <w:color w:val="auto"/>
        </w:rPr>
      </w:pPr>
    </w:p>
    <w:p>
      <w:pPr>
        <w:ind w:firstLine="567"/>
        <w:spacing w:after="0" w:line="267" w:lineRule="auto"/>
        <w:rPr>
          <w:sz w:val="20"/>
          <w:szCs w:val="20"/>
          <w:color w:val="auto"/>
        </w:rPr>
      </w:pPr>
      <w:r>
        <w:rPr>
          <w:rFonts w:ascii="Arial" w:cs="Arial" w:eastAsia="Arial" w:hAnsi="Arial"/>
          <w:sz w:val="16"/>
          <w:szCs w:val="16"/>
          <w:color w:val="auto"/>
        </w:rPr>
        <w:t>The Company hereby acknowledges this Exercise Notice and hereby directs [Transfer Agent] to issue the above indicated number of LifeMap Shares in accordance with the Transfer Agent Instructions dated ________ from the Company and acknowledged and agreed to by [Transfer Agent].</w:t>
      </w:r>
    </w:p>
    <w:p>
      <w:pPr>
        <w:spacing w:after="0" w:line="177"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BIOTIME, INC.</w:t>
      </w:r>
    </w:p>
    <w:p>
      <w:pPr>
        <w:spacing w:after="0" w:line="198"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11430</wp:posOffset>
            </wp:positionV>
            <wp:extent cx="2731135" cy="152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731135" cy="15240"/>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Name:</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7268845" cy="3492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8845" cy="3492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68845" cy="4762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8845" cy="47625"/>
                    </a:xfrm>
                    <a:prstGeom prst="rect">
                      <a:avLst/>
                    </a:prstGeom>
                    <a:noFill/>
                  </pic:spPr>
                </pic:pic>
              </a:graphicData>
            </a:graphic>
          </wp:anchor>
        </w:drawing>
        <w:t>Exhibit 21.1</w:t>
      </w:r>
    </w:p>
    <w:p>
      <w:pPr>
        <w:spacing w:after="0" w:line="194"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List of Subsidiaries</w:t>
      </w:r>
    </w:p>
    <w:p>
      <w:pPr>
        <w:spacing w:after="0" w:line="191" w:lineRule="exact"/>
        <w:rPr>
          <w:sz w:val="20"/>
          <w:szCs w:val="20"/>
          <w:color w:val="auto"/>
        </w:rPr>
      </w:pPr>
    </w:p>
    <w:tbl>
      <w:tblPr>
        <w:tblLayout w:type="fixed"/>
        <w:tblInd w:w="15" w:type="dxa"/>
        <w:tblCellMar>
          <w:top w:w="0" w:type="dxa"/>
          <w:left w:w="0" w:type="dxa"/>
          <w:bottom w:w="0" w:type="dxa"/>
          <w:right w:w="0" w:type="dxa"/>
        </w:tblCellMar>
      </w:tblPr>
      <w:tr>
        <w:trPr>
          <w:trHeight w:val="235"/>
        </w:trPr>
        <w:tc>
          <w:tcPr>
            <w:tcW w:w="3800" w:type="dxa"/>
            <w:vAlign w:val="bottom"/>
            <w:tcBorders>
              <w:top w:val="single" w:sz="8" w:color="auto"/>
              <w:left w:val="single" w:sz="8" w:color="auto"/>
              <w:right w:val="single" w:sz="8" w:color="auto"/>
            </w:tcBorders>
          </w:tcPr>
          <w:p>
            <w:pPr>
              <w:ind w:left="1540"/>
              <w:spacing w:after="0"/>
              <w:rPr>
                <w:sz w:val="20"/>
                <w:szCs w:val="20"/>
                <w:color w:val="auto"/>
              </w:rPr>
            </w:pPr>
            <w:r>
              <w:rPr>
                <w:rFonts w:ascii="Arial" w:cs="Arial" w:eastAsia="Arial" w:hAnsi="Arial"/>
                <w:sz w:val="16"/>
                <w:szCs w:val="16"/>
                <w:b w:val="1"/>
                <w:bCs w:val="1"/>
                <w:color w:val="auto"/>
              </w:rPr>
              <w:t>Subsidiary</w:t>
            </w:r>
          </w:p>
        </w:tc>
        <w:tc>
          <w:tcPr>
            <w:tcW w:w="3880" w:type="dxa"/>
            <w:vAlign w:val="bottom"/>
            <w:tcBorders>
              <w:top w:val="single" w:sz="8" w:color="auto"/>
              <w:right w:val="single" w:sz="8" w:color="auto"/>
            </w:tcBorders>
          </w:tcPr>
          <w:p>
            <w:pPr>
              <w:ind w:left="1260"/>
              <w:spacing w:after="0"/>
              <w:rPr>
                <w:sz w:val="20"/>
                <w:szCs w:val="20"/>
                <w:color w:val="auto"/>
              </w:rPr>
            </w:pPr>
            <w:r>
              <w:rPr>
                <w:rFonts w:ascii="Arial" w:cs="Arial" w:eastAsia="Arial" w:hAnsi="Arial"/>
                <w:sz w:val="16"/>
                <w:szCs w:val="16"/>
                <w:b w:val="1"/>
                <w:bCs w:val="1"/>
                <w:color w:val="auto"/>
              </w:rPr>
              <w:t>BioTime Ownership</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Country</w:t>
            </w:r>
          </w:p>
        </w:tc>
      </w:tr>
      <w:tr>
        <w:trPr>
          <w:trHeight w:val="29"/>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45"/>
        </w:trPr>
        <w:tc>
          <w:tcPr>
            <w:tcW w:w="38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Asterias Biotherapeutics, Inc.</w:t>
            </w:r>
          </w:p>
        </w:tc>
        <w:tc>
          <w:tcPr>
            <w:tcW w:w="3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71.6%</w:t>
            </w:r>
          </w:p>
        </w:tc>
        <w:tc>
          <w:tcPr>
            <w:tcW w:w="3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USA</w:t>
            </w:r>
          </w:p>
        </w:tc>
      </w:tr>
      <w:tr>
        <w:trPr>
          <w:trHeight w:val="211"/>
        </w:trPr>
        <w:tc>
          <w:tcPr>
            <w:tcW w:w="38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ReCyte Therapeutics, Inc.</w:t>
            </w:r>
          </w:p>
        </w:tc>
        <w:tc>
          <w:tcPr>
            <w:tcW w:w="3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94.8%</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USA</w:t>
            </w:r>
          </w:p>
        </w:tc>
      </w:tr>
      <w:tr>
        <w:trPr>
          <w:trHeight w:val="29"/>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45"/>
        </w:trPr>
        <w:tc>
          <w:tcPr>
            <w:tcW w:w="38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OncoCyte Corporation</w:t>
            </w:r>
          </w:p>
        </w:tc>
        <w:tc>
          <w:tcPr>
            <w:tcW w:w="3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75.3%</w:t>
            </w:r>
          </w:p>
        </w:tc>
        <w:tc>
          <w:tcPr>
            <w:tcW w:w="3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USA</w:t>
            </w:r>
          </w:p>
        </w:tc>
      </w:tr>
      <w:tr>
        <w:trPr>
          <w:trHeight w:val="211"/>
        </w:trPr>
        <w:tc>
          <w:tcPr>
            <w:tcW w:w="38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OrthoCyte Corporation</w:t>
            </w:r>
          </w:p>
        </w:tc>
        <w:tc>
          <w:tcPr>
            <w:tcW w:w="3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USA</w:t>
            </w:r>
          </w:p>
        </w:tc>
      </w:tr>
      <w:tr>
        <w:trPr>
          <w:trHeight w:val="29"/>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45"/>
        </w:trPr>
        <w:tc>
          <w:tcPr>
            <w:tcW w:w="38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ES Cell International Pte Ltd.</w:t>
            </w:r>
          </w:p>
        </w:tc>
        <w:tc>
          <w:tcPr>
            <w:tcW w:w="3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3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7"/>
              </w:rPr>
              <w:t>Singapore</w:t>
            </w:r>
          </w:p>
        </w:tc>
      </w:tr>
      <w:tr>
        <w:trPr>
          <w:trHeight w:val="211"/>
        </w:trPr>
        <w:tc>
          <w:tcPr>
            <w:tcW w:w="38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BioTime Asia, Limited</w:t>
            </w:r>
          </w:p>
        </w:tc>
        <w:tc>
          <w:tcPr>
            <w:tcW w:w="3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81%</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Hong Kong</w:t>
            </w:r>
          </w:p>
        </w:tc>
      </w:tr>
      <w:tr>
        <w:trPr>
          <w:trHeight w:val="29"/>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45"/>
        </w:trPr>
        <w:tc>
          <w:tcPr>
            <w:tcW w:w="38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Cell Cure Neurosciences Ltd.</w:t>
            </w:r>
          </w:p>
        </w:tc>
        <w:tc>
          <w:tcPr>
            <w:tcW w:w="3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62.5%</w:t>
            </w:r>
          </w:p>
        </w:tc>
        <w:tc>
          <w:tcPr>
            <w:tcW w:w="3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6"/>
              </w:rPr>
              <w:t>Israel</w:t>
            </w:r>
          </w:p>
        </w:tc>
      </w:tr>
      <w:tr>
        <w:trPr>
          <w:trHeight w:val="211"/>
        </w:trPr>
        <w:tc>
          <w:tcPr>
            <w:tcW w:w="38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LifeMap Sciences, Inc.</w:t>
            </w:r>
          </w:p>
        </w:tc>
        <w:tc>
          <w:tcPr>
            <w:tcW w:w="3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73.2%</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USA</w:t>
            </w:r>
          </w:p>
        </w:tc>
      </w:tr>
      <w:tr>
        <w:trPr>
          <w:trHeight w:val="29"/>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16"/>
        </w:trPr>
        <w:tc>
          <w:tcPr>
            <w:tcW w:w="38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LifeMap Sciences, Ltd.</w:t>
            </w:r>
          </w:p>
        </w:tc>
        <w:tc>
          <w:tcPr>
            <w:tcW w:w="3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(1)</w:t>
            </w:r>
          </w:p>
        </w:tc>
        <w:tc>
          <w:tcPr>
            <w:tcW w:w="3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6"/>
              </w:rPr>
              <w:t>Israel</w:t>
            </w:r>
          </w:p>
        </w:tc>
      </w:tr>
      <w:tr>
        <w:trPr>
          <w:trHeight w:val="24"/>
        </w:trPr>
        <w:tc>
          <w:tcPr>
            <w:tcW w:w="3800" w:type="dxa"/>
            <w:vAlign w:val="bottom"/>
            <w:tcBorders>
              <w:left w:val="single" w:sz="8" w:color="auto"/>
              <w:right w:val="single" w:sz="8" w:color="auto"/>
            </w:tcBorders>
            <w:shd w:val="clear" w:color="auto" w:fill="000000"/>
          </w:tcPr>
          <w:p>
            <w:pPr>
              <w:spacing w:after="0"/>
              <w:rPr>
                <w:sz w:val="2"/>
                <w:szCs w:val="2"/>
                <w:color w:val="auto"/>
              </w:rPr>
            </w:pPr>
          </w:p>
        </w:tc>
        <w:tc>
          <w:tcPr>
            <w:tcW w:w="3880" w:type="dxa"/>
            <w:vAlign w:val="bottom"/>
            <w:tcBorders>
              <w:right w:val="single" w:sz="8" w:color="auto"/>
            </w:tcBorders>
            <w:shd w:val="clear" w:color="auto" w:fill="000000"/>
          </w:tcPr>
          <w:p>
            <w:pPr>
              <w:spacing w:after="0"/>
              <w:rPr>
                <w:sz w:val="2"/>
                <w:szCs w:val="2"/>
                <w:color w:val="auto"/>
              </w:rPr>
            </w:pPr>
          </w:p>
        </w:tc>
        <w:tc>
          <w:tcPr>
            <w:tcW w:w="3760" w:type="dxa"/>
            <w:vAlign w:val="bottom"/>
            <w:tcBorders>
              <w:right w:val="single" w:sz="8" w:color="auto"/>
            </w:tcBorders>
            <w:shd w:val="clear" w:color="auto" w:fill="000000"/>
          </w:tcPr>
          <w:p>
            <w:pPr>
              <w:spacing w:after="0"/>
              <w:rPr>
                <w:sz w:val="2"/>
                <w:szCs w:val="2"/>
                <w:color w:val="auto"/>
              </w:rPr>
            </w:pPr>
          </w:p>
        </w:tc>
      </w:tr>
    </w:tbl>
    <w:p>
      <w:pPr>
        <w:spacing w:after="0" w:line="200" w:lineRule="exact"/>
        <w:rPr>
          <w:sz w:val="20"/>
          <w:szCs w:val="20"/>
          <w:color w:val="auto"/>
        </w:rPr>
      </w:pPr>
    </w:p>
    <w:p>
      <w:pPr>
        <w:ind w:left="425" w:hanging="425"/>
        <w:spacing w:after="0"/>
        <w:tabs>
          <w:tab w:leader="none" w:pos="42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LifeMap Sciences, Ltd. is a wholly-owned subsidiary of LifeMap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338455</wp:posOffset>
            </wp:positionV>
            <wp:extent cx="7268845" cy="3492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8845" cy="34925"/>
                    </a:xfrm>
                    <a:prstGeom prst="rect">
                      <a:avLst/>
                    </a:prstGeom>
                    <a:noFill/>
                  </pic:spPr>
                </pic:pic>
              </a:graphicData>
            </a:graphic>
          </wp:anchor>
        </w:drawing>
      </w:r>
    </w:p>
    <w:p>
      <w:pPr>
        <w:sectPr>
          <w:pgSz w:w="11900" w:h="16838" w:orient="portrait"/>
          <w:cols w:equalWidth="0" w:num="1">
            <w:col w:w="11445"/>
          </w:cols>
          <w:pgMar w:left="235" w:top="277" w:right="219" w:bottom="1440" w:gutter="0" w:footer="0" w:header="0"/>
        </w:sectPr>
      </w:pPr>
    </w:p>
    <w:bookmarkStart w:id="337" w:name="page338"/>
    <w:bookmarkEnd w:id="337"/>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68845" cy="4762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8845" cy="47625"/>
                    </a:xfrm>
                    <a:prstGeom prst="rect">
                      <a:avLst/>
                    </a:prstGeom>
                    <a:noFill/>
                  </pic:spPr>
                </pic:pic>
              </a:graphicData>
            </a:graphic>
          </wp:anchor>
        </w:drawing>
        <w:t>EXHIBIT 23.1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We hereby consent to the incorporation by reference in the Registration Statements and related Prospectuses of BioTime, Inc. and Subsidiaries (collectively, the “Company”) on Form S-2 (Registration Nos. 333-128083 and 333-109442), Form S-3 (Registration Nos. 333-166862, 333-167822, 333-174282, 333-182964, 333-183557, 333-187710 and 333-188066), and Form S-8 (Registration Nos. 333-101651, 333-163396 and 333-192531) of our report dated March 17, 2014, with respect to the consolidated financial statements of the Company and the effectiveness of internal control over financial reporting of the Company, included in this Annual Report (Form 10-K) for the year ended December 31, 2013.</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/s/ Rothstein Kass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March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173990</wp:posOffset>
            </wp:positionV>
            <wp:extent cx="7268845" cy="3492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8845" cy="34925"/>
                    </a:xfrm>
                    <a:prstGeom prst="rect">
                      <a:avLst/>
                    </a:prstGeom>
                    <a:noFill/>
                  </pic:spPr>
                </pic:pic>
              </a:graphicData>
            </a:graphic>
          </wp:anchor>
        </w:drawing>
      </w:r>
    </w:p>
    <w:p>
      <w:pPr>
        <w:sectPr>
          <w:pgSz w:w="11900" w:h="16838" w:orient="portrait"/>
          <w:cols w:equalWidth="0" w:num="1">
            <w:col w:w="11440"/>
          </w:cols>
          <w:pgMar w:left="240" w:top="288" w:right="219" w:bottom="1440" w:gutter="0" w:footer="0" w:header="0"/>
        </w:sectPr>
      </w:pPr>
    </w:p>
    <w:bookmarkStart w:id="338" w:name="page339"/>
    <w:bookmarkEnd w:id="338"/>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68845" cy="4762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8845" cy="47625"/>
                    </a:xfrm>
                    <a:prstGeom prst="rect">
                      <a:avLst/>
                    </a:prstGeom>
                    <a:noFill/>
                  </pic:spPr>
                </pic:pic>
              </a:graphicData>
            </a:graphic>
          </wp:anchor>
        </w:drawing>
        <w:t>Exhibit 31</w:t>
      </w:r>
    </w:p>
    <w:p>
      <w:pPr>
        <w:spacing w:after="0" w:line="21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CERTIFICATIONS</w:t>
      </w:r>
    </w:p>
    <w:p>
      <w:pPr>
        <w:spacing w:after="0" w:line="222" w:lineRule="exact"/>
        <w:rPr>
          <w:sz w:val="20"/>
          <w:szCs w:val="20"/>
          <w:color w:val="auto"/>
        </w:rPr>
      </w:pPr>
    </w:p>
    <w:p>
      <w:pPr>
        <w:ind w:left="5"/>
        <w:spacing w:after="0"/>
        <w:rPr>
          <w:sz w:val="20"/>
          <w:szCs w:val="20"/>
          <w:color w:val="auto"/>
        </w:rPr>
      </w:pPr>
      <w:r>
        <w:rPr>
          <w:rFonts w:ascii="Arial" w:cs="Arial" w:eastAsia="Arial" w:hAnsi="Arial"/>
          <w:sz w:val="16"/>
          <w:szCs w:val="16"/>
          <w:color w:val="auto"/>
        </w:rPr>
        <w:t>I, Robert W. Peabody, certify that:</w:t>
      </w:r>
    </w:p>
    <w:p>
      <w:pPr>
        <w:spacing w:after="0" w:line="218" w:lineRule="exact"/>
        <w:rPr>
          <w:sz w:val="20"/>
          <w:szCs w:val="20"/>
          <w:color w:val="auto"/>
        </w:rPr>
      </w:pPr>
    </w:p>
    <w:p>
      <w:pPr>
        <w:ind w:left="205" w:hanging="205"/>
        <w:spacing w:after="0"/>
        <w:tabs>
          <w:tab w:leader="none" w:pos="20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BioTime, Inc.;</w:t>
      </w:r>
    </w:p>
    <w:p>
      <w:pPr>
        <w:spacing w:after="0" w:line="217" w:lineRule="exact"/>
        <w:rPr>
          <w:rFonts w:ascii="Arial" w:cs="Arial" w:eastAsia="Arial" w:hAnsi="Arial"/>
          <w:sz w:val="16"/>
          <w:szCs w:val="16"/>
          <w:color w:val="auto"/>
        </w:rPr>
      </w:pPr>
    </w:p>
    <w:p>
      <w:pPr>
        <w:ind w:left="5" w:right="60" w:hanging="5"/>
        <w:spacing w:after="0" w:line="267" w:lineRule="auto"/>
        <w:tabs>
          <w:tab w:leader="none" w:pos="20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6"/>
          <w:szCs w:val="16"/>
          <w:color w:val="auto"/>
        </w:rPr>
      </w:pPr>
    </w:p>
    <w:p>
      <w:pPr>
        <w:ind w:left="5" w:right="160" w:hanging="5"/>
        <w:spacing w:after="0" w:line="267" w:lineRule="auto"/>
        <w:tabs>
          <w:tab w:leader="none" w:pos="20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6"/>
          <w:szCs w:val="16"/>
          <w:color w:val="auto"/>
        </w:rPr>
      </w:pPr>
    </w:p>
    <w:p>
      <w:pPr>
        <w:ind w:left="205" w:hanging="205"/>
        <w:spacing w:after="0"/>
        <w:tabs>
          <w:tab w:leader="none" w:pos="205" w:val="left"/>
        </w:tabs>
        <w:numPr>
          <w:ilvl w:val="0"/>
          <w:numId w:val="24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 13a-15(e) and</w:t>
      </w:r>
    </w:p>
    <w:p>
      <w:pPr>
        <w:spacing w:after="0" w:line="39" w:lineRule="exact"/>
        <w:rPr>
          <w:rFonts w:ascii="Arial" w:cs="Arial" w:eastAsia="Arial" w:hAnsi="Arial"/>
          <w:sz w:val="14"/>
          <w:szCs w:val="14"/>
          <w:color w:val="auto"/>
        </w:rPr>
      </w:pPr>
    </w:p>
    <w:p>
      <w:pPr>
        <w:ind w:left="5"/>
        <w:spacing w:after="0"/>
        <w:rPr>
          <w:rFonts w:ascii="Arial" w:cs="Arial" w:eastAsia="Arial" w:hAnsi="Arial"/>
          <w:sz w:val="14"/>
          <w:szCs w:val="14"/>
          <w:color w:val="auto"/>
        </w:rPr>
      </w:pPr>
      <w:r>
        <w:rPr>
          <w:rFonts w:ascii="Arial" w:cs="Arial" w:eastAsia="Arial" w:hAnsi="Arial"/>
          <w:sz w:val="16"/>
          <w:szCs w:val="16"/>
          <w:color w:val="auto"/>
        </w:rPr>
        <w:t>15d-15(e)) and internal control over financial reporting (as defined in Exchange Act Rules 13a-15(f) and 15d-15(f)) for the registrant and have:</w:t>
      </w:r>
    </w:p>
    <w:p>
      <w:pPr>
        <w:spacing w:after="0" w:line="206" w:lineRule="exact"/>
        <w:rPr>
          <w:rFonts w:ascii="Arial" w:cs="Arial" w:eastAsia="Arial" w:hAnsi="Arial"/>
          <w:sz w:val="14"/>
          <w:szCs w:val="14"/>
          <w:color w:val="auto"/>
        </w:rPr>
      </w:pPr>
    </w:p>
    <w:p>
      <w:pPr>
        <w:ind w:left="285" w:right="300" w:hanging="2"/>
        <w:spacing w:after="0" w:line="257" w:lineRule="auto"/>
        <w:tabs>
          <w:tab w:leader="none" w:pos="539" w:val="left"/>
        </w:tabs>
        <w:numPr>
          <w:ilvl w:val="1"/>
          <w:numId w:val="2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188" w:lineRule="exact"/>
        <w:rPr>
          <w:rFonts w:ascii="Arial" w:cs="Arial" w:eastAsia="Arial" w:hAnsi="Arial"/>
          <w:sz w:val="16"/>
          <w:szCs w:val="16"/>
          <w:color w:val="auto"/>
        </w:rPr>
      </w:pPr>
    </w:p>
    <w:p>
      <w:pPr>
        <w:ind w:left="285" w:right="100" w:hanging="2"/>
        <w:spacing w:after="0" w:line="257" w:lineRule="auto"/>
        <w:tabs>
          <w:tab w:leader="none" w:pos="548" w:val="left"/>
        </w:tabs>
        <w:numPr>
          <w:ilvl w:val="1"/>
          <w:numId w:val="2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6"/>
          <w:szCs w:val="16"/>
          <w:color w:val="auto"/>
        </w:rPr>
      </w:pPr>
    </w:p>
    <w:p>
      <w:pPr>
        <w:ind w:left="285" w:right="480" w:hanging="2"/>
        <w:spacing w:after="0" w:line="267" w:lineRule="auto"/>
        <w:tabs>
          <w:tab w:leader="none" w:pos="539" w:val="left"/>
        </w:tabs>
        <w:numPr>
          <w:ilvl w:val="1"/>
          <w:numId w:val="2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6"/>
          <w:szCs w:val="16"/>
          <w:color w:val="auto"/>
        </w:rPr>
      </w:pPr>
    </w:p>
    <w:p>
      <w:pPr>
        <w:ind w:left="285" w:right="560" w:hanging="2"/>
        <w:spacing w:after="0" w:line="267" w:lineRule="auto"/>
        <w:tabs>
          <w:tab w:leader="none" w:pos="548" w:val="left"/>
        </w:tabs>
        <w:numPr>
          <w:ilvl w:val="1"/>
          <w:numId w:val="2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6"/>
          <w:szCs w:val="16"/>
          <w:color w:val="auto"/>
        </w:rPr>
      </w:pPr>
    </w:p>
    <w:p>
      <w:pPr>
        <w:ind w:left="5" w:right="240" w:hanging="5"/>
        <w:spacing w:after="0" w:line="267" w:lineRule="auto"/>
        <w:tabs>
          <w:tab w:leader="none" w:pos="202"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1" w:lineRule="exact"/>
        <w:rPr>
          <w:rFonts w:ascii="Arial" w:cs="Arial" w:eastAsia="Arial" w:hAnsi="Arial"/>
          <w:sz w:val="16"/>
          <w:szCs w:val="16"/>
          <w:color w:val="auto"/>
        </w:rPr>
      </w:pPr>
    </w:p>
    <w:p>
      <w:pPr>
        <w:ind w:left="285" w:right="60" w:hanging="2"/>
        <w:spacing w:after="0" w:line="267" w:lineRule="auto"/>
        <w:tabs>
          <w:tab w:leader="none" w:pos="539" w:val="left"/>
        </w:tabs>
        <w:numPr>
          <w:ilvl w:val="1"/>
          <w:numId w:val="2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6"/>
          <w:szCs w:val="16"/>
          <w:color w:val="auto"/>
        </w:rPr>
      </w:pPr>
    </w:p>
    <w:p>
      <w:pPr>
        <w:ind w:left="5" w:right="300" w:firstLine="278"/>
        <w:spacing w:after="0" w:line="524" w:lineRule="auto"/>
        <w:tabs>
          <w:tab w:leader="none" w:pos="551" w:val="left"/>
        </w:tabs>
        <w:numPr>
          <w:ilvl w:val="1"/>
          <w:numId w:val="2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 Date: March 17, 2014</w:t>
      </w:r>
    </w:p>
    <w:p>
      <w:pPr>
        <w:ind w:left="5"/>
        <w:spacing w:after="0"/>
        <w:rPr>
          <w:sz w:val="20"/>
          <w:szCs w:val="20"/>
          <w:color w:val="auto"/>
        </w:rPr>
      </w:pPr>
      <w:r>
        <w:rPr>
          <w:rFonts w:ascii="Arial" w:cs="Arial" w:eastAsia="Arial" w:hAnsi="Arial"/>
          <w:sz w:val="16"/>
          <w:szCs w:val="16"/>
          <w:color w:val="auto"/>
        </w:rPr>
        <w:t>/s/ Robert W. Peabody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2183765" cy="152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183765" cy="15240"/>
                    </a:xfrm>
                    <a:prstGeom prst="rect">
                      <a:avLst/>
                    </a:prstGeom>
                    <a:noFill/>
                  </pic:spPr>
                </pic:pic>
              </a:graphicData>
            </a:graphic>
          </wp:anchor>
        </w:drawing>
      </w:r>
    </w:p>
    <w:p>
      <w:pPr>
        <w:spacing w:after="0" w:line="9" w:lineRule="exact"/>
        <w:rPr>
          <w:sz w:val="20"/>
          <w:szCs w:val="20"/>
          <w:color w:val="auto"/>
        </w:rPr>
      </w:pPr>
    </w:p>
    <w:p>
      <w:pPr>
        <w:ind w:left="5"/>
        <w:spacing w:after="0"/>
        <w:rPr>
          <w:sz w:val="20"/>
          <w:szCs w:val="20"/>
          <w:color w:val="auto"/>
        </w:rPr>
      </w:pPr>
      <w:r>
        <w:rPr>
          <w:rFonts w:ascii="Arial" w:cs="Arial" w:eastAsia="Arial" w:hAnsi="Arial"/>
          <w:sz w:val="16"/>
          <w:szCs w:val="16"/>
          <w:color w:val="auto"/>
        </w:rPr>
        <w:t>Robert W. Peabody</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263765" cy="152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ectPr>
          <w:pgSz w:w="11900" w:h="16838" w:orient="portrait"/>
          <w:cols w:equalWidth="0" w:num="1">
            <w:col w:w="11445"/>
          </w:cols>
          <w:pgMar w:left="235" w:top="288" w:right="219" w:bottom="1440" w:gutter="0" w:footer="0" w:header="0"/>
        </w:sectPr>
      </w:pPr>
    </w:p>
    <w:bookmarkStart w:id="339" w:name="page340"/>
    <w:bookmarkEnd w:id="339"/>
    <w:p>
      <w:pPr>
        <w:jc w:val="right"/>
        <w:spacing w:after="0"/>
        <w:rPr>
          <w:sz w:val="20"/>
          <w:szCs w:val="20"/>
          <w:color w:val="auto"/>
        </w:rPr>
      </w:pPr>
      <w:r>
        <w:rPr>
          <w:rFonts w:ascii="Arial" w:cs="Arial" w:eastAsia="Arial" w:hAnsi="Arial"/>
          <w:sz w:val="16"/>
          <w:szCs w:val="16"/>
          <w:b w:val="1"/>
          <w:bCs w:val="1"/>
          <w:color w:val="auto"/>
        </w:rPr>
        <w:t>Exhibit 31</w:t>
      </w:r>
    </w:p>
    <w:p>
      <w:pPr>
        <w:spacing w:after="0" w:line="194"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CERTIFICATIONS</w:t>
      </w:r>
    </w:p>
    <w:p>
      <w:pPr>
        <w:spacing w:after="0" w:line="222" w:lineRule="exact"/>
        <w:rPr>
          <w:sz w:val="20"/>
          <w:szCs w:val="20"/>
          <w:color w:val="auto"/>
        </w:rPr>
      </w:pPr>
    </w:p>
    <w:p>
      <w:pPr>
        <w:ind w:left="5"/>
        <w:spacing w:after="0"/>
        <w:rPr>
          <w:sz w:val="20"/>
          <w:szCs w:val="20"/>
          <w:color w:val="auto"/>
        </w:rPr>
      </w:pPr>
      <w:r>
        <w:rPr>
          <w:rFonts w:ascii="Arial" w:cs="Arial" w:eastAsia="Arial" w:hAnsi="Arial"/>
          <w:sz w:val="16"/>
          <w:szCs w:val="16"/>
          <w:color w:val="auto"/>
        </w:rPr>
        <w:t>I, Michael D. West, certify that:</w:t>
      </w:r>
    </w:p>
    <w:p>
      <w:pPr>
        <w:spacing w:after="0" w:line="218" w:lineRule="exact"/>
        <w:rPr>
          <w:sz w:val="20"/>
          <w:szCs w:val="20"/>
          <w:color w:val="auto"/>
        </w:rPr>
      </w:pPr>
    </w:p>
    <w:p>
      <w:pPr>
        <w:ind w:left="205" w:hanging="205"/>
        <w:spacing w:after="0"/>
        <w:tabs>
          <w:tab w:leader="none" w:pos="20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BioTime, Inc.;</w:t>
      </w:r>
    </w:p>
    <w:p>
      <w:pPr>
        <w:spacing w:after="0" w:line="217" w:lineRule="exact"/>
        <w:rPr>
          <w:rFonts w:ascii="Arial" w:cs="Arial" w:eastAsia="Arial" w:hAnsi="Arial"/>
          <w:sz w:val="16"/>
          <w:szCs w:val="16"/>
          <w:color w:val="auto"/>
        </w:rPr>
      </w:pPr>
    </w:p>
    <w:p>
      <w:pPr>
        <w:ind w:left="5" w:right="60" w:hanging="5"/>
        <w:spacing w:after="0" w:line="267" w:lineRule="auto"/>
        <w:tabs>
          <w:tab w:leader="none" w:pos="202" w:val="left"/>
        </w:tabs>
        <w:numPr>
          <w:ilvl w:val="0"/>
          <w:numId w:val="2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6"/>
          <w:szCs w:val="16"/>
          <w:color w:val="auto"/>
        </w:rPr>
      </w:pPr>
    </w:p>
    <w:p>
      <w:pPr>
        <w:ind w:left="5" w:right="160" w:hanging="5"/>
        <w:spacing w:after="0" w:line="267" w:lineRule="auto"/>
        <w:tabs>
          <w:tab w:leader="none" w:pos="202" w:val="left"/>
        </w:tabs>
        <w:numPr>
          <w:ilvl w:val="0"/>
          <w:numId w:val="2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6"/>
          <w:szCs w:val="16"/>
          <w:color w:val="auto"/>
        </w:rPr>
      </w:pPr>
    </w:p>
    <w:p>
      <w:pPr>
        <w:ind w:left="205" w:hanging="205"/>
        <w:spacing w:after="0"/>
        <w:tabs>
          <w:tab w:leader="none" w:pos="205" w:val="left"/>
        </w:tabs>
        <w:numPr>
          <w:ilvl w:val="0"/>
          <w:numId w:val="24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 13a-15(e) and</w:t>
      </w:r>
    </w:p>
    <w:p>
      <w:pPr>
        <w:spacing w:after="0" w:line="39" w:lineRule="exact"/>
        <w:rPr>
          <w:rFonts w:ascii="Arial" w:cs="Arial" w:eastAsia="Arial" w:hAnsi="Arial"/>
          <w:sz w:val="14"/>
          <w:szCs w:val="14"/>
          <w:color w:val="auto"/>
        </w:rPr>
      </w:pPr>
    </w:p>
    <w:p>
      <w:pPr>
        <w:ind w:left="5"/>
        <w:spacing w:after="0"/>
        <w:rPr>
          <w:rFonts w:ascii="Arial" w:cs="Arial" w:eastAsia="Arial" w:hAnsi="Arial"/>
          <w:sz w:val="14"/>
          <w:szCs w:val="14"/>
          <w:color w:val="auto"/>
        </w:rPr>
      </w:pPr>
      <w:r>
        <w:rPr>
          <w:rFonts w:ascii="Arial" w:cs="Arial" w:eastAsia="Arial" w:hAnsi="Arial"/>
          <w:sz w:val="16"/>
          <w:szCs w:val="16"/>
          <w:color w:val="auto"/>
        </w:rPr>
        <w:t>15d-15(e)) and internal control over financial reporting (as defined in Exchange Act Rules 13a-15(f) and 15d-15(f)) for the registrant and have:</w:t>
      </w:r>
    </w:p>
    <w:p>
      <w:pPr>
        <w:spacing w:after="0" w:line="206" w:lineRule="exact"/>
        <w:rPr>
          <w:rFonts w:ascii="Arial" w:cs="Arial" w:eastAsia="Arial" w:hAnsi="Arial"/>
          <w:sz w:val="14"/>
          <w:szCs w:val="14"/>
          <w:color w:val="auto"/>
        </w:rPr>
      </w:pPr>
    </w:p>
    <w:p>
      <w:pPr>
        <w:ind w:left="285" w:right="300" w:hanging="2"/>
        <w:spacing w:after="0" w:line="257" w:lineRule="auto"/>
        <w:tabs>
          <w:tab w:leader="none" w:pos="539" w:val="left"/>
        </w:tabs>
        <w:numPr>
          <w:ilvl w:val="1"/>
          <w:numId w:val="2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188" w:lineRule="exact"/>
        <w:rPr>
          <w:rFonts w:ascii="Arial" w:cs="Arial" w:eastAsia="Arial" w:hAnsi="Arial"/>
          <w:sz w:val="16"/>
          <w:szCs w:val="16"/>
          <w:color w:val="auto"/>
        </w:rPr>
      </w:pPr>
    </w:p>
    <w:p>
      <w:pPr>
        <w:ind w:left="285" w:right="100" w:hanging="2"/>
        <w:spacing w:after="0" w:line="257" w:lineRule="auto"/>
        <w:tabs>
          <w:tab w:leader="none" w:pos="548" w:val="left"/>
        </w:tabs>
        <w:numPr>
          <w:ilvl w:val="1"/>
          <w:numId w:val="2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6"/>
          <w:szCs w:val="16"/>
          <w:color w:val="auto"/>
        </w:rPr>
      </w:pPr>
    </w:p>
    <w:p>
      <w:pPr>
        <w:ind w:left="285" w:right="480" w:hanging="2"/>
        <w:spacing w:after="0" w:line="267" w:lineRule="auto"/>
        <w:tabs>
          <w:tab w:leader="none" w:pos="539" w:val="left"/>
        </w:tabs>
        <w:numPr>
          <w:ilvl w:val="1"/>
          <w:numId w:val="2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6"/>
          <w:szCs w:val="16"/>
          <w:color w:val="auto"/>
        </w:rPr>
      </w:pPr>
    </w:p>
    <w:p>
      <w:pPr>
        <w:ind w:left="285" w:right="560" w:hanging="2"/>
        <w:spacing w:after="0" w:line="267" w:lineRule="auto"/>
        <w:tabs>
          <w:tab w:leader="none" w:pos="548" w:val="left"/>
        </w:tabs>
        <w:numPr>
          <w:ilvl w:val="1"/>
          <w:numId w:val="2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6"/>
          <w:szCs w:val="16"/>
          <w:color w:val="auto"/>
        </w:rPr>
      </w:pPr>
    </w:p>
    <w:p>
      <w:pPr>
        <w:ind w:left="5" w:right="240" w:hanging="5"/>
        <w:spacing w:after="0" w:line="267" w:lineRule="auto"/>
        <w:tabs>
          <w:tab w:leader="none" w:pos="202"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1" w:lineRule="exact"/>
        <w:rPr>
          <w:rFonts w:ascii="Arial" w:cs="Arial" w:eastAsia="Arial" w:hAnsi="Arial"/>
          <w:sz w:val="16"/>
          <w:szCs w:val="16"/>
          <w:color w:val="auto"/>
        </w:rPr>
      </w:pPr>
    </w:p>
    <w:p>
      <w:pPr>
        <w:ind w:left="285" w:right="60" w:hanging="2"/>
        <w:spacing w:after="0" w:line="267" w:lineRule="auto"/>
        <w:tabs>
          <w:tab w:leader="none" w:pos="539" w:val="left"/>
        </w:tabs>
        <w:numPr>
          <w:ilvl w:val="1"/>
          <w:numId w:val="2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6"/>
          <w:szCs w:val="16"/>
          <w:color w:val="auto"/>
        </w:rPr>
      </w:pPr>
    </w:p>
    <w:p>
      <w:pPr>
        <w:ind w:left="5" w:right="300" w:firstLine="278"/>
        <w:spacing w:after="0" w:line="524" w:lineRule="auto"/>
        <w:tabs>
          <w:tab w:leader="none" w:pos="551" w:val="left"/>
        </w:tabs>
        <w:numPr>
          <w:ilvl w:val="1"/>
          <w:numId w:val="2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 Date: March 17, 2014</w:t>
      </w:r>
    </w:p>
    <w:p>
      <w:pPr>
        <w:ind w:left="5"/>
        <w:spacing w:after="0"/>
        <w:rPr>
          <w:sz w:val="20"/>
          <w:szCs w:val="20"/>
          <w:color w:val="auto"/>
        </w:rPr>
      </w:pPr>
      <w:r>
        <w:rPr>
          <w:rFonts w:ascii="Arial" w:cs="Arial" w:eastAsia="Arial" w:hAnsi="Arial"/>
          <w:sz w:val="16"/>
          <w:szCs w:val="16"/>
          <w:color w:val="auto"/>
        </w:rPr>
        <w:t>/s/ Michael D.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2183765" cy="152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83765" cy="15240"/>
                    </a:xfrm>
                    <a:prstGeom prst="rect">
                      <a:avLst/>
                    </a:prstGeom>
                    <a:noFill/>
                  </pic:spPr>
                </pic:pic>
              </a:graphicData>
            </a:graphic>
          </wp:anchor>
        </w:drawing>
      </w:r>
    </w:p>
    <w:p>
      <w:pPr>
        <w:spacing w:after="0" w:line="9" w:lineRule="exact"/>
        <w:rPr>
          <w:sz w:val="20"/>
          <w:szCs w:val="20"/>
          <w:color w:val="auto"/>
        </w:rPr>
      </w:pPr>
    </w:p>
    <w:p>
      <w:pPr>
        <w:ind w:left="5"/>
        <w:spacing w:after="0"/>
        <w:rPr>
          <w:sz w:val="20"/>
          <w:szCs w:val="20"/>
          <w:color w:val="auto"/>
        </w:rPr>
      </w:pPr>
      <w:r>
        <w:rPr>
          <w:rFonts w:ascii="Arial" w:cs="Arial" w:eastAsia="Arial" w:hAnsi="Arial"/>
          <w:sz w:val="16"/>
          <w:szCs w:val="16"/>
          <w:color w:val="auto"/>
        </w:rPr>
        <w:t>Michael D. West</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196850</wp:posOffset>
            </wp:positionV>
            <wp:extent cx="7268845" cy="3492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8845" cy="34925"/>
                    </a:xfrm>
                    <a:prstGeom prst="rect">
                      <a:avLst/>
                    </a:prstGeom>
                    <a:noFill/>
                  </pic:spPr>
                </pic:pic>
              </a:graphicData>
            </a:graphic>
          </wp:anchor>
        </w:drawing>
      </w:r>
    </w:p>
    <w:p>
      <w:pPr>
        <w:sectPr>
          <w:pgSz w:w="11900" w:h="16838" w:orient="portrait"/>
          <w:cols w:equalWidth="0" w:num="1">
            <w:col w:w="11445"/>
          </w:cols>
          <w:pgMar w:left="235" w:top="123" w:right="219" w:bottom="1440" w:gutter="0" w:footer="0" w:header="0"/>
        </w:sectPr>
      </w:pPr>
    </w:p>
    <w:bookmarkStart w:id="340" w:name="page341"/>
    <w:bookmarkEnd w:id="340"/>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68845" cy="4762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8845" cy="47625"/>
                    </a:xfrm>
                    <a:prstGeom prst="rect">
                      <a:avLst/>
                    </a:prstGeom>
                    <a:noFill/>
                  </pic:spPr>
                </pic:pic>
              </a:graphicData>
            </a:graphic>
          </wp:anchor>
        </w:drawing>
        <w:t>Exhibit 32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7"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In connection with the Annual Report on Form 10-K of BioTime, Inc. (the “Company”) for the year ended December 31, 2013 as filed with the Securities and Exchange Commission on the date hereof (the “Report”), we, Michael D. West, Chief Executive Officer, and Robert W. Peabody, Chief Financial Officer of the Company, certify pursuant to 18 U.S.C. Section 1350, as adopted pursuant to Section 906 of the Sarbanes-Oxley Act of 2002, that:</w:t>
      </w:r>
    </w:p>
    <w:p>
      <w:pPr>
        <w:spacing w:after="0" w:line="189" w:lineRule="exact"/>
        <w:rPr>
          <w:sz w:val="20"/>
          <w:szCs w:val="20"/>
          <w:color w:val="auto"/>
        </w:rPr>
      </w:pPr>
    </w:p>
    <w:p>
      <w:pPr>
        <w:ind w:left="820" w:hanging="202"/>
        <w:spacing w:after="0"/>
        <w:tabs>
          <w:tab w:leader="none" w:pos="82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17" w:lineRule="exact"/>
        <w:rPr>
          <w:rFonts w:ascii="Arial" w:cs="Arial" w:eastAsia="Arial" w:hAnsi="Arial"/>
          <w:sz w:val="16"/>
          <w:szCs w:val="16"/>
          <w:color w:val="auto"/>
        </w:rPr>
      </w:pPr>
    </w:p>
    <w:p>
      <w:pPr>
        <w:ind w:left="620" w:right="1480" w:hanging="2"/>
        <w:spacing w:after="0" w:line="524" w:lineRule="auto"/>
        <w:tabs>
          <w:tab w:leader="none" w:pos="81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March 17, 2014</w:t>
      </w:r>
    </w:p>
    <w:p>
      <w:pPr>
        <w:ind w:left="580"/>
        <w:spacing w:after="0"/>
        <w:rPr>
          <w:sz w:val="20"/>
          <w:szCs w:val="20"/>
          <w:color w:val="auto"/>
        </w:rPr>
      </w:pPr>
      <w:r>
        <w:rPr>
          <w:rFonts w:ascii="Arial" w:cs="Arial" w:eastAsia="Arial" w:hAnsi="Arial"/>
          <w:sz w:val="16"/>
          <w:szCs w:val="16"/>
          <w:color w:val="auto"/>
        </w:rPr>
        <w:t>/s/ Michael D.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2191385" cy="152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191385" cy="15240"/>
                    </a:xfrm>
                    <a:prstGeom prst="rect">
                      <a:avLst/>
                    </a:prstGeom>
                    <a:noFill/>
                  </pic:spPr>
                </pic:pic>
              </a:graphicData>
            </a:graphic>
          </wp:anchor>
        </w:drawing>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Michael D. West</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Chief Executive Officer</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 Robert W. Peabody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2191385" cy="152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191385" cy="15240"/>
                    </a:xfrm>
                    <a:prstGeom prst="rect">
                      <a:avLst/>
                    </a:prstGeom>
                    <a:noFill/>
                  </pic:spPr>
                </pic:pic>
              </a:graphicData>
            </a:graphic>
          </wp:anchor>
        </w:drawing>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Robert W. Peabody</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7268845" cy="3492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8845" cy="34925"/>
                    </a:xfrm>
                    <a:prstGeom prst="rect">
                      <a:avLst/>
                    </a:prstGeom>
                    <a:noFill/>
                  </pic:spPr>
                </pic:pic>
              </a:graphicData>
            </a:graphic>
          </wp:anchor>
        </w:drawing>
      </w:r>
    </w:p>
    <w:sectPr>
      <w:pgSz w:w="11900" w:h="16838" w:orient="portrait"/>
      <w:cols w:equalWidth="0" w:num="1">
        <w:col w:w="11440"/>
      </w:cols>
      <w:pgMar w:left="240" w:top="28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75DFCF0"/>
    <w:multiLevelType w:val="hybridMultilevel"/>
    <w:lvl w:ilvl="0">
      <w:lvlJc w:val="left"/>
      <w:lvlText w:val="(%1)"/>
      <w:numFmt w:val="decimal"/>
      <w:start w:val="1"/>
    </w:lvl>
  </w:abstractNum>
  <w:abstractNum w:abstractNumId="1">
    <w:nsid w:val="4F97E3E4"/>
    <w:multiLevelType w:val="hybridMultilevel"/>
    <w:lvl w:ilvl="0">
      <w:lvlJc w:val="left"/>
      <w:lvlText w:val="·"/>
      <w:numFmt w:val="bullet"/>
      <w:start w:val="1"/>
    </w:lvl>
  </w:abstractNum>
  <w:abstractNum w:abstractNumId="2">
    <w:nsid w:val="53B0A9E"/>
    <w:multiLevelType w:val="hybridMultilevel"/>
    <w:lvl w:ilvl="0">
      <w:lvlJc w:val="left"/>
      <w:lvlText w:val="·"/>
      <w:numFmt w:val="bullet"/>
      <w:start w:val="1"/>
    </w:lvl>
  </w:abstractNum>
  <w:abstractNum w:abstractNumId="3">
    <w:nsid w:val="34FD6B4F"/>
    <w:multiLevelType w:val="hybridMultilevel"/>
    <w:lvl w:ilvl="0">
      <w:lvlJc w:val="left"/>
      <w:lvlText w:val="·"/>
      <w:numFmt w:val="bullet"/>
      <w:start w:val="1"/>
    </w:lvl>
  </w:abstractNum>
  <w:abstractNum w:abstractNumId="4">
    <w:nsid w:val="5915FF32"/>
    <w:multiLevelType w:val="hybridMultilevel"/>
    <w:lvl w:ilvl="0">
      <w:lvlJc w:val="left"/>
      <w:lvlText w:val="·"/>
      <w:numFmt w:val="bullet"/>
      <w:start w:val="1"/>
    </w:lvl>
  </w:abstractNum>
  <w:abstractNum w:abstractNumId="5">
    <w:nsid w:val="56438D15"/>
    <w:multiLevelType w:val="hybridMultilevel"/>
    <w:lvl w:ilvl="0">
      <w:lvlJc w:val="left"/>
      <w:lvlText w:val="(%1)"/>
      <w:numFmt w:val="decimal"/>
      <w:start w:val="1"/>
    </w:lvl>
  </w:abstractNum>
  <w:abstractNum w:abstractNumId="6">
    <w:nsid w:val="519E3149"/>
    <w:multiLevelType w:val="hybridMultilevel"/>
    <w:lvl w:ilvl="0">
      <w:lvlJc w:val="left"/>
      <w:lvlText w:val="·"/>
      <w:numFmt w:val="bullet"/>
      <w:start w:val="1"/>
    </w:lvl>
  </w:abstractNum>
  <w:abstractNum w:abstractNumId="7">
    <w:nsid w:val="2C6E4AFD"/>
    <w:multiLevelType w:val="hybridMultilevel"/>
    <w:lvl w:ilvl="0">
      <w:lvlJc w:val="left"/>
      <w:lvlText w:val="·"/>
      <w:numFmt w:val="bullet"/>
      <w:start w:val="1"/>
    </w:lvl>
  </w:abstractNum>
  <w:abstractNum w:abstractNumId="8">
    <w:nsid w:val="17A1B582"/>
    <w:multiLevelType w:val="hybridMultilevel"/>
    <w:lvl w:ilvl="0">
      <w:lvlJc w:val="left"/>
      <w:lvlText w:val="·"/>
      <w:numFmt w:val="bullet"/>
      <w:start w:val="1"/>
    </w:lvl>
  </w:abstractNum>
  <w:abstractNum w:abstractNumId="9">
    <w:nsid w:val="4DF72E4E"/>
    <w:multiLevelType w:val="hybridMultilevel"/>
    <w:lvl w:ilvl="0">
      <w:lvlJc w:val="left"/>
      <w:lvlText w:val="(%1)"/>
      <w:numFmt w:val="decimal"/>
      <w:start w:val="1"/>
    </w:lvl>
  </w:abstractNum>
  <w:abstractNum w:abstractNumId="10">
    <w:nsid w:val="5046B5A9"/>
    <w:multiLevelType w:val="hybridMultilevel"/>
    <w:lvl w:ilvl="0">
      <w:lvlJc w:val="left"/>
      <w:lvlText w:val="·"/>
      <w:numFmt w:val="bullet"/>
      <w:start w:val="1"/>
    </w:lvl>
  </w:abstractNum>
  <w:abstractNum w:abstractNumId="11">
    <w:nsid w:val="5D888A08"/>
    <w:multiLevelType w:val="hybridMultilevel"/>
    <w:lvl w:ilvl="0">
      <w:lvlJc w:val="left"/>
      <w:lvlText w:val="·"/>
      <w:numFmt w:val="bullet"/>
      <w:start w:val="1"/>
    </w:lvl>
  </w:abstractNum>
  <w:abstractNum w:abstractNumId="12">
    <w:nsid w:val="2A082C70"/>
    <w:multiLevelType w:val="hybridMultilevel"/>
    <w:lvl w:ilvl="0">
      <w:lvlJc w:val="left"/>
      <w:lvlText w:val="·"/>
      <w:numFmt w:val="bullet"/>
      <w:start w:val="1"/>
    </w:lvl>
  </w:abstractNum>
  <w:abstractNum w:abstractNumId="13">
    <w:nsid w:val="5EC6AFD4"/>
    <w:multiLevelType w:val="hybridMultilevel"/>
    <w:lvl w:ilvl="0">
      <w:lvlJc w:val="left"/>
      <w:lvlText w:val="(%1)"/>
      <w:numFmt w:val="decimal"/>
      <w:start w:val="3"/>
    </w:lvl>
  </w:abstractNum>
  <w:abstractNum w:abstractNumId="14">
    <w:nsid w:val="19E21BB2"/>
    <w:multiLevelType w:val="hybridMultilevel"/>
    <w:lvl w:ilvl="0">
      <w:lvlJc w:val="left"/>
      <w:lvlText w:val="(%1)"/>
      <w:numFmt w:val="decimal"/>
      <w:start w:val="30"/>
    </w:lvl>
  </w:abstractNum>
  <w:abstractNum w:abstractNumId="15">
    <w:nsid w:val="75E0858A"/>
    <w:multiLevelType w:val="hybridMultilevel"/>
    <w:lvl w:ilvl="0">
      <w:lvlJc w:val="left"/>
      <w:lvlText w:val="(%1)"/>
      <w:numFmt w:val="decimal"/>
      <w:start w:val="30"/>
    </w:lvl>
  </w:abstractNum>
  <w:abstractNum w:abstractNumId="16">
    <w:nsid w:val="57A61A29"/>
    <w:multiLevelType w:val="hybridMultilevel"/>
    <w:lvl w:ilvl="0">
      <w:lvlJc w:val="left"/>
      <w:lvlText w:val="·"/>
      <w:numFmt w:val="bullet"/>
      <w:start w:val="1"/>
    </w:lvl>
  </w:abstractNum>
  <w:abstractNum w:abstractNumId="17">
    <w:nsid w:val="5399C654"/>
    <w:multiLevelType w:val="hybridMultilevel"/>
    <w:lvl w:ilvl="0">
      <w:lvlJc w:val="left"/>
      <w:lvlText w:val="·"/>
      <w:numFmt w:val="bullet"/>
      <w:start w:val="1"/>
    </w:lvl>
    <w:lvl w:ilvl="1">
      <w:lvlJc w:val="left"/>
      <w:lvlText w:val="(%2)"/>
      <w:numFmt w:val="lowerLetter"/>
      <w:start w:val="1"/>
    </w:lvl>
  </w:abstractNum>
  <w:abstractNum w:abstractNumId="18">
    <w:nsid w:val="20EE1348"/>
    <w:multiLevelType w:val="hybridMultilevel"/>
    <w:lvl w:ilvl="0">
      <w:lvlJc w:val="left"/>
      <w:lvlText w:val="·"/>
      <w:numFmt w:val="bullet"/>
      <w:start w:val="1"/>
    </w:lvl>
    <w:lvl w:ilvl="1">
      <w:lvlJc w:val="left"/>
      <w:lvlText w:val="(%2)"/>
      <w:numFmt w:val="lowerLetter"/>
      <w:start w:val="1"/>
    </w:lvl>
  </w:abstractNum>
  <w:abstractNum w:abstractNumId="19">
    <w:nsid w:val="4427069A"/>
    <w:multiLevelType w:val="hybridMultilevel"/>
    <w:lvl w:ilvl="0">
      <w:lvlJc w:val="left"/>
      <w:lvlText w:val="·"/>
      <w:numFmt w:val="bullet"/>
      <w:start w:val="1"/>
    </w:lvl>
  </w:abstractNum>
  <w:abstractNum w:abstractNumId="20">
    <w:nsid w:val="B37E80A"/>
    <w:multiLevelType w:val="hybridMultilevel"/>
    <w:lvl w:ilvl="0">
      <w:lvlJc w:val="left"/>
      <w:lvlText w:val="·"/>
      <w:numFmt w:val="bullet"/>
      <w:start w:val="1"/>
    </w:lvl>
  </w:abstractNum>
  <w:abstractNum w:abstractNumId="21">
    <w:nsid w:val="2157F6BC"/>
    <w:multiLevelType w:val="hybridMultilevel"/>
    <w:lvl w:ilvl="0">
      <w:lvlJc w:val="left"/>
      <w:lvlText w:val="·"/>
      <w:numFmt w:val="bullet"/>
      <w:start w:val="1"/>
    </w:lvl>
  </w:abstractNum>
  <w:abstractNum w:abstractNumId="22">
    <w:nsid w:val="704E1DD5"/>
    <w:multiLevelType w:val="hybridMultilevel"/>
    <w:lvl w:ilvl="0">
      <w:lvlJc w:val="left"/>
      <w:lvlText w:val="·"/>
      <w:numFmt w:val="bullet"/>
      <w:start w:val="1"/>
    </w:lvl>
  </w:abstractNum>
  <w:abstractNum w:abstractNumId="23">
    <w:nsid w:val="57D2F10E"/>
    <w:multiLevelType w:val="hybridMultilevel"/>
    <w:lvl w:ilvl="0">
      <w:lvlJc w:val="left"/>
      <w:lvlText w:val="·"/>
      <w:numFmt w:val="bullet"/>
      <w:start w:val="1"/>
    </w:lvl>
  </w:abstractNum>
  <w:abstractNum w:abstractNumId="24">
    <w:nsid w:val="BFFAE18"/>
    <w:multiLevelType w:val="hybridMultilevel"/>
    <w:lvl w:ilvl="0">
      <w:lvlJc w:val="left"/>
      <w:lvlText w:val="·"/>
      <w:numFmt w:val="bullet"/>
      <w:start w:val="1"/>
    </w:lvl>
  </w:abstractNum>
  <w:abstractNum w:abstractNumId="25">
    <w:nsid w:val="E3E47A8"/>
    <w:multiLevelType w:val="hybridMultilevel"/>
    <w:lvl w:ilvl="0">
      <w:lvlJc w:val="left"/>
      <w:lvlText w:val="·"/>
      <w:numFmt w:val="bullet"/>
      <w:start w:val="1"/>
    </w:lvl>
  </w:abstractNum>
  <w:abstractNum w:abstractNumId="26">
    <w:nsid w:val="2E48F044"/>
    <w:multiLevelType w:val="hybridMultilevel"/>
    <w:lvl w:ilvl="0">
      <w:lvlJc w:val="left"/>
      <w:lvlText w:val="·"/>
      <w:numFmt w:val="bullet"/>
      <w:start w:val="1"/>
    </w:lvl>
  </w:abstractNum>
  <w:abstractNum w:abstractNumId="27">
    <w:nsid w:val="49D0FEAC"/>
    <w:multiLevelType w:val="hybridMultilevel"/>
    <w:lvl w:ilvl="0">
      <w:lvlJc w:val="left"/>
      <w:lvlText w:val="·"/>
      <w:numFmt w:val="bullet"/>
      <w:start w:val="1"/>
    </w:lvl>
  </w:abstractNum>
  <w:abstractNum w:abstractNumId="28">
    <w:nsid w:val="4BEE5A5B"/>
    <w:multiLevelType w:val="hybridMultilevel"/>
    <w:lvl w:ilvl="0">
      <w:lvlJc w:val="left"/>
      <w:lvlText w:val="·"/>
      <w:numFmt w:val="bullet"/>
      <w:start w:val="1"/>
    </w:lvl>
  </w:abstractNum>
  <w:abstractNum w:abstractNumId="29">
    <w:nsid w:val="5551B9F3"/>
    <w:multiLevelType w:val="hybridMultilevel"/>
    <w:lvl w:ilvl="0">
      <w:lvlJc w:val="left"/>
      <w:lvlText w:val="·"/>
      <w:numFmt w:val="bullet"/>
      <w:start w:val="1"/>
    </w:lvl>
  </w:abstractNum>
  <w:abstractNum w:abstractNumId="30">
    <w:nsid w:val="24F6AB8E"/>
    <w:multiLevelType w:val="hybridMultilevel"/>
    <w:lvl w:ilvl="0">
      <w:lvlJc w:val="left"/>
      <w:lvlText w:val="·"/>
      <w:numFmt w:val="bullet"/>
      <w:start w:val="1"/>
    </w:lvl>
  </w:abstractNum>
  <w:abstractNum w:abstractNumId="31">
    <w:nsid w:val="634C574C"/>
    <w:multiLevelType w:val="hybridMultilevel"/>
    <w:lvl w:ilvl="0">
      <w:lvlJc w:val="left"/>
      <w:lvlText w:val="·"/>
      <w:numFmt w:val="bullet"/>
      <w:start w:val="1"/>
    </w:lvl>
  </w:abstractNum>
  <w:abstractNum w:abstractNumId="32">
    <w:nsid w:val="24E99DD7"/>
    <w:multiLevelType w:val="hybridMultilevel"/>
    <w:lvl w:ilvl="0">
      <w:lvlJc w:val="left"/>
      <w:lvlText w:val="·"/>
      <w:numFmt w:val="bullet"/>
      <w:start w:val="1"/>
    </w:lvl>
  </w:abstractNum>
  <w:abstractNum w:abstractNumId="33">
    <w:nsid w:val="2A31B62D"/>
    <w:multiLevelType w:val="hybridMultilevel"/>
    <w:lvl w:ilvl="0">
      <w:lvlJc w:val="left"/>
      <w:lvlText w:val="·"/>
      <w:numFmt w:val="bullet"/>
      <w:start w:val="1"/>
    </w:lvl>
  </w:abstractNum>
  <w:abstractNum w:abstractNumId="34">
    <w:nsid w:val="1849C29B"/>
    <w:multiLevelType w:val="hybridMultilevel"/>
    <w:lvl w:ilvl="0">
      <w:lvlJc w:val="left"/>
      <w:lvlText w:val="·"/>
      <w:numFmt w:val="bullet"/>
      <w:start w:val="1"/>
    </w:lvl>
  </w:abstractNum>
  <w:abstractNum w:abstractNumId="35">
    <w:nsid w:val="7DFF9D09"/>
    <w:multiLevelType w:val="hybridMultilevel"/>
    <w:lvl w:ilvl="0">
      <w:lvlJc w:val="left"/>
      <w:lvlText w:val="·"/>
      <w:numFmt w:val="bullet"/>
      <w:start w:val="1"/>
    </w:lvl>
  </w:abstractNum>
  <w:abstractNum w:abstractNumId="36">
    <w:nsid w:val="754342"/>
    <w:multiLevelType w:val="hybridMultilevel"/>
    <w:lvl w:ilvl="0">
      <w:lvlJc w:val="left"/>
      <w:lvlText w:val="·"/>
      <w:numFmt w:val="bullet"/>
      <w:start w:val="1"/>
    </w:lvl>
  </w:abstractNum>
  <w:abstractNum w:abstractNumId="37">
    <w:nsid w:val="69E7F3E5"/>
    <w:multiLevelType w:val="hybridMultilevel"/>
    <w:lvl w:ilvl="0">
      <w:lvlJc w:val="left"/>
      <w:lvlText w:val="(%1)"/>
      <w:numFmt w:val="decimal"/>
      <w:start w:val="1"/>
    </w:lvl>
  </w:abstractNum>
  <w:abstractNum w:abstractNumId="38">
    <w:nsid w:val="2A6DE806"/>
    <w:multiLevelType w:val="hybridMultilevel"/>
    <w:lvl w:ilvl="0">
      <w:lvlJc w:val="left"/>
      <w:lvlText w:val="(%1)"/>
      <w:numFmt w:val="decimal"/>
      <w:start w:val="1"/>
    </w:lvl>
  </w:abstractNum>
  <w:abstractNum w:abstractNumId="39">
    <w:nsid w:val="1816F8C4"/>
    <w:multiLevelType w:val="hybridMultilevel"/>
    <w:lvl w:ilvl="0">
      <w:lvlJc w:val="left"/>
      <w:lvlText w:val="(%1)"/>
      <w:numFmt w:val="decimal"/>
      <w:start w:val="1"/>
    </w:lvl>
  </w:abstractNum>
  <w:abstractNum w:abstractNumId="40">
    <w:nsid w:val="37DF2233"/>
    <w:multiLevelType w:val="hybridMultilevel"/>
    <w:lvl w:ilvl="0">
      <w:lvlJc w:val="left"/>
      <w:lvlText w:val="(%1)"/>
      <w:numFmt w:val="decimal"/>
      <w:start w:val="1"/>
    </w:lvl>
  </w:abstractNum>
  <w:abstractNum w:abstractNumId="41">
    <w:nsid w:val="7AB49DAF"/>
    <w:multiLevelType w:val="hybridMultilevel"/>
    <w:lvl w:ilvl="0">
      <w:lvlJc w:val="left"/>
      <w:lvlText w:val="(%1)"/>
      <w:numFmt w:val="decimal"/>
      <w:start w:val="1"/>
    </w:lvl>
  </w:abstractNum>
  <w:abstractNum w:abstractNumId="42">
    <w:nsid w:val="759F82CD"/>
    <w:multiLevelType w:val="hybridMultilevel"/>
    <w:lvl w:ilvl="0">
      <w:lvlJc w:val="left"/>
      <w:lvlText w:val="(%1)"/>
      <w:numFmt w:val="decimal"/>
      <w:start w:val="1"/>
    </w:lvl>
  </w:abstractNum>
  <w:abstractNum w:abstractNumId="43">
    <w:nsid w:val="61E74EA3"/>
    <w:multiLevelType w:val="hybridMultilevel"/>
    <w:lvl w:ilvl="0">
      <w:lvlJc w:val="left"/>
      <w:lvlText w:val="·"/>
      <w:numFmt w:val="bullet"/>
      <w:start w:val="1"/>
    </w:lvl>
  </w:abstractNum>
  <w:abstractNum w:abstractNumId="44">
    <w:nsid w:val="597B4D84"/>
    <w:multiLevelType w:val="hybridMultilevel"/>
    <w:lvl w:ilvl="0">
      <w:lvlJc w:val="left"/>
      <w:lvlText w:val="·"/>
      <w:numFmt w:val="bullet"/>
      <w:start w:val="1"/>
    </w:lvl>
  </w:abstractNum>
  <w:abstractNum w:abstractNumId="45">
    <w:nsid w:val="F819E7F"/>
    <w:multiLevelType w:val="hybridMultilevel"/>
    <w:lvl w:ilvl="0">
      <w:lvlJc w:val="left"/>
      <w:lvlText w:val="%1."/>
      <w:numFmt w:val="decimal"/>
      <w:start w:val="9"/>
    </w:lvl>
    <w:lvl w:ilvl="1">
      <w:lvlJc w:val="left"/>
      <w:lvlText w:val="·"/>
      <w:numFmt w:val="bullet"/>
      <w:start w:val="1"/>
    </w:lvl>
  </w:abstractNum>
  <w:abstractNum w:abstractNumId="46">
    <w:nsid w:val="57C7D42D"/>
    <w:multiLevelType w:val="hybridMultilevel"/>
    <w:lvl w:ilvl="0">
      <w:lvlJc w:val="left"/>
      <w:lvlText w:val="%1)"/>
      <w:numFmt w:val="decimal"/>
      <w:start w:val="1"/>
    </w:lvl>
  </w:abstractNum>
  <w:abstractNum w:abstractNumId="47">
    <w:nsid w:val="312167AD"/>
    <w:multiLevelType w:val="hybridMultilevel"/>
    <w:lvl w:ilvl="0">
      <w:lvlJc w:val="left"/>
      <w:lvlText w:val="$"/>
      <w:numFmt w:val="bullet"/>
      <w:start w:val="1"/>
    </w:lvl>
  </w:abstractNum>
  <w:abstractNum w:abstractNumId="48">
    <w:nsid w:val="631B64D4"/>
    <w:multiLevelType w:val="hybridMultilevel"/>
    <w:lvl w:ilvl="0">
      <w:lvlJc w:val="left"/>
      <w:lvlText w:val="$"/>
      <w:numFmt w:val="bullet"/>
      <w:start w:val="1"/>
    </w:lvl>
  </w:abstractNum>
  <w:abstractNum w:abstractNumId="49">
    <w:nsid w:val="78B5E776"/>
    <w:multiLevelType w:val="hybridMultilevel"/>
    <w:lvl w:ilvl="0">
      <w:lvlJc w:val="left"/>
      <w:lvlText w:val="$"/>
      <w:numFmt w:val="bullet"/>
      <w:start w:val="1"/>
    </w:lvl>
  </w:abstractNum>
  <w:abstractNum w:abstractNumId="50">
    <w:nsid w:val="75486E47"/>
    <w:multiLevelType w:val="hybridMultilevel"/>
    <w:lvl w:ilvl="0">
      <w:lvlJc w:val="left"/>
      <w:lvlText w:val="$"/>
      <w:numFmt w:val="bullet"/>
      <w:start w:val="1"/>
    </w:lvl>
  </w:abstractNum>
  <w:abstractNum w:abstractNumId="51">
    <w:nsid w:val="6E534CDE"/>
    <w:multiLevelType w:val="hybridMultilevel"/>
    <w:lvl w:ilvl="0">
      <w:lvlJc w:val="left"/>
      <w:lvlText w:val="$"/>
      <w:numFmt w:val="bullet"/>
      <w:start w:val="1"/>
    </w:lvl>
  </w:abstractNum>
  <w:abstractNum w:abstractNumId="52">
    <w:nsid w:val="1A0DDE32"/>
    <w:multiLevelType w:val="hybridMultilevel"/>
    <w:lvl w:ilvl="0">
      <w:lvlJc w:val="left"/>
      <w:lvlText w:val="$"/>
      <w:numFmt w:val="bullet"/>
      <w:start w:val="1"/>
    </w:lvl>
  </w:abstractNum>
  <w:abstractNum w:abstractNumId="53">
    <w:nsid w:val="65968C1C"/>
    <w:multiLevelType w:val="hybridMultilevel"/>
    <w:lvl w:ilvl="0">
      <w:lvlJc w:val="left"/>
      <w:lvlText w:val="$"/>
      <w:numFmt w:val="bullet"/>
      <w:start w:val="1"/>
    </w:lvl>
  </w:abstractNum>
  <w:abstractNum w:abstractNumId="54">
    <w:nsid w:val="46263DEC"/>
    <w:multiLevelType w:val="hybridMultilevel"/>
    <w:lvl w:ilvl="0">
      <w:lvlJc w:val="left"/>
      <w:lvlText w:val="$"/>
      <w:numFmt w:val="bullet"/>
      <w:start w:val="1"/>
    </w:lvl>
  </w:abstractNum>
  <w:abstractNum w:abstractNumId="55">
    <w:nsid w:val="260D8C4A"/>
    <w:multiLevelType w:val="hybridMultilevel"/>
    <w:lvl w:ilvl="0">
      <w:lvlJc w:val="left"/>
      <w:lvlText w:val="(%1)"/>
      <w:numFmt w:val="decimal"/>
      <w:start w:val="1"/>
    </w:lvl>
  </w:abstractNum>
  <w:abstractNum w:abstractNumId="56">
    <w:nsid w:val="73D4D3C4"/>
    <w:multiLevelType w:val="hybridMultilevel"/>
    <w:lvl w:ilvl="0">
      <w:lvlJc w:val="left"/>
      <w:lvlText w:val="·"/>
      <w:numFmt w:val="bullet"/>
      <w:start w:val="1"/>
    </w:lvl>
  </w:abstractNum>
  <w:abstractNum w:abstractNumId="57">
    <w:nsid w:val="746F2E30"/>
    <w:multiLevelType w:val="hybridMultilevel"/>
    <w:lvl w:ilvl="0">
      <w:lvlJc w:val="left"/>
      <w:lvlText w:val="%1"/>
      <w:numFmt w:val="decimal"/>
      <w:start w:val="31"/>
    </w:lvl>
  </w:abstractNum>
  <w:abstractNum w:abstractNumId="58">
    <w:nsid w:val="6FDE8AF6"/>
    <w:multiLevelType w:val="hybridMultilevel"/>
    <w:lvl w:ilvl="0">
      <w:lvlJc w:val="left"/>
      <w:lvlText w:val="(%1)"/>
      <w:numFmt w:val="decimal"/>
      <w:start w:val="1"/>
    </w:lvl>
  </w:abstractNum>
  <w:abstractNum w:abstractNumId="59">
    <w:nsid w:val="3FC32E20"/>
    <w:multiLevelType w:val="hybridMultilevel"/>
    <w:lvl w:ilvl="0">
      <w:lvlJc w:val="left"/>
      <w:lvlText w:val="(%1)"/>
      <w:numFmt w:val="decimal"/>
      <w:start w:val="7"/>
    </w:lvl>
    <w:lvl w:ilvl="1">
      <w:lvlJc w:val="left"/>
      <w:lvlText w:val="(%2)"/>
      <w:numFmt w:val="decimal"/>
      <w:start w:val="12"/>
    </w:lvl>
  </w:abstractNum>
  <w:abstractNum w:abstractNumId="60">
    <w:nsid w:val="49C0E823"/>
    <w:multiLevelType w:val="hybridMultilevel"/>
    <w:lvl w:ilvl="0">
      <w:lvlJc w:val="left"/>
      <w:lvlText w:val="*"/>
      <w:numFmt w:val="bullet"/>
      <w:start w:val="1"/>
    </w:lvl>
    <w:lvl w:ilvl="1">
      <w:lvlJc w:val="left"/>
      <w:lvlText w:val="(%2)"/>
      <w:numFmt w:val="decimal"/>
      <w:start w:val="13"/>
    </w:lvl>
  </w:abstractNum>
  <w:abstractNum w:abstractNumId="61">
    <w:nsid w:val="14D53685"/>
    <w:multiLevelType w:val="hybridMultilevel"/>
    <w:lvl w:ilvl="0">
      <w:lvlJc w:val="left"/>
      <w:lvlText w:val="%1"/>
      <w:numFmt w:val="decimal"/>
      <w:start w:val="31"/>
    </w:lvl>
  </w:abstractNum>
  <w:abstractNum w:abstractNumId="62">
    <w:nsid w:val="230F856C"/>
    <w:multiLevelType w:val="hybridMultilevel"/>
    <w:lvl w:ilvl="0">
      <w:lvlJc w:val="left"/>
      <w:lvlText w:val="%1"/>
      <w:numFmt w:val="decimal"/>
      <w:start w:val="32"/>
    </w:lvl>
  </w:abstractNum>
  <w:abstractNum w:abstractNumId="63">
    <w:nsid w:val="6EAA85FB"/>
    <w:multiLevelType w:val="hybridMultilevel"/>
    <w:lvl w:ilvl="0">
      <w:lvlJc w:val="left"/>
      <w:lvlText w:val="(%1)"/>
      <w:numFmt w:val="decimal"/>
      <w:start w:val="1"/>
    </w:lvl>
  </w:abstractNum>
  <w:abstractNum w:abstractNumId="64">
    <w:nsid w:val="3F06ECB2"/>
    <w:multiLevelType w:val="hybridMultilevel"/>
    <w:lvl w:ilvl="0">
      <w:lvlJc w:val="left"/>
      <w:lvlText w:val="*"/>
      <w:numFmt w:val="bullet"/>
      <w:start w:val="1"/>
    </w:lvl>
    <w:lvl w:ilvl="1">
      <w:lvlJc w:val="left"/>
      <w:lvlText w:val="(%2)"/>
      <w:numFmt w:val="decimal"/>
      <w:start w:val="17"/>
    </w:lvl>
  </w:abstractNum>
  <w:abstractNum w:abstractNumId="65">
    <w:nsid w:val="3B594807"/>
    <w:multiLevelType w:val="hybridMultilevel"/>
    <w:lvl w:ilvl="0">
      <w:lvlJc w:val="left"/>
      <w:lvlText w:val="%1."/>
      <w:numFmt w:val="upperLetter"/>
      <w:start w:val="1"/>
    </w:lvl>
  </w:abstractNum>
  <w:abstractNum w:abstractNumId="66">
    <w:nsid w:val="6CAA2304"/>
    <w:multiLevelType w:val="hybridMultilevel"/>
    <w:lvl w:ilvl="0">
      <w:lvlJc w:val="left"/>
      <w:lvlText w:val="%1."/>
      <w:numFmt w:val="decimal"/>
      <w:start w:val="1"/>
    </w:lvl>
  </w:abstractNum>
  <w:abstractNum w:abstractNumId="67">
    <w:nsid w:val="3F7C2FF4"/>
    <w:multiLevelType w:val="hybridMultilevel"/>
    <w:lvl w:ilvl="0">
      <w:lvlJc w:val="left"/>
      <w:lvlText w:val="%1."/>
      <w:numFmt w:val="decimal"/>
      <w:start w:val="3"/>
    </w:lvl>
  </w:abstractNum>
  <w:abstractNum w:abstractNumId="68">
    <w:nsid w:val="25413BEC"/>
    <w:multiLevelType w:val="hybridMultilevel"/>
    <w:lvl w:ilvl="0">
      <w:lvlJc w:val="left"/>
      <w:lvlText w:val="%1."/>
      <w:numFmt w:val="decimal"/>
      <w:start w:val="5"/>
    </w:lvl>
  </w:abstractNum>
  <w:abstractNum w:abstractNumId="69">
    <w:nsid w:val="17180B0B"/>
    <w:multiLevelType w:val="hybridMultilevel"/>
    <w:lvl w:ilvl="0">
      <w:lvlJc w:val="left"/>
      <w:lvlText w:val="%1."/>
      <w:numFmt w:val="decimal"/>
      <w:start w:val="8"/>
    </w:lvl>
  </w:abstractNum>
  <w:abstractNum w:abstractNumId="70">
    <w:nsid w:val="579328B9"/>
    <w:multiLevelType w:val="hybridMultilevel"/>
    <w:lvl w:ilvl="0">
      <w:lvlJc w:val="left"/>
      <w:lvlText w:val="%1."/>
      <w:numFmt w:val="decimal"/>
      <w:start w:val="10"/>
    </w:lvl>
  </w:abstractNum>
  <w:abstractNum w:abstractNumId="71">
    <w:nsid w:val="5D205E20"/>
    <w:multiLevelType w:val="hybridMultilevel"/>
    <w:lvl w:ilvl="0">
      <w:lvlJc w:val="left"/>
      <w:lvlText w:val="%1."/>
      <w:numFmt w:val="decimal"/>
      <w:start w:val="11"/>
    </w:lvl>
  </w:abstractNum>
  <w:abstractNum w:abstractNumId="72">
    <w:nsid w:val="11CCA8BA"/>
    <w:multiLevelType w:val="hybridMultilevel"/>
    <w:lvl w:ilvl="0">
      <w:lvlJc w:val="left"/>
      <w:lvlText w:val="(%1)"/>
      <w:numFmt w:val="lowerLetter"/>
      <w:start w:val="1"/>
    </w:lvl>
  </w:abstractNum>
  <w:abstractNum w:abstractNumId="73">
    <w:nsid w:val="4D32AB86"/>
    <w:multiLevelType w:val="hybridMultilevel"/>
    <w:lvl w:ilvl="0">
      <w:lvlJc w:val="left"/>
      <w:lvlText w:val="%1"/>
      <w:numFmt w:val="decimal"/>
      <w:start w:val="1"/>
    </w:lvl>
    <w:lvl w:ilvl="1">
      <w:lvlJc w:val="left"/>
      <w:lvlText w:val="(%2)"/>
      <w:numFmt w:val="lowerLetter"/>
      <w:start w:val="4"/>
    </w:lvl>
  </w:abstractNum>
  <w:abstractNum w:abstractNumId="74">
    <w:nsid w:val="3F07ACC3"/>
    <w:multiLevelType w:val="hybridMultilevel"/>
    <w:lvl w:ilvl="0">
      <w:lvlJc w:val="left"/>
      <w:lvlText w:val="%1."/>
      <w:numFmt w:val="decimal"/>
      <w:start w:val="12"/>
    </w:lvl>
    <w:lvl w:ilvl="1">
      <w:lvlJc w:val="left"/>
      <w:lvlText w:val="%2"/>
      <w:numFmt w:val="lowerLetter"/>
      <w:start w:val="1"/>
    </w:lvl>
  </w:abstractNum>
  <w:abstractNum w:abstractNumId="75">
    <w:nsid w:val="6B47F63E"/>
    <w:multiLevelType w:val="hybridMultilevel"/>
    <w:lvl w:ilvl="0">
      <w:lvlJc w:val="left"/>
      <w:lvlText w:val="%1."/>
      <w:numFmt w:val="decimal"/>
      <w:start w:val="13"/>
    </w:lvl>
  </w:abstractNum>
  <w:abstractNum w:abstractNumId="76">
    <w:nsid w:val="5CB44A05"/>
    <w:multiLevelType w:val="hybridMultilevel"/>
    <w:lvl w:ilvl="0">
      <w:lvlJc w:val="left"/>
      <w:lvlText w:val="%1."/>
      <w:numFmt w:val="decimal"/>
      <w:start w:val="14"/>
    </w:lvl>
  </w:abstractNum>
  <w:abstractNum w:abstractNumId="77">
    <w:nsid w:val="16CF80F1"/>
    <w:multiLevelType w:val="hybridMultilevel"/>
    <w:lvl w:ilvl="0">
      <w:lvlJc w:val="left"/>
      <w:lvlText w:val="%1."/>
      <w:numFmt w:val="decimal"/>
      <w:start w:val="15"/>
    </w:lvl>
  </w:abstractNum>
  <w:abstractNum w:abstractNumId="78">
    <w:nsid w:val="1C695DEC"/>
    <w:multiLevelType w:val="hybridMultilevel"/>
    <w:lvl w:ilvl="0">
      <w:lvlJc w:val="left"/>
      <w:lvlText w:val="%1."/>
      <w:numFmt w:val="decimal"/>
      <w:start w:val="17"/>
    </w:lvl>
  </w:abstractNum>
  <w:abstractNum w:abstractNumId="79">
    <w:nsid w:val="3FCFAED9"/>
    <w:multiLevelType w:val="hybridMultilevel"/>
    <w:lvl w:ilvl="0">
      <w:lvlJc w:val="left"/>
      <w:lvlText w:val="%1."/>
      <w:numFmt w:val="decimal"/>
      <w:start w:val="18"/>
    </w:lvl>
  </w:abstractNum>
  <w:abstractNum w:abstractNumId="80">
    <w:nsid w:val="F856867"/>
    <w:multiLevelType w:val="hybridMultilevel"/>
    <w:lvl w:ilvl="0">
      <w:lvlJc w:val="left"/>
      <w:lvlText w:val="%1."/>
      <w:numFmt w:val="decimal"/>
      <w:start w:val="19"/>
    </w:lvl>
  </w:abstractNum>
  <w:abstractNum w:abstractNumId="81">
    <w:nsid w:val="11B1CC33"/>
    <w:multiLevelType w:val="hybridMultilevel"/>
    <w:lvl w:ilvl="0">
      <w:lvlJc w:val="left"/>
      <w:lvlText w:val="%1."/>
      <w:numFmt w:val="decimal"/>
      <w:start w:val="20"/>
    </w:lvl>
  </w:abstractNum>
  <w:abstractNum w:abstractNumId="82">
    <w:nsid w:val="2E22FBB7"/>
    <w:multiLevelType w:val="hybridMultilevel"/>
    <w:lvl w:ilvl="0">
      <w:lvlJc w:val="left"/>
      <w:lvlText w:val="%1."/>
      <w:numFmt w:val="decimal"/>
      <w:start w:val="21"/>
    </w:lvl>
  </w:abstractNum>
  <w:abstractNum w:abstractNumId="83">
    <w:nsid w:val="29934699"/>
    <w:multiLevelType w:val="hybridMultilevel"/>
    <w:lvl w:ilvl="0">
      <w:lvlJc w:val="left"/>
      <w:lvlText w:val="(%1)"/>
      <w:numFmt w:val="decimal"/>
      <w:start w:val="30"/>
    </w:lvl>
  </w:abstractNum>
  <w:abstractNum w:abstractNumId="84">
    <w:nsid w:val="77485850"/>
    <w:multiLevelType w:val="hybridMultilevel"/>
    <w:lvl w:ilvl="0">
      <w:lvlJc w:val="left"/>
      <w:lvlText w:val="%1."/>
      <w:numFmt w:val="decimal"/>
      <w:start w:val="22"/>
    </w:lvl>
  </w:abstractNum>
  <w:abstractNum w:abstractNumId="85">
    <w:nsid w:val="744939A3"/>
    <w:multiLevelType w:val="hybridMultilevel"/>
    <w:lvl w:ilvl="0">
      <w:lvlJc w:val="left"/>
      <w:lvlText w:val="%1."/>
      <w:numFmt w:val="decimal"/>
      <w:start w:val="23"/>
    </w:lvl>
  </w:abstractNum>
  <w:abstractNum w:abstractNumId="86">
    <w:nsid w:val="4FA0D2E3"/>
    <w:multiLevelType w:val="hybridMultilevel"/>
    <w:lvl w:ilvl="0">
      <w:lvlJc w:val="left"/>
      <w:lvlText w:val="%1."/>
      <w:numFmt w:val="decimal"/>
      <w:start w:val="24"/>
    </w:lvl>
  </w:abstractNum>
  <w:abstractNum w:abstractNumId="87">
    <w:nsid w:val="6B1D2C14"/>
    <w:multiLevelType w:val="hybridMultilevel"/>
    <w:lvl w:ilvl="0">
      <w:lvlJc w:val="left"/>
      <w:lvlText w:val="%1."/>
      <w:numFmt w:val="decimal"/>
      <w:start w:val="25"/>
    </w:lvl>
  </w:abstractNum>
  <w:abstractNum w:abstractNumId="88">
    <w:nsid w:val="68B867D3"/>
    <w:multiLevelType w:val="hybridMultilevel"/>
    <w:lvl w:ilvl="0">
      <w:lvlJc w:val="left"/>
      <w:lvlText w:val="%1."/>
      <w:numFmt w:val="decimal"/>
      <w:start w:val="26"/>
    </w:lvl>
  </w:abstractNum>
  <w:abstractNum w:abstractNumId="89">
    <w:nsid w:val="3F7F5DD9"/>
    <w:multiLevelType w:val="hybridMultilevel"/>
    <w:lvl w:ilvl="0">
      <w:lvlJc w:val="left"/>
      <w:lvlText w:val="%1."/>
      <w:numFmt w:val="decimal"/>
      <w:start w:val="27"/>
    </w:lvl>
  </w:abstractNum>
  <w:abstractNum w:abstractNumId="90">
    <w:nsid w:val="2AE05A34"/>
    <w:multiLevelType w:val="hybridMultilevel"/>
    <w:lvl w:ilvl="0">
      <w:lvlJc w:val="left"/>
      <w:lvlText w:val="%1."/>
      <w:numFmt w:val="decimal"/>
      <w:start w:val="28"/>
    </w:lvl>
  </w:abstractNum>
  <w:abstractNum w:abstractNumId="91">
    <w:nsid w:val="32794FF7"/>
    <w:multiLevelType w:val="hybridMultilevel"/>
    <w:lvl w:ilvl="0">
      <w:lvlJc w:val="left"/>
      <w:lvlText w:val="%1."/>
      <w:numFmt w:val="decimal"/>
      <w:start w:val="29"/>
    </w:lvl>
  </w:abstractNum>
  <w:abstractNum w:abstractNumId="92">
    <w:nsid w:val="5454945E"/>
    <w:multiLevelType w:val="hybridMultilevel"/>
    <w:lvl w:ilvl="0">
      <w:lvlJc w:val="left"/>
      <w:lvlText w:val="(%1)"/>
      <w:numFmt w:val="lowerLetter"/>
      <w:start w:val="1"/>
    </w:lvl>
  </w:abstractNum>
  <w:abstractNum w:abstractNumId="93">
    <w:nsid w:val="4DEFDFA0"/>
    <w:multiLevelType w:val="hybridMultilevel"/>
    <w:lvl w:ilvl="0">
      <w:lvlJc w:val="left"/>
      <w:lvlText w:val="(%1)"/>
      <w:numFmt w:val="lowerLetter"/>
      <w:start w:val="7"/>
    </w:lvl>
  </w:abstractNum>
  <w:abstractNum w:abstractNumId="94">
    <w:nsid w:val="2123D5F2"/>
    <w:multiLevelType w:val="hybridMultilevel"/>
    <w:lvl w:ilvl="0">
      <w:lvlJc w:val="left"/>
      <w:lvlText w:val="%1."/>
      <w:numFmt w:val="decimal"/>
      <w:start w:val="30"/>
    </w:lvl>
  </w:abstractNum>
  <w:abstractNum w:abstractNumId="95">
    <w:nsid w:val="135B8110"/>
    <w:multiLevelType w:val="hybridMultilevel"/>
    <w:lvl w:ilvl="0">
      <w:lvlJc w:val="left"/>
      <w:lvlText w:val="%1."/>
      <w:numFmt w:val="decimal"/>
      <w:start w:val="31"/>
    </w:lvl>
  </w:abstractNum>
  <w:abstractNum w:abstractNumId="96">
    <w:nsid w:val="94927A8"/>
    <w:multiLevelType w:val="hybridMultilevel"/>
    <w:lvl w:ilvl="0">
      <w:lvlJc w:val="left"/>
      <w:lvlText w:val="(%1)"/>
      <w:numFmt w:val="decimal"/>
      <w:start w:val="5"/>
    </w:lvl>
  </w:abstractNum>
  <w:abstractNum w:abstractNumId="97">
    <w:nsid w:val="DCDF8F6"/>
    <w:multiLevelType w:val="hybridMultilevel"/>
    <w:lvl w:ilvl="0">
      <w:lvlJc w:val="left"/>
      <w:lvlText w:val="(%1)"/>
      <w:numFmt w:val="lowerLetter"/>
      <w:start w:val="1"/>
    </w:lvl>
  </w:abstractNum>
  <w:abstractNum w:abstractNumId="98">
    <w:nsid w:val="52D7B10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9">
    <w:nsid w:val="2E8A6394"/>
    <w:multiLevelType w:val="hybridMultilevel"/>
    <w:lvl w:ilvl="0">
      <w:lvlJc w:val="left"/>
      <w:lvlText w:val="%1."/>
      <w:numFmt w:val="upperLetter"/>
      <w:start w:val="5"/>
    </w:lvl>
  </w:abstractNum>
  <w:abstractNum w:abstractNumId="100">
    <w:nsid w:val="24E60401"/>
    <w:multiLevelType w:val="hybridMultilevel"/>
    <w:lvl w:ilvl="0">
      <w:lvlJc w:val="left"/>
      <w:lvlText w:val="(%1)"/>
      <w:numFmt w:val="lowerLetter"/>
      <w:start w:val="1"/>
    </w:lvl>
  </w:abstractNum>
  <w:abstractNum w:abstractNumId="101">
    <w:nsid w:val="2A6AD9BE"/>
    <w:multiLevelType w:val="hybridMultilevel"/>
    <w:lvl w:ilvl="0">
      <w:lvlJc w:val="left"/>
      <w:lvlText w:val="(%1)"/>
      <w:numFmt w:val="lowerLetter"/>
      <w:start w:val="1"/>
    </w:lvl>
  </w:abstractNum>
  <w:abstractNum w:abstractNumId="102">
    <w:nsid w:val="BAAC1B4"/>
    <w:multiLevelType w:val="hybridMultilevel"/>
    <w:lvl w:ilvl="0">
      <w:lvlJc w:val="left"/>
      <w:lvlText w:val="(%1)"/>
      <w:numFmt w:val="lowerLetter"/>
      <w:start w:val="3"/>
    </w:lvl>
  </w:abstractNum>
  <w:abstractNum w:abstractNumId="103">
    <w:nsid w:val="36B2ACBC"/>
    <w:multiLevelType w:val="hybridMultilevel"/>
    <w:lvl w:ilvl="0">
      <w:lvlJc w:val="left"/>
      <w:lvlText w:val="%1."/>
      <w:numFmt w:val="decimal"/>
      <w:start w:val="32"/>
    </w:lvl>
  </w:abstractNum>
  <w:abstractNum w:abstractNumId="104">
    <w:nsid w:val="779D8544"/>
    <w:multiLevelType w:val="hybridMultilevel"/>
    <w:lvl w:ilvl="0">
      <w:lvlJc w:val="left"/>
      <w:lvlText w:val="%1."/>
      <w:numFmt w:val="decimal"/>
      <w:start w:val="33"/>
    </w:lvl>
  </w:abstractNum>
  <w:abstractNum w:abstractNumId="105">
    <w:nsid w:val="4AB26E78"/>
    <w:multiLevelType w:val="hybridMultilevel"/>
    <w:lvl w:ilvl="0">
      <w:lvlJc w:val="left"/>
      <w:lvlText w:val="%1."/>
      <w:numFmt w:val="decimal"/>
      <w:start w:val="34"/>
    </w:lvl>
  </w:abstractNum>
  <w:abstractNum w:abstractNumId="106">
    <w:nsid w:val="21FAA2FA"/>
    <w:multiLevelType w:val="hybridMultilevel"/>
    <w:lvl w:ilvl="0">
      <w:lvlJc w:val="left"/>
      <w:lvlText w:val="(%1)"/>
      <w:numFmt w:val="lowerLetter"/>
      <w:start w:val="1"/>
    </w:lvl>
  </w:abstractNum>
  <w:abstractNum w:abstractNumId="107">
    <w:nsid w:val="5451CF49"/>
    <w:multiLevelType w:val="hybridMultilevel"/>
    <w:lvl w:ilvl="0">
      <w:lvlJc w:val="left"/>
      <w:lvlText w:val="%1."/>
      <w:numFmt w:val="decimal"/>
      <w:start w:val="36"/>
    </w:lvl>
  </w:abstractNum>
  <w:abstractNum w:abstractNumId="108">
    <w:nsid w:val="6181EF69"/>
    <w:multiLevelType w:val="hybridMultilevel"/>
    <w:lvl w:ilvl="0">
      <w:lvlJc w:val="left"/>
      <w:lvlText w:val="%1."/>
      <w:numFmt w:val="decimal"/>
      <w:start w:val="37"/>
    </w:lvl>
  </w:abstractNum>
  <w:abstractNum w:abstractNumId="109">
    <w:nsid w:val="3E6400E6"/>
    <w:multiLevelType w:val="hybridMultilevel"/>
    <w:lvl w:ilvl="0">
      <w:lvlJc w:val="left"/>
      <w:lvlText w:val="%1."/>
      <w:numFmt w:val="decimal"/>
      <w:start w:val="38"/>
    </w:lvl>
  </w:abstractNum>
  <w:abstractNum w:abstractNumId="110">
    <w:nsid w:val="14217E23"/>
    <w:multiLevelType w:val="hybridMultilevel"/>
    <w:lvl w:ilvl="0">
      <w:lvlJc w:val="left"/>
      <w:lvlText w:val="%1."/>
      <w:numFmt w:val="decimal"/>
      <w:start w:val="41"/>
    </w:lvl>
  </w:abstractNum>
  <w:abstractNum w:abstractNumId="111">
    <w:nsid w:val="710757D0"/>
    <w:multiLevelType w:val="hybridMultilevel"/>
    <w:lvl w:ilvl="0">
      <w:lvlJc w:val="left"/>
      <w:lvlText w:val="%1."/>
      <w:numFmt w:val="decimal"/>
      <w:start w:val="42"/>
    </w:lvl>
  </w:abstractNum>
  <w:abstractNum w:abstractNumId="112">
    <w:nsid w:val="5015CD1A"/>
    <w:multiLevelType w:val="hybridMultilevel"/>
    <w:lvl w:ilvl="0">
      <w:lvlJc w:val="left"/>
      <w:lvlText w:val="(%1)"/>
      <w:numFmt w:val="lowerLetter"/>
      <w:start w:val="1"/>
    </w:lvl>
  </w:abstractNum>
  <w:abstractNum w:abstractNumId="113">
    <w:nsid w:val="424479DA"/>
    <w:multiLevelType w:val="hybridMultilevel"/>
    <w:lvl w:ilvl="0">
      <w:lvlJc w:val="left"/>
      <w:lvlText w:val="%1."/>
      <w:numFmt w:val="decimal"/>
      <w:start w:val="1"/>
    </w:lvl>
  </w:abstractNum>
  <w:abstractNum w:abstractNumId="114">
    <w:nsid w:val="1A9A9E69"/>
    <w:multiLevelType w:val="hybridMultilevel"/>
    <w:lvl w:ilvl="0">
      <w:lvlJc w:val="left"/>
      <w:lvlText w:val="(%1)"/>
      <w:numFmt w:val="lowerLetter"/>
      <w:start w:val="1"/>
    </w:lvl>
  </w:abstractNum>
  <w:abstractNum w:abstractNumId="115">
    <w:nsid w:val="475E256A"/>
    <w:multiLevelType w:val="hybridMultilevel"/>
    <w:lvl w:ilvl="0">
      <w:lvlJc w:val="left"/>
      <w:lvlText w:val="%1."/>
      <w:numFmt w:val="decimal"/>
      <w:start w:val="2"/>
    </w:lvl>
  </w:abstractNum>
  <w:abstractNum w:abstractNumId="116">
    <w:nsid w:val="368DB37E"/>
    <w:multiLevelType w:val="hybridMultilevel"/>
    <w:lvl w:ilvl="0">
      <w:lvlJc w:val="left"/>
      <w:lvlText w:val="(%1)"/>
      <w:numFmt w:val="lowerLetter"/>
      <w:start w:val="1"/>
    </w:lvl>
  </w:abstractNum>
  <w:abstractNum w:abstractNumId="117">
    <w:nsid w:val="6A3B714C"/>
    <w:multiLevelType w:val="hybridMultilevel"/>
    <w:lvl w:ilvl="0">
      <w:lvlJc w:val="left"/>
      <w:lvlText w:val="%1."/>
      <w:numFmt w:val="decimal"/>
      <w:start w:val="3"/>
    </w:lvl>
  </w:abstractNum>
  <w:abstractNum w:abstractNumId="118">
    <w:nsid w:val="327B517E"/>
    <w:multiLevelType w:val="hybridMultilevel"/>
    <w:lvl w:ilvl="0">
      <w:lvlJc w:val="left"/>
      <w:lvlText w:val="%1."/>
      <w:numFmt w:val="decimal"/>
      <w:start w:val="4"/>
    </w:lvl>
  </w:abstractNum>
  <w:abstractNum w:abstractNumId="119">
    <w:nsid w:val="1F461B51"/>
    <w:multiLevelType w:val="hybridMultilevel"/>
    <w:lvl w:ilvl="0">
      <w:lvlJc w:val="left"/>
      <w:lvlText w:val="%1."/>
      <w:numFmt w:val="decimal"/>
      <w:start w:val="5"/>
    </w:lvl>
  </w:abstractNum>
  <w:abstractNum w:abstractNumId="120">
    <w:nsid w:val="29BACF25"/>
    <w:multiLevelType w:val="hybridMultilevel"/>
    <w:lvl w:ilvl="0">
      <w:lvlJc w:val="left"/>
      <w:lvlText w:val="%1."/>
      <w:numFmt w:val="decimal"/>
      <w:start w:val="6"/>
    </w:lvl>
  </w:abstractNum>
  <w:abstractNum w:abstractNumId="121">
    <w:nsid w:val="5D5BABB3"/>
    <w:multiLevelType w:val="hybridMultilevel"/>
    <w:lvl w:ilvl="0">
      <w:lvlJc w:val="left"/>
      <w:lvlText w:val="%1."/>
      <w:numFmt w:val="decimal"/>
      <w:start w:val="7"/>
    </w:lvl>
  </w:abstractNum>
  <w:abstractNum w:abstractNumId="122">
    <w:nsid w:val="51BF6B48"/>
    <w:multiLevelType w:val="hybridMultilevel"/>
    <w:lvl w:ilvl="0">
      <w:lvlJc w:val="left"/>
      <w:lvlText w:val="%1."/>
      <w:numFmt w:val="decimal"/>
      <w:start w:val="1"/>
    </w:lvl>
  </w:abstractNum>
  <w:abstractNum w:abstractNumId="123">
    <w:nsid w:val="7E0F6384"/>
    <w:multiLevelType w:val="hybridMultilevel"/>
    <w:lvl w:ilvl="0">
      <w:lvlJc w:val="left"/>
      <w:lvlText w:val="(%1)"/>
      <w:numFmt w:val="decimal"/>
      <w:start w:val="1"/>
    </w:lvl>
    <w:lvl w:ilvl="1">
      <w:lvlJc w:val="left"/>
      <w:lvlText w:val="(%2)"/>
      <w:numFmt w:val="lowerLetter"/>
      <w:start w:val="1"/>
    </w:lvl>
  </w:abstractNum>
  <w:abstractNum w:abstractNumId="124">
    <w:nsid w:val="2B4B8B53"/>
    <w:multiLevelType w:val="hybridMultilevel"/>
    <w:lvl w:ilvl="0">
      <w:lvlJc w:val="left"/>
      <w:lvlText w:val="(%1)"/>
      <w:numFmt w:val="decimal"/>
      <w:start w:val="4"/>
    </w:lvl>
    <w:lvl w:ilvl="1">
      <w:lvlJc w:val="left"/>
      <w:lvlText w:val="(%2)"/>
      <w:numFmt w:val="lowerLetter"/>
      <w:start w:val="1"/>
    </w:lvl>
  </w:abstractNum>
  <w:abstractNum w:abstractNumId="125">
    <w:nsid w:val="72E3413A"/>
    <w:multiLevelType w:val="hybridMultilevel"/>
    <w:lvl w:ilvl="0">
      <w:lvlJc w:val="left"/>
      <w:lvlText w:val="%1."/>
      <w:numFmt w:val="decimal"/>
      <w:start w:val="1"/>
    </w:lvl>
  </w:abstractNum>
  <w:abstractNum w:abstractNumId="126">
    <w:nsid w:val="116AE494"/>
    <w:multiLevelType w:val="hybridMultilevel"/>
    <w:lvl w:ilvl="0">
      <w:lvlJc w:val="left"/>
      <w:lvlText w:val="(%1)"/>
      <w:numFmt w:val="decimal"/>
      <w:start w:val="1"/>
    </w:lvl>
    <w:lvl w:ilvl="1">
      <w:lvlJc w:val="left"/>
      <w:lvlText w:val="(%2)"/>
      <w:numFmt w:val="lowerLetter"/>
      <w:start w:val="1"/>
    </w:lvl>
  </w:abstractNum>
  <w:abstractNum w:abstractNumId="127">
    <w:nsid w:val="3494B2FB"/>
    <w:multiLevelType w:val="hybridMultilevel"/>
    <w:lvl w:ilvl="0">
      <w:lvlJc w:val="left"/>
      <w:lvlText w:val="%1."/>
      <w:numFmt w:val="decimal"/>
      <w:start w:val="1"/>
    </w:lvl>
  </w:abstractNum>
  <w:abstractNum w:abstractNumId="128">
    <w:nsid w:val="B13A31"/>
    <w:multiLevelType w:val="hybridMultilevel"/>
    <w:lvl w:ilvl="0">
      <w:lvlJc w:val="left"/>
      <w:lvlText w:val="%1."/>
      <w:numFmt w:val="decimal"/>
      <w:start w:val="1"/>
    </w:lvl>
  </w:abstractNum>
  <w:abstractNum w:abstractNumId="129">
    <w:nsid w:val="64429599"/>
    <w:multiLevelType w:val="hybridMultilevel"/>
    <w:lvl w:ilvl="0">
      <w:lvlJc w:val="left"/>
      <w:lvlText w:val="%1."/>
      <w:numFmt w:val="decimal"/>
      <w:start w:val="1"/>
    </w:lvl>
  </w:abstractNum>
  <w:abstractNum w:abstractNumId="130">
    <w:nsid w:val="631F1690"/>
    <w:multiLevelType w:val="hybridMultilevel"/>
    <w:lvl w:ilvl="0">
      <w:lvlJc w:val="left"/>
      <w:lvlText w:val="(%1)"/>
      <w:numFmt w:val="decimal"/>
      <w:start w:val="4"/>
    </w:lvl>
    <w:lvl w:ilvl="1">
      <w:lvlJc w:val="left"/>
      <w:lvlText w:val="(%2)"/>
      <w:numFmt w:val="lowerLetter"/>
      <w:start w:val="3"/>
    </w:lvl>
  </w:abstractNum>
  <w:abstractNum w:abstractNumId="131">
    <w:nsid w:val="25973E32"/>
    <w:multiLevelType w:val="hybridMultilevel"/>
    <w:lvl w:ilvl="0">
      <w:lvlJc w:val="left"/>
      <w:lvlText w:val="(%1)"/>
      <w:numFmt w:val="decimal"/>
      <w:start w:val="4"/>
    </w:lvl>
    <w:lvl w:ilvl="1">
      <w:lvlJc w:val="left"/>
      <w:lvlText w:val="(%2)"/>
      <w:numFmt w:val="lowerLetter"/>
      <w:start w:val="1"/>
    </w:lvl>
  </w:abstractNum>
  <w:abstractNum w:abstractNumId="132">
    <w:nsid w:val="EAD6F57"/>
    <w:multiLevelType w:val="hybridMultilevel"/>
    <w:lvl w:ilvl="0">
      <w:lvlJc w:val="left"/>
      <w:lvlText w:val="%1."/>
      <w:numFmt w:val="decimal"/>
      <w:start w:val="1"/>
    </w:lvl>
  </w:abstractNum>
  <w:abstractNum w:abstractNumId="133">
    <w:nsid w:val="6EC9D844"/>
    <w:multiLevelType w:val="hybridMultilevel"/>
    <w:lvl w:ilvl="0">
      <w:lvlJc w:val="left"/>
      <w:lvlText w:val="(%1)"/>
      <w:numFmt w:val="decimal"/>
      <w:start w:val="1"/>
    </w:lvl>
    <w:lvl w:ilvl="1">
      <w:lvlJc w:val="left"/>
      <w:lvlText w:val="(%2)"/>
      <w:numFmt w:val="lowerLetter"/>
      <w:start w:val="1"/>
    </w:lvl>
  </w:abstractNum>
  <w:abstractNum w:abstractNumId="134">
    <w:nsid w:val="5C49EAEE"/>
    <w:multiLevelType w:val="hybridMultilevel"/>
    <w:lvl w:ilvl="0">
      <w:lvlJc w:val="left"/>
      <w:lvlText w:val="%1."/>
      <w:numFmt w:val="decimal"/>
      <w:start w:val="1"/>
    </w:lvl>
  </w:abstractNum>
  <w:abstractNum w:abstractNumId="135">
    <w:nsid w:val="64AF49B"/>
    <w:multiLevelType w:val="hybridMultilevel"/>
    <w:lvl w:ilvl="0">
      <w:lvlJc w:val="left"/>
      <w:lvlText w:val="%1."/>
      <w:numFmt w:val="decimal"/>
      <w:start w:val="1"/>
    </w:lvl>
  </w:abstractNum>
  <w:abstractNum w:abstractNumId="136">
    <w:nsid w:val="397C46BC"/>
    <w:multiLevelType w:val="hybridMultilevel"/>
    <w:lvl w:ilvl="0">
      <w:lvlJc w:val="left"/>
      <w:lvlText w:val="%1."/>
      <w:numFmt w:val="decimal"/>
      <w:start w:val="1"/>
    </w:lvl>
  </w:abstractNum>
  <w:abstractNum w:abstractNumId="137">
    <w:nsid w:val="7E448DE9"/>
    <w:multiLevelType w:val="hybridMultilevel"/>
    <w:lvl w:ilvl="0">
      <w:lvlJc w:val="left"/>
      <w:lvlText w:val="%1."/>
      <w:numFmt w:val="decimal"/>
      <w:start w:val="9"/>
    </w:lvl>
  </w:abstractNum>
  <w:abstractNum w:abstractNumId="138">
    <w:nsid w:val="5A9CC3E5"/>
    <w:multiLevelType w:val="hybridMultilevel"/>
    <w:lvl w:ilvl="0">
      <w:lvlJc w:val="left"/>
      <w:lvlText w:val="%1."/>
      <w:numFmt w:val="decimal"/>
      <w:start w:val="1"/>
    </w:lvl>
  </w:abstractNum>
  <w:abstractNum w:abstractNumId="139">
    <w:nsid w:val="1AFE3625"/>
    <w:multiLevelType w:val="hybridMultilevel"/>
    <w:lvl w:ilvl="0">
      <w:lvlJc w:val="left"/>
      <w:lvlText w:val="%1."/>
      <w:numFmt w:val="decimal"/>
      <w:start w:val="8"/>
    </w:lvl>
  </w:abstractNum>
  <w:abstractNum w:abstractNumId="140">
    <w:nsid w:val="3CA88ECF"/>
    <w:multiLevelType w:val="hybridMultilevel"/>
    <w:lvl w:ilvl="0">
      <w:lvlJc w:val="left"/>
      <w:lvlText w:val="%1."/>
      <w:numFmt w:val="decimal"/>
      <w:start w:val="1"/>
    </w:lvl>
  </w:abstractNum>
  <w:abstractNum w:abstractNumId="141">
    <w:nsid w:val="6EBE4208"/>
    <w:multiLevelType w:val="hybridMultilevel"/>
    <w:lvl w:ilvl="0">
      <w:lvlJc w:val="left"/>
      <w:lvlText w:val="%1."/>
      <w:numFmt w:val="decimal"/>
      <w:start w:val="8"/>
    </w:lvl>
  </w:abstractNum>
  <w:abstractNum w:abstractNumId="142">
    <w:nsid w:val="C058DF5"/>
    <w:multiLevelType w:val="hybridMultilevel"/>
    <w:lvl w:ilvl="0">
      <w:lvlJc w:val="left"/>
      <w:lvlText w:val="(%1)"/>
      <w:numFmt w:val="lowerLetter"/>
      <w:start w:val="1"/>
    </w:lvl>
  </w:abstractNum>
  <w:abstractNum w:abstractNumId="143">
    <w:nsid w:val="CBE5BE9"/>
    <w:multiLevelType w:val="hybridMultilevel"/>
    <w:lvl w:ilvl="0">
      <w:lvlJc w:val="left"/>
      <w:lvlText w:val="(%1)"/>
      <w:numFmt w:val="lowerLetter"/>
      <w:start w:val="1"/>
    </w:lvl>
  </w:abstractNum>
  <w:abstractNum w:abstractNumId="144">
    <w:nsid w:val="3102BBE2"/>
    <w:multiLevelType w:val="hybridMultilevel"/>
    <w:lvl w:ilvl="0">
      <w:lvlJc w:val="left"/>
      <w:lvlText w:val="(%1)"/>
      <w:numFmt w:val="lowerLetter"/>
      <w:start w:val="4"/>
    </w:lvl>
  </w:abstractNum>
  <w:abstractNum w:abstractNumId="145">
    <w:nsid w:val="26A02C5E"/>
    <w:multiLevelType w:val="hybridMultilevel"/>
    <w:lvl w:ilvl="0">
      <w:lvlJc w:val="left"/>
      <w:lvlText w:val="(%1)"/>
      <w:numFmt w:val="lowerLetter"/>
      <w:start w:val="1"/>
    </w:lvl>
  </w:abstractNum>
  <w:abstractNum w:abstractNumId="146">
    <w:nsid w:val="541C8153"/>
    <w:multiLevelType w:val="hybridMultilevel"/>
    <w:lvl w:ilvl="0">
      <w:lvlJc w:val="left"/>
      <w:lvlText w:val="(%1)"/>
      <w:numFmt w:val="lowerLetter"/>
      <w:start w:val="1"/>
    </w:lvl>
  </w:abstractNum>
  <w:abstractNum w:abstractNumId="147">
    <w:nsid w:val="67906F60"/>
    <w:multiLevelType w:val="hybridMultilevel"/>
    <w:lvl w:ilvl="0">
      <w:lvlJc w:val="left"/>
      <w:lvlText w:val="(%1)"/>
      <w:numFmt w:val="lowerLetter"/>
      <w:start w:val="1"/>
    </w:lvl>
  </w:abstractNum>
  <w:abstractNum w:abstractNumId="148">
    <w:nsid w:val="10DB9DAA"/>
    <w:multiLevelType w:val="hybridMultilevel"/>
    <w:lvl w:ilvl="0">
      <w:lvlJc w:val="left"/>
      <w:lvlText w:val="%1."/>
      <w:numFmt w:val="upperLetter"/>
      <w:start w:val="9"/>
    </w:lvl>
  </w:abstractNum>
  <w:abstractNum w:abstractNumId="149">
    <w:nsid w:val="697D2D2"/>
    <w:multiLevelType w:val="hybridMultilevel"/>
    <w:lvl w:ilvl="0">
      <w:lvlJc w:val="left"/>
      <w:lvlText w:val="%1."/>
      <w:numFmt w:val="upperLetter"/>
      <w:start w:val="35"/>
    </w:lvl>
  </w:abstractNum>
  <w:abstractNum w:abstractNumId="150">
    <w:nsid w:val="6D68AB2"/>
    <w:multiLevelType w:val="hybridMultilevel"/>
    <w:lvl w:ilvl="0">
      <w:lvlJc w:val="left"/>
      <w:lvlText w:val="%1."/>
      <w:numFmt w:val="decimal"/>
      <w:start w:val="1"/>
    </w:lvl>
  </w:abstractNum>
  <w:abstractNum w:abstractNumId="151">
    <w:nsid w:val="3A966CD0"/>
    <w:multiLevelType w:val="hybridMultilevel"/>
    <w:lvl w:ilvl="0">
      <w:lvlJc w:val="left"/>
      <w:lvlText w:val="%1."/>
      <w:numFmt w:val="decimal"/>
      <w:start w:val="2"/>
    </w:lvl>
  </w:abstractNum>
  <w:abstractNum w:abstractNumId="152">
    <w:nsid w:val="63F37E85"/>
    <w:multiLevelType w:val="hybridMultilevel"/>
    <w:lvl w:ilvl="0">
      <w:lvlJc w:val="left"/>
      <w:lvlText w:val="(%1)"/>
      <w:numFmt w:val="lowerLetter"/>
      <w:start w:val="1"/>
    </w:lvl>
  </w:abstractNum>
  <w:abstractNum w:abstractNumId="153">
    <w:nsid w:val="5895F5FA"/>
    <w:multiLevelType w:val="hybridMultilevel"/>
    <w:lvl w:ilvl="0">
      <w:lvlJc w:val="left"/>
      <w:lvlText w:val="%1."/>
      <w:numFmt w:val="decimal"/>
      <w:start w:val="3"/>
    </w:lvl>
  </w:abstractNum>
  <w:abstractNum w:abstractNumId="154">
    <w:nsid w:val="38A5D054"/>
    <w:multiLevelType w:val="hybridMultilevel"/>
    <w:lvl w:ilvl="0">
      <w:lvlJc w:val="left"/>
      <w:lvlText w:val="(%1)"/>
      <w:numFmt w:val="lowerLetter"/>
      <w:start w:val="1"/>
    </w:lvl>
  </w:abstractNum>
  <w:abstractNum w:abstractNumId="155">
    <w:nsid w:val="F3F09D8"/>
    <w:multiLevelType w:val="hybridMultilevel"/>
    <w:lvl w:ilvl="0">
      <w:lvlJc w:val="left"/>
      <w:lvlText w:val="(%1)"/>
      <w:numFmt w:val="lowerLetter"/>
      <w:start w:val="2"/>
    </w:lvl>
  </w:abstractNum>
  <w:abstractNum w:abstractNumId="156">
    <w:nsid w:val="4B793735"/>
    <w:multiLevelType w:val="hybridMultilevel"/>
    <w:lvl w:ilvl="0">
      <w:lvlJc w:val="left"/>
      <w:lvlText w:val="%1."/>
      <w:numFmt w:val="decimal"/>
      <w:start w:val="4"/>
    </w:lvl>
  </w:abstractNum>
  <w:abstractNum w:abstractNumId="157">
    <w:nsid w:val="4A10B4E8"/>
    <w:multiLevelType w:val="hybridMultilevel"/>
    <w:lvl w:ilvl="0">
      <w:lvlJc w:val="left"/>
      <w:lvlText w:val="(%1)"/>
      <w:numFmt w:val="lowerLetter"/>
      <w:start w:val="1"/>
    </w:lvl>
  </w:abstractNum>
  <w:abstractNum w:abstractNumId="158">
    <w:nsid w:val="43D3BCD4"/>
    <w:multiLevelType w:val="hybridMultilevel"/>
    <w:lvl w:ilvl="0">
      <w:lvlJc w:val="left"/>
      <w:lvlText w:val="(%1)"/>
      <w:numFmt w:val="lowerRoman"/>
      <w:start w:val="1"/>
    </w:lvl>
  </w:abstractNum>
  <w:abstractNum w:abstractNumId="159">
    <w:nsid w:val="4C2A7166"/>
    <w:multiLevelType w:val="hybridMultilevel"/>
    <w:lvl w:ilvl="0">
      <w:lvlJc w:val="left"/>
      <w:lvlText w:val="(%1)"/>
      <w:numFmt w:val="lowerLetter"/>
      <w:start w:val="2"/>
    </w:lvl>
  </w:abstractNum>
  <w:abstractNum w:abstractNumId="160">
    <w:nsid w:val="2E534A82"/>
    <w:multiLevelType w:val="hybridMultilevel"/>
    <w:lvl w:ilvl="0">
      <w:lvlJc w:val="left"/>
      <w:lvlText w:val="(%1)"/>
      <w:numFmt w:val="lowerRoman"/>
      <w:start w:val="1"/>
    </w:lvl>
  </w:abstractNum>
  <w:abstractNum w:abstractNumId="161">
    <w:nsid w:val="26F2D364"/>
    <w:multiLevelType w:val="hybridMultilevel"/>
    <w:lvl w:ilvl="0">
      <w:lvlJc w:val="left"/>
      <w:lvlText w:val="(%1)"/>
      <w:numFmt w:val="lowerLetter"/>
      <w:start w:val="3"/>
    </w:lvl>
  </w:abstractNum>
  <w:abstractNum w:abstractNumId="162">
    <w:nsid w:val="71C1AF98"/>
    <w:multiLevelType w:val="hybridMultilevel"/>
    <w:lvl w:ilvl="0">
      <w:lvlJc w:val="left"/>
      <w:lvlText w:val="(%1)"/>
      <w:numFmt w:val="lowerLetter"/>
      <w:start w:val="24"/>
    </w:lvl>
  </w:abstractNum>
  <w:abstractNum w:abstractNumId="163">
    <w:nsid w:val="3D00B9D9"/>
    <w:multiLevelType w:val="hybridMultilevel"/>
    <w:lvl w:ilvl="0">
      <w:lvlJc w:val="left"/>
      <w:lvlText w:val="(%1)"/>
      <w:numFmt w:val="lowerRoman"/>
      <w:start w:val="1"/>
    </w:lvl>
  </w:abstractNum>
  <w:abstractNum w:abstractNumId="164">
    <w:nsid w:val="15BCABA8"/>
    <w:multiLevelType w:val="hybridMultilevel"/>
    <w:lvl w:ilvl="0">
      <w:lvlJc w:val="left"/>
      <w:lvlText w:val="(%1)"/>
      <w:numFmt w:val="lowerLetter"/>
      <w:start w:val="5"/>
    </w:lvl>
  </w:abstractNum>
  <w:abstractNum w:abstractNumId="165">
    <w:nsid w:val="4E0B9A87"/>
    <w:multiLevelType w:val="hybridMultilevel"/>
    <w:lvl w:ilvl="0">
      <w:lvlJc w:val="left"/>
      <w:lvlText w:val="(%1)"/>
      <w:numFmt w:val="lowerRoman"/>
      <w:start w:val="1"/>
    </w:lvl>
  </w:abstractNum>
  <w:abstractNum w:abstractNumId="166">
    <w:nsid w:val="434BAE75"/>
    <w:multiLevelType w:val="hybridMultilevel"/>
    <w:lvl w:ilvl="0">
      <w:lvlJc w:val="left"/>
      <w:lvlText w:val="(%1)"/>
      <w:numFmt w:val="lowerLetter"/>
      <w:start w:val="8"/>
    </w:lvl>
  </w:abstractNum>
  <w:abstractNum w:abstractNumId="167">
    <w:nsid w:val="4F38F265"/>
    <w:multiLevelType w:val="hybridMultilevel"/>
    <w:lvl w:ilvl="0">
      <w:lvlJc w:val="left"/>
      <w:lvlText w:val="(%1)"/>
      <w:numFmt w:val="lowerRoman"/>
      <w:start w:val="2"/>
    </w:lvl>
  </w:abstractNum>
  <w:abstractNum w:abstractNumId="168">
    <w:nsid w:val="4C502870"/>
    <w:multiLevelType w:val="hybridMultilevel"/>
    <w:lvl w:ilvl="0">
      <w:lvlJc w:val="left"/>
      <w:lvlText w:val="(%1)"/>
      <w:numFmt w:val="lowerLetter"/>
      <w:start w:val="9"/>
    </w:lvl>
  </w:abstractNum>
  <w:abstractNum w:abstractNumId="169">
    <w:nsid w:val="1DE8725A"/>
    <w:multiLevelType w:val="hybridMultilevel"/>
    <w:lvl w:ilvl="0">
      <w:lvlJc w:val="left"/>
      <w:lvlText w:val="%1."/>
      <w:numFmt w:val="decimal"/>
      <w:start w:val="5"/>
    </w:lvl>
  </w:abstractNum>
  <w:abstractNum w:abstractNumId="170">
    <w:nsid w:val="6A37288A"/>
    <w:multiLevelType w:val="hybridMultilevel"/>
    <w:lvl w:ilvl="0">
      <w:lvlJc w:val="left"/>
      <w:lvlText w:val="(%1)"/>
      <w:numFmt w:val="lowerLetter"/>
      <w:start w:val="1"/>
    </w:lvl>
  </w:abstractNum>
  <w:abstractNum w:abstractNumId="171">
    <w:nsid w:val="8F8B73F"/>
    <w:multiLevelType w:val="hybridMultilevel"/>
    <w:lvl w:ilvl="0">
      <w:lvlJc w:val="left"/>
      <w:lvlText w:val="%1."/>
      <w:numFmt w:val="decimal"/>
      <w:start w:val="6"/>
    </w:lvl>
  </w:abstractNum>
  <w:abstractNum w:abstractNumId="172">
    <w:nsid w:val="CA6B462"/>
    <w:multiLevelType w:val="hybridMultilevel"/>
    <w:lvl w:ilvl="0">
      <w:lvlJc w:val="left"/>
      <w:lvlText w:val="%1."/>
      <w:numFmt w:val="upperLetter"/>
      <w:start w:val="61"/>
    </w:lvl>
  </w:abstractNum>
  <w:abstractNum w:abstractNumId="173">
    <w:nsid w:val="763CB680"/>
    <w:multiLevelType w:val="hybridMultilevel"/>
    <w:lvl w:ilvl="0">
      <w:lvlJc w:val="left"/>
      <w:lvlText w:val="%1."/>
      <w:numFmt w:val="decimal"/>
      <w:start w:val="1"/>
    </w:lvl>
    <w:lvl w:ilvl="1">
      <w:lvlJc w:val="left"/>
      <w:lvlText w:val="(%2)"/>
      <w:numFmt w:val="lowerLetter"/>
      <w:start w:val="1"/>
    </w:lvl>
  </w:abstractNum>
  <w:abstractNum w:abstractNumId="174">
    <w:nsid w:val="15B71329"/>
    <w:multiLevelType w:val="hybridMultilevel"/>
    <w:lvl w:ilvl="0">
      <w:lvlJc w:val="left"/>
      <w:lvlText w:val="(%1)"/>
      <w:numFmt w:val="lowerLetter"/>
      <w:start w:val="2"/>
    </w:lvl>
  </w:abstractNum>
  <w:abstractNum w:abstractNumId="175">
    <w:nsid w:val="3DA97044"/>
    <w:multiLevelType w:val="hybridMultilevel"/>
    <w:lvl w:ilvl="0">
      <w:lvlJc w:val="left"/>
      <w:lvlText w:val="%1"/>
      <w:numFmt w:val="decimal"/>
      <w:start w:val="1"/>
    </w:lvl>
    <w:lvl w:ilvl="1">
      <w:lvlJc w:val="left"/>
      <w:lvlText w:val="(%2)"/>
      <w:numFmt w:val="lowerLetter"/>
      <w:start w:val="4"/>
    </w:lvl>
  </w:abstractNum>
  <w:abstractNum w:abstractNumId="176">
    <w:nsid w:val="1CDCE2DE"/>
    <w:multiLevelType w:val="hybridMultilevel"/>
    <w:lvl w:ilvl="0">
      <w:lvlJc w:val="left"/>
      <w:lvlText w:val="%1."/>
      <w:numFmt w:val="decimal"/>
      <w:start w:val="3"/>
    </w:lvl>
    <w:lvl w:ilvl="1">
      <w:lvlJc w:val="left"/>
      <w:lvlText w:val="(%2)"/>
      <w:numFmt w:val="lowerLetter"/>
      <w:start w:val="1"/>
    </w:lvl>
  </w:abstractNum>
  <w:abstractNum w:abstractNumId="177">
    <w:nsid w:val="69D3947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1"/>
    </w:lvl>
    <w:lvl w:ilvl="4">
      <w:lvlJc w:val="left"/>
      <w:lvlText w:val="%5"/>
      <w:numFmt w:val="lowerLetter"/>
      <w:start w:val="1"/>
    </w:lvl>
  </w:abstractNum>
  <w:abstractNum w:abstractNumId="178">
    <w:nsid w:val="2539DFA5"/>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3"/>
    </w:lvl>
    <w:lvl w:ilvl="3">
      <w:lvlJc w:val="left"/>
      <w:lvlText w:val="(%4)"/>
      <w:numFmt w:val="lowerLetter"/>
      <w:start w:val="8"/>
    </w:lvl>
    <w:lvl w:ilvl="4">
      <w:lvlJc w:val="left"/>
      <w:lvlText w:val="(%5)"/>
      <w:numFmt w:val="lowerLetter"/>
      <w:start w:val="1"/>
    </w:lvl>
  </w:abstractNum>
  <w:abstractNum w:abstractNumId="179">
    <w:nsid w:val="2DB88089"/>
    <w:multiLevelType w:val="hybridMultilevel"/>
    <w:lvl w:ilvl="0">
      <w:lvlJc w:val="left"/>
      <w:lvlText w:val="(%1)"/>
      <w:numFmt w:val="lowerRoman"/>
      <w:start w:val="2"/>
    </w:lvl>
  </w:abstractNum>
  <w:abstractNum w:abstractNumId="180">
    <w:nsid w:val="706B674E"/>
    <w:multiLevelType w:val="hybridMultilevel"/>
    <w:lvl w:ilvl="0">
      <w:lvlJc w:val="left"/>
      <w:lvlText w:val="%1"/>
      <w:numFmt w:val="lowerLetter"/>
      <w:start w:val="1"/>
    </w:lvl>
    <w:lvl w:ilvl="1">
      <w:lvlJc w:val="left"/>
      <w:lvlText w:val="(%2)"/>
      <w:numFmt w:val="lowerLetter"/>
      <w:start w:val="3"/>
    </w:lvl>
  </w:abstractNum>
  <w:abstractNum w:abstractNumId="181">
    <w:nsid w:val="2C106A57"/>
    <w:multiLevelType w:val="hybridMultilevel"/>
    <w:lvl w:ilvl="0">
      <w:lvlJc w:val="left"/>
      <w:lvlText w:val="(%1)"/>
      <w:numFmt w:val="lowerLetter"/>
      <w:start w:val="9"/>
    </w:lvl>
    <w:lvl w:ilvl="1">
      <w:lvlJc w:val="left"/>
      <w:lvlText w:val="%2"/>
      <w:numFmt w:val="lowerLetter"/>
      <w:start w:val="1"/>
    </w:lvl>
  </w:abstractNum>
  <w:abstractNum w:abstractNumId="182">
    <w:nsid w:val="684EED59"/>
    <w:multiLevelType w:val="hybridMultilevel"/>
    <w:lvl w:ilvl="0">
      <w:lvlJc w:val="left"/>
      <w:lvlText w:val="%1"/>
      <w:numFmt w:val="decimal"/>
      <w:start w:val="1"/>
    </w:lvl>
    <w:lvl w:ilvl="1">
      <w:lvlJc w:val="left"/>
      <w:lvlText w:val="(%2)"/>
      <w:numFmt w:val="lowerRoman"/>
      <w:start w:val="2"/>
    </w:lvl>
  </w:abstractNum>
  <w:abstractNum w:abstractNumId="183">
    <w:nsid w:val="545EE5D3"/>
    <w:multiLevelType w:val="hybridMultilevel"/>
    <w:lvl w:ilvl="0">
      <w:lvlJc w:val="left"/>
      <w:lvlText w:val="%1."/>
      <w:numFmt w:val="decimal"/>
      <w:start w:val="5"/>
    </w:lvl>
    <w:lvl w:ilvl="1">
      <w:lvlJc w:val="left"/>
      <w:lvlText w:val="%2"/>
      <w:numFmt w:val="lowerRoman"/>
      <w:start w:val="1"/>
    </w:lvl>
  </w:abstractNum>
  <w:abstractNum w:abstractNumId="184">
    <w:nsid w:val="4A66051"/>
    <w:multiLevelType w:val="hybridMultilevel"/>
    <w:lvl w:ilvl="0">
      <w:lvlJc w:val="left"/>
      <w:lvlText w:val="%1."/>
      <w:numFmt w:val="decimal"/>
      <w:start w:val="6"/>
    </w:lvl>
  </w:abstractNum>
  <w:abstractNum w:abstractNumId="185">
    <w:nsid w:val="20F4BDAD"/>
    <w:multiLevelType w:val="hybridMultilevel"/>
    <w:lvl w:ilvl="0">
      <w:lvlJc w:val="left"/>
      <w:lvlText w:val="%1."/>
      <w:numFmt w:val="decimal"/>
      <w:start w:val="10"/>
    </w:lvl>
  </w:abstractNum>
  <w:abstractNum w:abstractNumId="186">
    <w:nsid w:val="639DEFAC"/>
    <w:multiLevelType w:val="hybridMultilevel"/>
    <w:lvl w:ilvl="0">
      <w:lvlJc w:val="left"/>
      <w:lvlText w:val="%1."/>
      <w:numFmt w:val="decimal"/>
      <w:start w:val="14"/>
    </w:lvl>
  </w:abstractNum>
  <w:abstractNum w:abstractNumId="187">
    <w:nsid w:val="501F9786"/>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188">
    <w:nsid w:val="6B057295"/>
    <w:multiLevelType w:val="hybridMultilevel"/>
    <w:lvl w:ilvl="0">
      <w:lvlJc w:val="left"/>
      <w:lvlText w:val="%1."/>
      <w:numFmt w:val="decimal"/>
      <w:start w:val="12"/>
    </w:lvl>
    <w:lvl w:ilvl="1">
      <w:lvlJc w:val="left"/>
      <w:lvlText w:val="%2"/>
      <w:numFmt w:val="decimal"/>
      <w:start w:val="1"/>
    </w:lvl>
    <w:lvl w:ilvl="2">
      <w:lvlJc w:val="left"/>
      <w:lvlText w:val="(%3)"/>
      <w:numFmt w:val="lowerLetter"/>
      <w:start w:val="5"/>
    </w:lvl>
  </w:abstractNum>
  <w:abstractNum w:abstractNumId="189">
    <w:nsid w:val="2771AC80"/>
    <w:multiLevelType w:val="hybridMultilevel"/>
    <w:lvl w:ilvl="0">
      <w:lvlJc w:val="left"/>
      <w:lvlText w:val="(%1)"/>
      <w:numFmt w:val="lowerLetter"/>
      <w:start w:val="7"/>
    </w:lvl>
  </w:abstractNum>
  <w:abstractNum w:abstractNumId="190">
    <w:nsid w:val="1C4A08EC"/>
    <w:multiLevelType w:val="hybridMultilevel"/>
    <w:lvl w:ilvl="0">
      <w:lvlJc w:val="left"/>
      <w:lvlText w:val="%1."/>
      <w:numFmt w:val="decimal"/>
      <w:start w:val="1"/>
    </w:lvl>
    <w:lvl w:ilvl="1">
      <w:lvlJc w:val="left"/>
      <w:lvlText w:val="(%2)"/>
      <w:numFmt w:val="lowerLetter"/>
      <w:start w:val="1"/>
    </w:lvl>
  </w:abstractNum>
  <w:abstractNum w:abstractNumId="191">
    <w:nsid w:val="1958BD17"/>
    <w:multiLevelType w:val="hybridMultilevel"/>
    <w:lvl w:ilvl="0">
      <w:lvlJc w:val="left"/>
      <w:lvlText w:val="(%1)"/>
      <w:numFmt w:val="lowerLetter"/>
      <w:start w:val="2"/>
    </w:lvl>
  </w:abstractNum>
  <w:abstractNum w:abstractNumId="192">
    <w:nsid w:val="4E647FE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93">
    <w:nsid w:val="E0BB885"/>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94">
    <w:nsid w:val="565976F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5">
    <w:nsid w:val="64212B8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196">
    <w:nsid w:val="5C17530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197">
    <w:nsid w:val="19A52566"/>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98">
    <w:nsid w:val="335A1DF1"/>
    <w:multiLevelType w:val="hybridMultilevel"/>
    <w:lvl w:ilvl="0">
      <w:lvlJc w:val="left"/>
      <w:lvlText w:val="%1"/>
      <w:numFmt w:val="lowerLetter"/>
      <w:start w:val="1"/>
    </w:lvl>
    <w:lvl w:ilvl="1">
      <w:lvlJc w:val="left"/>
      <w:lvlText w:val="(%2)"/>
      <w:numFmt w:val="lowerRoman"/>
      <w:start w:val="3"/>
    </w:lvl>
  </w:abstractNum>
  <w:abstractNum w:abstractNumId="199">
    <w:nsid w:val="28677B7C"/>
    <w:multiLevelType w:val="hybridMultilevel"/>
    <w:lvl w:ilvl="0">
      <w:lvlJc w:val="left"/>
      <w:lvlText w:val="(%1)"/>
      <w:numFmt w:val="lowerLetter"/>
      <w:start w:val="3"/>
    </w:lvl>
    <w:lvl w:ilvl="1">
      <w:lvlJc w:val="left"/>
      <w:lvlText w:val="(%2)"/>
      <w:numFmt w:val="lowerRoman"/>
      <w:start w:val="1"/>
    </w:lvl>
  </w:abstractNum>
  <w:abstractNum w:abstractNumId="200">
    <w:nsid w:val="378D97C0"/>
    <w:multiLevelType w:val="hybridMultilevel"/>
    <w:lvl w:ilvl="0">
      <w:lvlJc w:val="left"/>
      <w:lvlText w:val="%1"/>
      <w:numFmt w:val="decimal"/>
      <w:start w:val="1"/>
    </w:lvl>
    <w:lvl w:ilvl="1">
      <w:lvlJc w:val="left"/>
      <w:lvlText w:val="(%2)"/>
      <w:numFmt w:val="lowerRoman"/>
      <w:start w:val="2"/>
    </w:lvl>
  </w:abstractNum>
  <w:abstractNum w:abstractNumId="201">
    <w:nsid w:val="1D91467C"/>
    <w:multiLevelType w:val="hybridMultilevel"/>
    <w:lvl w:ilvl="0">
      <w:lvlJc w:val="left"/>
      <w:lvlText w:val="%1."/>
      <w:numFmt w:val="decimal"/>
      <w:start w:val="5"/>
    </w:lvl>
    <w:lvl w:ilvl="1">
      <w:lvlJc w:val="left"/>
      <w:lvlText w:val="%2"/>
      <w:numFmt w:val="lowerRoman"/>
      <w:start w:val="1"/>
    </w:lvl>
  </w:abstractNum>
  <w:abstractNum w:abstractNumId="202">
    <w:nsid w:val="316032BB"/>
    <w:multiLevelType w:val="hybridMultilevel"/>
    <w:lvl w:ilvl="0">
      <w:lvlJc w:val="left"/>
      <w:lvlText w:val="%1."/>
      <w:numFmt w:val="decimal"/>
      <w:start w:val="7"/>
    </w:lvl>
  </w:abstractNum>
  <w:abstractNum w:abstractNumId="203">
    <w:nsid w:val="44344C22"/>
    <w:multiLevelType w:val="hybridMultilevel"/>
    <w:lvl w:ilvl="0">
      <w:lvlJc w:val="left"/>
      <w:lvlText w:val="%1."/>
      <w:numFmt w:val="decimal"/>
      <w:start w:val="11"/>
    </w:lvl>
  </w:abstractNum>
  <w:abstractNum w:abstractNumId="204">
    <w:nsid w:val="13CDFCFC"/>
    <w:multiLevelType w:val="hybridMultilevel"/>
    <w:lvl w:ilvl="0">
      <w:lvlJc w:val="left"/>
      <w:lvlText w:val="%1."/>
      <w:numFmt w:val="decimal"/>
      <w:start w:val="16"/>
    </w:lvl>
    <w:lvl w:ilvl="1">
      <w:lvlJc w:val="left"/>
      <w:lvlText w:val="(%2)"/>
      <w:numFmt w:val="lowerLetter"/>
      <w:start w:val="1"/>
    </w:lvl>
  </w:abstractNum>
  <w:abstractNum w:abstractNumId="205">
    <w:nsid w:val="471745E4"/>
    <w:multiLevelType w:val="hybridMultilevel"/>
    <w:lvl w:ilvl="0">
      <w:lvlJc w:val="left"/>
      <w:lvlText w:val="%1"/>
      <w:numFmt w:val="decimal"/>
      <w:start w:val="1"/>
    </w:lvl>
    <w:lvl w:ilvl="1">
      <w:lvlJc w:val="left"/>
      <w:lvlText w:val="(%2)"/>
      <w:numFmt w:val="lowerLetter"/>
      <w:start w:val="2"/>
    </w:lvl>
  </w:abstractNum>
  <w:abstractNum w:abstractNumId="206">
    <w:nsid w:val="1DDBC66"/>
    <w:multiLevelType w:val="hybridMultilevel"/>
    <w:lvl w:ilvl="0">
      <w:lvlJc w:val="left"/>
      <w:lvlText w:val="%1."/>
      <w:numFmt w:val="decimal"/>
      <w:start w:val="12"/>
    </w:lvl>
    <w:lvl w:ilvl="1">
      <w:lvlJc w:val="left"/>
      <w:lvlText w:val="(%2)"/>
      <w:numFmt w:val="lowerLetter"/>
      <w:start w:val="5"/>
    </w:lvl>
  </w:abstractNum>
  <w:abstractNum w:abstractNumId="207">
    <w:nsid w:val="30AADFDA"/>
    <w:multiLevelType w:val="hybridMultilevel"/>
    <w:lvl w:ilvl="0">
      <w:lvlJc w:val="left"/>
      <w:lvlText w:val="%1."/>
      <w:numFmt w:val="decimal"/>
      <w:start w:val="1"/>
    </w:lvl>
    <w:lvl w:ilvl="1">
      <w:lvlJc w:val="left"/>
      <w:lvlText w:val="(%2)"/>
      <w:numFmt w:val="lowerLetter"/>
      <w:start w:val="1"/>
    </w:lvl>
  </w:abstractNum>
  <w:abstractNum w:abstractNumId="208">
    <w:nsid w:val="30EADA61"/>
    <w:multiLevelType w:val="hybridMultilevel"/>
    <w:lvl w:ilvl="0">
      <w:lvlJc w:val="left"/>
      <w:lvlText w:val="(%1)"/>
      <w:numFmt w:val="lowerLetter"/>
      <w:start w:val="2"/>
    </w:lvl>
  </w:abstractNum>
  <w:abstractNum w:abstractNumId="209">
    <w:nsid w:val="27179C0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10">
    <w:nsid w:val="5E63606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11">
    <w:nsid w:val="215641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12">
    <w:nsid w:val="5328066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13">
    <w:nsid w:val="46B24DB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214">
    <w:nsid w:val="75B52783"/>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15">
    <w:nsid w:val="57CE66B4"/>
    <w:multiLevelType w:val="hybridMultilevel"/>
    <w:lvl w:ilvl="0">
      <w:lvlJc w:val="left"/>
      <w:lvlText w:val="%1"/>
      <w:numFmt w:val="lowerLetter"/>
      <w:start w:val="1"/>
    </w:lvl>
    <w:lvl w:ilvl="1">
      <w:lvlJc w:val="left"/>
      <w:lvlText w:val="(%2)"/>
      <w:numFmt w:val="lowerRoman"/>
      <w:start w:val="3"/>
    </w:lvl>
  </w:abstractNum>
  <w:abstractNum w:abstractNumId="216">
    <w:nsid w:val="67A70B69"/>
    <w:multiLevelType w:val="hybridMultilevel"/>
    <w:lvl w:ilvl="0">
      <w:lvlJc w:val="left"/>
      <w:lvlText w:val="(%1)"/>
      <w:numFmt w:val="lowerLetter"/>
      <w:start w:val="3"/>
    </w:lvl>
    <w:lvl w:ilvl="1">
      <w:lvlJc w:val="left"/>
      <w:lvlText w:val="(%2)"/>
      <w:numFmt w:val="lowerRoman"/>
      <w:start w:val="1"/>
    </w:lvl>
  </w:abstractNum>
  <w:abstractNum w:abstractNumId="217">
    <w:nsid w:val="5953172F"/>
    <w:multiLevelType w:val="hybridMultilevel"/>
    <w:lvl w:ilvl="0">
      <w:lvlJc w:val="left"/>
      <w:lvlText w:val="%1"/>
      <w:numFmt w:val="decimal"/>
      <w:start w:val="1"/>
    </w:lvl>
    <w:lvl w:ilvl="1">
      <w:lvlJc w:val="left"/>
      <w:lvlText w:val="(%2)"/>
      <w:numFmt w:val="lowerRoman"/>
      <w:start w:val="2"/>
    </w:lvl>
  </w:abstractNum>
  <w:abstractNum w:abstractNumId="218">
    <w:nsid w:val="27EDFE3A"/>
    <w:multiLevelType w:val="hybridMultilevel"/>
    <w:lvl w:ilvl="0">
      <w:lvlJc w:val="left"/>
      <w:lvlText w:val="%1."/>
      <w:numFmt w:val="decimal"/>
      <w:start w:val="5"/>
    </w:lvl>
    <w:lvl w:ilvl="1">
      <w:lvlJc w:val="left"/>
      <w:lvlText w:val="%2"/>
      <w:numFmt w:val="lowerRoman"/>
      <w:start w:val="1"/>
    </w:lvl>
  </w:abstractNum>
  <w:abstractNum w:abstractNumId="219">
    <w:nsid w:val="52AC7DFF"/>
    <w:multiLevelType w:val="hybridMultilevel"/>
    <w:lvl w:ilvl="0">
      <w:lvlJc w:val="left"/>
      <w:lvlText w:val="%1."/>
      <w:numFmt w:val="decimal"/>
      <w:start w:val="7"/>
    </w:lvl>
  </w:abstractNum>
  <w:abstractNum w:abstractNumId="220">
    <w:nsid w:val="C4C3AF"/>
    <w:multiLevelType w:val="hybridMultilevel"/>
    <w:lvl w:ilvl="0">
      <w:lvlJc w:val="left"/>
      <w:lvlText w:val="%1."/>
      <w:numFmt w:val="decimal"/>
      <w:start w:val="11"/>
    </w:lvl>
  </w:abstractNum>
  <w:abstractNum w:abstractNumId="221">
    <w:nsid w:val="44380727"/>
    <w:multiLevelType w:val="hybridMultilevel"/>
    <w:lvl w:ilvl="0">
      <w:lvlJc w:val="left"/>
      <w:lvlText w:val="%1."/>
      <w:numFmt w:val="decimal"/>
      <w:start w:val="15"/>
    </w:lvl>
    <w:lvl w:ilvl="1">
      <w:lvlJc w:val="left"/>
      <w:lvlText w:val="(%2)"/>
      <w:numFmt w:val="lowerLetter"/>
      <w:start w:val="1"/>
    </w:lvl>
  </w:abstractNum>
  <w:abstractNum w:abstractNumId="222">
    <w:nsid w:val="6C053B16"/>
    <w:multiLevelType w:val="hybridMultilevel"/>
    <w:lvl w:ilvl="0">
      <w:lvlJc w:val="left"/>
      <w:lvlText w:val="%1"/>
      <w:numFmt w:val="decimal"/>
      <w:start w:val="1"/>
    </w:lvl>
    <w:lvl w:ilvl="1">
      <w:lvlJc w:val="left"/>
      <w:lvlText w:val="(%2)"/>
      <w:numFmt w:val="lowerLetter"/>
      <w:start w:val="2"/>
    </w:lvl>
  </w:abstractNum>
  <w:abstractNum w:abstractNumId="223">
    <w:nsid w:val="4F294393"/>
    <w:multiLevelType w:val="hybridMultilevel"/>
    <w:lvl w:ilvl="0">
      <w:lvlJc w:val="left"/>
      <w:lvlText w:val="%1."/>
      <w:numFmt w:val="decimal"/>
      <w:start w:val="12"/>
    </w:lvl>
    <w:lvl w:ilvl="1">
      <w:lvlJc w:val="left"/>
      <w:lvlText w:val="(%2)"/>
      <w:numFmt w:val="lowerLetter"/>
      <w:start w:val="5"/>
    </w:lvl>
  </w:abstractNum>
  <w:abstractNum w:abstractNumId="224">
    <w:nsid w:val="5243BFAC"/>
    <w:multiLevelType w:val="hybridMultilevel"/>
    <w:lvl w:ilvl="0">
      <w:lvlJc w:val="left"/>
      <w:lvlText w:val="%1."/>
      <w:numFmt w:val="decimal"/>
      <w:start w:val="1"/>
    </w:lvl>
    <w:lvl w:ilvl="1">
      <w:lvlJc w:val="left"/>
      <w:lvlText w:val="(%2)"/>
      <w:numFmt w:val="lowerLetter"/>
      <w:start w:val="1"/>
    </w:lvl>
  </w:abstractNum>
  <w:abstractNum w:abstractNumId="225">
    <w:nsid w:val="425EB207"/>
    <w:multiLevelType w:val="hybridMultilevel"/>
    <w:lvl w:ilvl="0">
      <w:lvlJc w:val="left"/>
      <w:lvlText w:val="(%1)"/>
      <w:numFmt w:val="lowerLetter"/>
      <w:start w:val="2"/>
    </w:lvl>
  </w:abstractNum>
  <w:abstractNum w:abstractNumId="226">
    <w:nsid w:val="334A6F1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27">
    <w:nsid w:val="2E5B12B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28">
    <w:nsid w:val="5C03D76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29">
    <w:nsid w:val="66A48D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30">
    <w:nsid w:val="56C28E3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231">
    <w:nsid w:val="13916F2D"/>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32">
    <w:nsid w:val="435D38D"/>
    <w:multiLevelType w:val="hybridMultilevel"/>
    <w:lvl w:ilvl="0">
      <w:lvlJc w:val="left"/>
      <w:lvlText w:val="%1"/>
      <w:numFmt w:val="lowerLetter"/>
      <w:start w:val="1"/>
    </w:lvl>
    <w:lvl w:ilvl="1">
      <w:lvlJc w:val="left"/>
      <w:lvlText w:val="(%2)"/>
      <w:numFmt w:val="lowerRoman"/>
      <w:start w:val="3"/>
    </w:lvl>
  </w:abstractNum>
  <w:abstractNum w:abstractNumId="233">
    <w:nsid w:val="822C0EF"/>
    <w:multiLevelType w:val="hybridMultilevel"/>
    <w:lvl w:ilvl="0">
      <w:lvlJc w:val="left"/>
      <w:lvlText w:val="(%1)"/>
      <w:numFmt w:val="lowerLetter"/>
      <w:start w:val="3"/>
    </w:lvl>
    <w:lvl w:ilvl="1">
      <w:lvlJc w:val="left"/>
      <w:lvlText w:val="(%2)"/>
      <w:numFmt w:val="lowerRoman"/>
      <w:start w:val="1"/>
    </w:lvl>
  </w:abstractNum>
  <w:abstractNum w:abstractNumId="234">
    <w:nsid w:val="57C5BB4F"/>
    <w:multiLevelType w:val="hybridMultilevel"/>
    <w:lvl w:ilvl="0">
      <w:lvlJc w:val="left"/>
      <w:lvlText w:val="%1"/>
      <w:numFmt w:val="decimal"/>
      <w:start w:val="1"/>
    </w:lvl>
    <w:lvl w:ilvl="1">
      <w:lvlJc w:val="left"/>
      <w:lvlText w:val="(%2)"/>
      <w:numFmt w:val="lowerRoman"/>
      <w:start w:val="2"/>
    </w:lvl>
  </w:abstractNum>
  <w:abstractNum w:abstractNumId="235">
    <w:nsid w:val="1803D089"/>
    <w:multiLevelType w:val="hybridMultilevel"/>
    <w:lvl w:ilvl="0">
      <w:lvlJc w:val="left"/>
      <w:lvlText w:val="%1."/>
      <w:numFmt w:val="decimal"/>
      <w:start w:val="5"/>
    </w:lvl>
    <w:lvl w:ilvl="1">
      <w:lvlJc w:val="left"/>
      <w:lvlText w:val="%2"/>
      <w:numFmt w:val="lowerRoman"/>
      <w:start w:val="1"/>
    </w:lvl>
  </w:abstractNum>
  <w:abstractNum w:abstractNumId="236">
    <w:nsid w:val="4F3A06D4"/>
    <w:multiLevelType w:val="hybridMultilevel"/>
    <w:lvl w:ilvl="0">
      <w:lvlJc w:val="left"/>
      <w:lvlText w:val="%1."/>
      <w:numFmt w:val="decimal"/>
      <w:start w:val="7"/>
    </w:lvl>
  </w:abstractNum>
  <w:abstractNum w:abstractNumId="237">
    <w:nsid w:val="59A377B6"/>
    <w:multiLevelType w:val="hybridMultilevel"/>
    <w:lvl w:ilvl="0">
      <w:lvlJc w:val="left"/>
      <w:lvlText w:val="%1."/>
      <w:numFmt w:val="decimal"/>
      <w:start w:val="11"/>
    </w:lvl>
  </w:abstractNum>
  <w:abstractNum w:abstractNumId="238">
    <w:nsid w:val="48AEB063"/>
    <w:multiLevelType w:val="hybridMultilevel"/>
    <w:lvl w:ilvl="0">
      <w:lvlJc w:val="left"/>
      <w:lvlText w:val="%1."/>
      <w:numFmt w:val="decimal"/>
      <w:start w:val="16"/>
    </w:lvl>
    <w:lvl w:ilvl="1">
      <w:lvlJc w:val="left"/>
      <w:lvlText w:val="(%2)"/>
      <w:numFmt w:val="lowerLetter"/>
      <w:start w:val="1"/>
    </w:lvl>
  </w:abstractNum>
  <w:abstractNum w:abstractNumId="239">
    <w:nsid w:val="24E135"/>
    <w:multiLevelType w:val="hybridMultilevel"/>
    <w:lvl w:ilvl="0">
      <w:lvlJc w:val="left"/>
      <w:lvlText w:val="%1"/>
      <w:numFmt w:val="decimal"/>
      <w:start w:val="1"/>
    </w:lvl>
    <w:lvl w:ilvl="1">
      <w:lvlJc w:val="left"/>
      <w:lvlText w:val="(%2)"/>
      <w:numFmt w:val="lowerLetter"/>
      <w:start w:val="2"/>
    </w:lvl>
  </w:abstractNum>
  <w:abstractNum w:abstractNumId="240">
    <w:nsid w:val="BB13C1"/>
    <w:multiLevelType w:val="hybridMultilevel"/>
    <w:lvl w:ilvl="0">
      <w:lvlJc w:val="left"/>
      <w:lvlText w:val="%1."/>
      <w:numFmt w:val="decimal"/>
      <w:start w:val="12"/>
    </w:lvl>
    <w:lvl w:ilvl="1">
      <w:lvlJc w:val="left"/>
      <w:lvlText w:val="(%2)"/>
      <w:numFmt w:val="lowerLetter"/>
      <w:start w:val="5"/>
    </w:lvl>
  </w:abstractNum>
  <w:abstractNum w:abstractNumId="241">
    <w:nsid w:val="271210C7"/>
    <w:multiLevelType w:val="hybridMultilevel"/>
    <w:lvl w:ilvl="0">
      <w:lvlJc w:val="left"/>
      <w:lvlText w:val="(%1)"/>
      <w:numFmt w:val="decimal"/>
      <w:start w:val="1"/>
    </w:lvl>
  </w:abstractNum>
  <w:abstractNum w:abstractNumId="242">
    <w:nsid w:val="217B22E4"/>
    <w:multiLevelType w:val="hybridMultilevel"/>
    <w:lvl w:ilvl="0">
      <w:lvlJc w:val="left"/>
      <w:lvlText w:val="%1."/>
      <w:numFmt w:val="decimal"/>
      <w:start w:val="1"/>
    </w:lvl>
    <w:lvl w:ilvl="1">
      <w:lvlJc w:val="left"/>
      <w:lvlText w:val="(%2)"/>
      <w:numFmt w:val="lowerLetter"/>
      <w:start w:val="1"/>
    </w:lvl>
  </w:abstractNum>
  <w:abstractNum w:abstractNumId="243">
    <w:nsid w:val="53E31A24"/>
    <w:multiLevelType w:val="hybridMultilevel"/>
    <w:lvl w:ilvl="0">
      <w:lvlJc w:val="left"/>
      <w:lvlText w:val="%1."/>
      <w:numFmt w:val="decimal"/>
      <w:start w:val="1"/>
    </w:lvl>
    <w:lvl w:ilvl="1">
      <w:lvlJc w:val="left"/>
      <w:lvlText w:val="(%2)"/>
      <w:numFmt w:val="lowerLetter"/>
      <w:start w:val="1"/>
    </w:lvl>
  </w:abstractNum>
  <w:abstractNum w:abstractNumId="244">
    <w:nsid w:val="6DC45E8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2019-12-06T04:03:45Z</dcterms:created>
  <dcterms:modified xsi:type="dcterms:W3CDTF">2019-12-06T04:03:45Z</dcterms:modified>
</cp:coreProperties>
</file>