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ind w:left="4100" w:right="2720" w:hanging="4092"/>
        <w:spacing w:after="0" w:line="501" w:lineRule="auto"/>
        <w:tabs>
          <w:tab w:leader="none" w:pos="3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2018</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560" w:right="2400" w:hanging="3552"/>
        <w:spacing w:after="0" w:line="530" w:lineRule="auto"/>
        <w:tabs>
          <w:tab w:leader="none" w:pos="331"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 to __________</w:t>
      </w:r>
    </w:p>
    <w:p>
      <w:pPr>
        <w:ind w:left="45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1-12830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BioTime,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0"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California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94-3127919</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747"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1010 Atlantic Avenue, Suite 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Alameda, California 94501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747" w:right="239" w:bottom="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521-3390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under Section 12(b) of the Act: None</w:t>
      </w:r>
    </w:p>
    <w:p>
      <w:pPr>
        <w:spacing w:after="0" w:line="212" w:lineRule="exact"/>
        <w:rPr>
          <w:sz w:val="24"/>
          <w:szCs w:val="24"/>
          <w:color w:val="auto"/>
        </w:rPr>
      </w:pPr>
    </w:p>
    <w:tbl>
      <w:tblPr>
        <w:tblLayout w:type="fixed"/>
        <w:tblInd w:w="178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360" w:type="dxa"/>
            <w:vAlign w:val="bottom"/>
            <w:gridSpan w:val="2"/>
          </w:tcPr>
          <w:p>
            <w:pPr>
              <w:jc w:val="center"/>
              <w:ind w:right="2020"/>
              <w:spacing w:after="0"/>
              <w:rPr>
                <w:sz w:val="20"/>
                <w:szCs w:val="20"/>
                <w:color w:val="auto"/>
              </w:rPr>
            </w:pPr>
            <w:r>
              <w:rPr>
                <w:rFonts w:ascii="Arial" w:cs="Arial" w:eastAsia="Arial" w:hAnsi="Arial"/>
                <w:sz w:val="18"/>
                <w:szCs w:val="18"/>
                <w:b w:val="1"/>
                <w:bCs w:val="1"/>
                <w:color w:val="auto"/>
                <w:w w:val="86"/>
              </w:rPr>
              <w:t>Title of each class</w:t>
            </w:r>
          </w:p>
        </w:tc>
        <w:tc>
          <w:tcPr>
            <w:tcW w:w="4600" w:type="dxa"/>
            <w:vAlign w:val="bottom"/>
          </w:tcPr>
          <w:p>
            <w:pPr>
              <w:jc w:val="center"/>
              <w:ind w:left="157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7"/>
        </w:trPr>
        <w:tc>
          <w:tcPr>
            <w:tcW w:w="372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Common stock, no par value</w:t>
            </w:r>
          </w:p>
        </w:tc>
        <w:tc>
          <w:tcPr>
            <w:tcW w:w="4600" w:type="dxa"/>
            <w:vAlign w:val="bottom"/>
          </w:tcPr>
          <w:p>
            <w:pPr>
              <w:jc w:val="center"/>
              <w:ind w:left="1570"/>
              <w:spacing w:after="0"/>
              <w:rPr>
                <w:sz w:val="20"/>
                <w:szCs w:val="20"/>
                <w:color w:val="auto"/>
              </w:rPr>
            </w:pPr>
            <w:r>
              <w:rPr>
                <w:rFonts w:ascii="Arial" w:cs="Arial" w:eastAsia="Arial" w:hAnsi="Arial"/>
                <w:sz w:val="18"/>
                <w:szCs w:val="18"/>
                <w:color w:val="auto"/>
                <w:w w:val="93"/>
              </w:rPr>
              <w:t>NYSE American</w:t>
            </w: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00" w:space="720"/>
            <w:col w:w="5700"/>
          </w:cols>
          <w:pgMar w:left="240" w:top="747" w:right="239" w:bottom="0" w:gutter="0" w:footer="0" w:header="0"/>
          <w:type w:val="continuous"/>
        </w:sectPr>
      </w:pPr>
    </w:p>
    <w:p>
      <w:pPr>
        <w:spacing w:after="0" w:line="3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approximate aggregate market value of voting common shares held by non-affiliates computed by reference to the price at which common shares were last sold as of June 30, 2018 was $176.7 million. Shares held by each executive officer and director and by each person who beneficially owns more than 5% of the outstanding common shares have been excluded in that such persons may under certain circumstances be deemed to be affiliates. This determination of affiliate status is not necessarily a conclusive determination for other purposes.</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number of common shares outstanding as of April 22, 2019 was 149,642,861.</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BioTime,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10-K/A –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560" w:type="dxa"/>
            <w:vAlign w:val="bottom"/>
            <w:gridSpan w:val="1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184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560" w:type="dxa"/>
            <w:vAlign w:val="bottom"/>
            <w:tcBorders>
              <w:top w:val="single" w:sz="8" w:color="CCEEFF"/>
            </w:tcBorders>
            <w:gridSpan w:val="4"/>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18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60" w:type="dxa"/>
            <w:vAlign w:val="bottom"/>
            <w:gridSpan w:val="1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10.  </w:t>
            </w:r>
            <w:hyperlink w:anchor="page5">
              <w:r>
                <w:rPr>
                  <w:rFonts w:ascii="Arial" w:cs="Arial" w:eastAsia="Arial" w:hAnsi="Arial"/>
                  <w:sz w:val="18"/>
                  <w:szCs w:val="18"/>
                  <w:color w:val="0000EE"/>
                </w:rPr>
                <w:t>Directors, Executive Officers and Corporate Governance</w:t>
              </w:r>
            </w:hyperlink>
          </w:p>
        </w:tc>
        <w:tc>
          <w:tcPr>
            <w:tcW w:w="1840" w:type="dxa"/>
            <w:vAlign w:val="bottom"/>
            <w:shd w:val="clear" w:color="auto" w:fill="CCEEFF"/>
          </w:tcPr>
          <w:p>
            <w:pPr>
              <w:jc w:val="center"/>
              <w:ind w:left="11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Executive Compensation</w:t>
              </w:r>
            </w:hyperlink>
          </w:p>
        </w:tc>
        <w:tc>
          <w:tcPr>
            <w:tcW w:w="4640" w:type="dxa"/>
            <w:vAlign w:val="bottom"/>
            <w:tcBorders>
              <w:top w:val="single" w:sz="8" w:color="CCEEFF"/>
            </w:tcBorders>
            <w:gridSpan w:val="5"/>
          </w:tcPr>
          <w:p>
            <w:pPr>
              <w:spacing w:after="0"/>
              <w:rPr>
                <w:sz w:val="15"/>
                <w:szCs w:val="15"/>
                <w:color w:val="auto"/>
              </w:rPr>
            </w:pPr>
          </w:p>
        </w:tc>
        <w:tc>
          <w:tcPr>
            <w:tcW w:w="1840" w:type="dxa"/>
            <w:vAlign w:val="bottom"/>
            <w:tcBorders>
              <w:top w:val="single" w:sz="8" w:color="CCEEFF"/>
            </w:tcBorders>
          </w:tcPr>
          <w:p>
            <w:pPr>
              <w:jc w:val="center"/>
              <w:ind w:left="111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60" w:type="dxa"/>
            <w:vAlign w:val="bottom"/>
            <w:gridSpan w:val="12"/>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12.  </w:t>
            </w:r>
            <w:hyperlink w:anchor="page15">
              <w:r>
                <w:rPr>
                  <w:rFonts w:ascii="Arial" w:cs="Arial" w:eastAsia="Arial" w:hAnsi="Arial"/>
                  <w:sz w:val="18"/>
                  <w:szCs w:val="18"/>
                  <w:color w:val="0000EE"/>
                </w:rPr>
                <w:t>Security Ownership of Certain Beneficial Owners and Management and Related Stockholder Matters</w:t>
              </w:r>
            </w:hyperlink>
          </w:p>
        </w:tc>
        <w:tc>
          <w:tcPr>
            <w:tcW w:w="1840" w:type="dxa"/>
            <w:vAlign w:val="bottom"/>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Certain Relationships and Related Transactions and Director Independence</w:t>
              </w:r>
            </w:hyperlink>
          </w:p>
        </w:tc>
        <w:tc>
          <w:tcPr>
            <w:tcW w:w="1440" w:type="dxa"/>
            <w:vAlign w:val="bottom"/>
            <w:tcBorders>
              <w:top w:val="single" w:sz="8" w:color="CCEEFF"/>
            </w:tcBorders>
          </w:tcPr>
          <w:p>
            <w:pPr>
              <w:spacing w:after="0"/>
              <w:rPr>
                <w:sz w:val="15"/>
                <w:szCs w:val="15"/>
                <w:color w:val="auto"/>
              </w:rPr>
            </w:pPr>
          </w:p>
        </w:tc>
        <w:tc>
          <w:tcPr>
            <w:tcW w:w="1840" w:type="dxa"/>
            <w:vAlign w:val="bottom"/>
            <w:tcBorders>
              <w:top w:val="single" w:sz="8" w:color="CCEEFF"/>
            </w:tcBorders>
          </w:tcPr>
          <w:p>
            <w:pPr>
              <w:jc w:val="center"/>
              <w:ind w:left="109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740" w:type="dxa"/>
            <w:vAlign w:val="bottom"/>
            <w:gridSpan w:val="11"/>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Principal Accountant Fees and Services</w:t>
              </w:r>
            </w:hyperlink>
          </w:p>
        </w:tc>
        <w:tc>
          <w:tcPr>
            <w:tcW w:w="1840" w:type="dxa"/>
            <w:vAlign w:val="bottom"/>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8740" w:type="dxa"/>
            <w:vAlign w:val="bottom"/>
            <w:gridSpan w:val="1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Exhibits, Financial Statement Schedules</w:t>
              </w:r>
            </w:hyperlink>
          </w:p>
        </w:tc>
        <w:tc>
          <w:tcPr>
            <w:tcW w:w="1840" w:type="dxa"/>
            <w:vAlign w:val="bottom"/>
          </w:tcPr>
          <w:p>
            <w:pPr>
              <w:jc w:val="center"/>
              <w:ind w:left="109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740" w:type="dxa"/>
            <w:vAlign w:val="bottom"/>
            <w:gridSpan w:val="1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1840" w:type="dxa"/>
            <w:vAlign w:val="bottom"/>
            <w:shd w:val="clear" w:color="auto" w:fill="CCEEFF"/>
          </w:tcPr>
          <w:p>
            <w:pPr>
              <w:jc w:val="center"/>
              <w:ind w:left="109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This Amendment No. 1 on Form 10-K/A (this “Amendment”) amends the Annual Report on Form 10-K for the fiscal year ended December 31, 2018 of BioTime, Inc. (the “Original Filing”), as originally filed with the Securities and Exchange Commission (“SEC”) on March 14, 2019 (the “Original Filing Date”). This Amendment is being filed to amend (i) Part III of the Original Filing to include the information required by Part III of Form 10-K that was previously omitted from the Original Filing in reliance on General Instruction G(3) to Form 10-K because a definitive proxy statement containing such information may not be filed within 120 days after the end of our fiscal year ended December 31, 2018, and (ii) Part IV of the Original Filing to add new certifications pursuant to Section 302 of the Sarbanes-Oxley Act of 2002 as required by Rule 12b-15 under the Securities Exchange Act of 1934, as amended (the “Exchange Act”), and in accordance with Rule 13a-14(a) under the Exchange Act.</w:t>
      </w:r>
    </w:p>
    <w:p>
      <w:pPr>
        <w:spacing w:after="0" w:line="17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addition, we are including the audited financial statements of OncoCyte Corporation (“OncoCyte”) for the year ended December 31, 2018 which were included in OncoCyte’s Annual Report on Form 10-K filed with the SEC on April 1, 2019. As a smaller reporting company, we are required to comply with Article 8 of Regulation S-X, accordingly, the OncoCyte financial statements are not being provided pursuant to Rule 3-09 of Regulation S-X.</w:t>
      </w:r>
    </w:p>
    <w:p>
      <w:pPr>
        <w:spacing w:after="0" w:line="14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Because no financial statements of the registrant have been included in this Amendment and this Amendment does not contain or amend any disclosure with respect to Items 307 and 308 of Regulation S-K, paragraphs 3, 4 and 5 of the new certifications pursuant to Section 302 of the Sarbanes-Oxley Act of 2002 have been omitted. In addition, the reference on the cover of the Original Filing to the incorporation by reference to portions of our definitive proxy statement into Part III of the Original Filing is hereby deleted. This Amendment does not amend, modify, or otherwise update any other information in the Original Filing. Accordingly, this Amendment should be read in conjunction with the Original Filing and with our filings with the SEC subsequent to the filing of the Original Filing. In addition, this Amendment does not reflect events that may have occurred after the Original Filing Date.</w:t>
      </w:r>
    </w:p>
    <w:p>
      <w:pPr>
        <w:spacing w:after="0" w:line="165"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References to “BioTime”, “Company,” “we” and “our” means BioTime, Inc. and its subsidiaries and affiliates unless the context otherwise indicates.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are the names, ages, board committee assignments, tenure, and certain biographical information of each of the members of our Board of Directors (our “Board”) as of April 26,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Committees</w:t>
            </w:r>
          </w:p>
        </w:tc>
        <w:tc>
          <w:tcPr>
            <w:tcW w:w="2060" w:type="dxa"/>
            <w:vAlign w:val="bottom"/>
          </w:tcPr>
          <w:p>
            <w:pPr>
              <w:spacing w:after="0"/>
              <w:rPr>
                <w:sz w:val="20"/>
                <w:szCs w:val="20"/>
                <w:color w:val="auto"/>
              </w:rPr>
            </w:pPr>
            <w:r>
              <w:rPr>
                <w:rFonts w:ascii="Arial" w:cs="Arial" w:eastAsia="Arial" w:hAnsi="Arial"/>
                <w:sz w:val="18"/>
                <w:szCs w:val="18"/>
                <w:b w:val="1"/>
                <w:bCs w:val="1"/>
                <w:color w:val="auto"/>
              </w:rPr>
              <w:t>Director Since</w:t>
            </w:r>
          </w:p>
        </w:tc>
      </w:tr>
      <w:tr>
        <w:trPr>
          <w:trHeight w:val="202"/>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Alfred D. Kingsley</w:t>
            </w: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5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None</w:t>
            </w: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July 2009</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Deborah Andrews</w:t>
            </w:r>
          </w:p>
        </w:tc>
        <w:tc>
          <w:tcPr>
            <w:tcW w:w="920" w:type="dxa"/>
            <w:vAlign w:val="bottom"/>
          </w:tcPr>
          <w:p>
            <w:pPr>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Audit*, Compensation</w:t>
            </w:r>
          </w:p>
        </w:tc>
        <w:tc>
          <w:tcPr>
            <w:tcW w:w="2060" w:type="dxa"/>
            <w:vAlign w:val="bottom"/>
          </w:tcPr>
          <w:p>
            <w:pPr>
              <w:spacing w:after="0"/>
              <w:rPr>
                <w:sz w:val="20"/>
                <w:szCs w:val="20"/>
                <w:color w:val="auto"/>
              </w:rPr>
            </w:pPr>
            <w:r>
              <w:rPr>
                <w:rFonts w:ascii="Arial" w:cs="Arial" w:eastAsia="Arial" w:hAnsi="Arial"/>
                <w:sz w:val="18"/>
                <w:szCs w:val="18"/>
                <w:color w:val="auto"/>
              </w:rPr>
              <w:t>April 2014</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Don M. Bailey</w:t>
            </w:r>
          </w:p>
        </w:tc>
        <w:tc>
          <w:tcPr>
            <w:tcW w:w="920" w:type="dxa"/>
            <w:vAlign w:val="bottom"/>
          </w:tcPr>
          <w:p>
            <w:pPr>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None</w:t>
            </w:r>
          </w:p>
        </w:tc>
        <w:tc>
          <w:tcPr>
            <w:tcW w:w="2060" w:type="dxa"/>
            <w:vAlign w:val="bottom"/>
          </w:tcPr>
          <w:p>
            <w:pPr>
              <w:spacing w:after="0"/>
              <w:rPr>
                <w:sz w:val="20"/>
                <w:szCs w:val="20"/>
                <w:color w:val="auto"/>
              </w:rPr>
            </w:pPr>
            <w:r>
              <w:rPr>
                <w:rFonts w:ascii="Arial" w:cs="Arial" w:eastAsia="Arial" w:hAnsi="Arial"/>
                <w:sz w:val="18"/>
                <w:szCs w:val="18"/>
                <w:color w:val="auto"/>
              </w:rPr>
              <w:t>March 2019</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Neal C. Bradsher, CFA</w:t>
            </w:r>
          </w:p>
        </w:tc>
        <w:tc>
          <w:tcPr>
            <w:tcW w:w="92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Nominating &amp; Corporate Governance*</w:t>
            </w:r>
          </w:p>
        </w:tc>
        <w:tc>
          <w:tcPr>
            <w:tcW w:w="2060" w:type="dxa"/>
            <w:vAlign w:val="bottom"/>
          </w:tcPr>
          <w:p>
            <w:pPr>
              <w:spacing w:after="0"/>
              <w:rPr>
                <w:sz w:val="20"/>
                <w:szCs w:val="20"/>
                <w:color w:val="auto"/>
              </w:rPr>
            </w:pPr>
            <w:r>
              <w:rPr>
                <w:rFonts w:ascii="Arial" w:cs="Arial" w:eastAsia="Arial" w:hAnsi="Arial"/>
                <w:sz w:val="18"/>
                <w:szCs w:val="18"/>
                <w:color w:val="auto"/>
              </w:rPr>
              <w:t>July 2009</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Brian M. Culley</w:t>
            </w:r>
          </w:p>
        </w:tc>
        <w:tc>
          <w:tcPr>
            <w:tcW w:w="920" w:type="dxa"/>
            <w:vAlign w:val="bottom"/>
          </w:tcPr>
          <w:p>
            <w:pPr>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None</w:t>
            </w:r>
          </w:p>
        </w:tc>
        <w:tc>
          <w:tcPr>
            <w:tcW w:w="2060" w:type="dxa"/>
            <w:vAlign w:val="bottom"/>
          </w:tcPr>
          <w:p>
            <w:pPr>
              <w:spacing w:after="0"/>
              <w:rPr>
                <w:sz w:val="20"/>
                <w:szCs w:val="20"/>
                <w:color w:val="auto"/>
              </w:rPr>
            </w:pPr>
            <w:r>
              <w:rPr>
                <w:rFonts w:ascii="Arial" w:cs="Arial" w:eastAsia="Arial" w:hAnsi="Arial"/>
                <w:sz w:val="18"/>
                <w:szCs w:val="18"/>
                <w:color w:val="auto"/>
              </w:rPr>
              <w:t>September 2018</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Stephen C. Farrell</w:t>
            </w:r>
          </w:p>
        </w:tc>
        <w:tc>
          <w:tcPr>
            <w:tcW w:w="920" w:type="dxa"/>
            <w:vAlign w:val="bottom"/>
          </w:tcPr>
          <w:p>
            <w:pPr>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Audit, Compensation, Nominating &amp; Corporate Governance</w:t>
            </w:r>
          </w:p>
        </w:tc>
        <w:tc>
          <w:tcPr>
            <w:tcW w:w="2060" w:type="dxa"/>
            <w:vAlign w:val="bottom"/>
          </w:tcPr>
          <w:p>
            <w:pPr>
              <w:spacing w:after="0"/>
              <w:rPr>
                <w:sz w:val="20"/>
                <w:szCs w:val="20"/>
                <w:color w:val="auto"/>
              </w:rPr>
            </w:pPr>
            <w:r>
              <w:rPr>
                <w:rFonts w:ascii="Arial" w:cs="Arial" w:eastAsia="Arial" w:hAnsi="Arial"/>
                <w:sz w:val="18"/>
                <w:szCs w:val="18"/>
                <w:color w:val="auto"/>
              </w:rPr>
              <w:t>March 2013</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Michael M. Mulroy</w:t>
            </w:r>
          </w:p>
        </w:tc>
        <w:tc>
          <w:tcPr>
            <w:tcW w:w="92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None</w:t>
            </w:r>
          </w:p>
        </w:tc>
        <w:tc>
          <w:tcPr>
            <w:tcW w:w="2060" w:type="dxa"/>
            <w:vAlign w:val="bottom"/>
          </w:tcPr>
          <w:p>
            <w:pPr>
              <w:spacing w:after="0"/>
              <w:rPr>
                <w:sz w:val="20"/>
                <w:szCs w:val="20"/>
                <w:color w:val="auto"/>
              </w:rPr>
            </w:pPr>
            <w:r>
              <w:rPr>
                <w:rFonts w:ascii="Arial" w:cs="Arial" w:eastAsia="Arial" w:hAnsi="Arial"/>
                <w:sz w:val="18"/>
                <w:szCs w:val="18"/>
                <w:color w:val="auto"/>
              </w:rPr>
              <w:t>October 2014</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Cavan Redmond</w:t>
            </w:r>
          </w:p>
        </w:tc>
        <w:tc>
          <w:tcPr>
            <w:tcW w:w="920" w:type="dxa"/>
            <w:vAlign w:val="bottom"/>
          </w:tcPr>
          <w:p>
            <w:pPr>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Compensation*, Nominating &amp; Corporate Governance</w:t>
            </w:r>
          </w:p>
        </w:tc>
        <w:tc>
          <w:tcPr>
            <w:tcW w:w="2060" w:type="dxa"/>
            <w:vAlign w:val="bottom"/>
          </w:tcPr>
          <w:p>
            <w:pPr>
              <w:spacing w:after="0"/>
              <w:rPr>
                <w:sz w:val="20"/>
                <w:szCs w:val="20"/>
                <w:color w:val="auto"/>
              </w:rPr>
            </w:pPr>
            <w:r>
              <w:rPr>
                <w:rFonts w:ascii="Arial" w:cs="Arial" w:eastAsia="Arial" w:hAnsi="Arial"/>
                <w:sz w:val="18"/>
                <w:szCs w:val="18"/>
                <w:color w:val="auto"/>
              </w:rPr>
              <w:t>February 2018</w:t>
            </w: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Angus C. Russell</w:t>
            </w:r>
          </w:p>
        </w:tc>
        <w:tc>
          <w:tcPr>
            <w:tcW w:w="920" w:type="dxa"/>
            <w:vAlign w:val="bottom"/>
          </w:tcPr>
          <w:p>
            <w:pPr>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Audit</w:t>
            </w:r>
          </w:p>
        </w:tc>
        <w:tc>
          <w:tcPr>
            <w:tcW w:w="2060" w:type="dxa"/>
            <w:vAlign w:val="bottom"/>
          </w:tcPr>
          <w:p>
            <w:pPr>
              <w:spacing w:after="0"/>
              <w:rPr>
                <w:sz w:val="20"/>
                <w:szCs w:val="20"/>
                <w:color w:val="auto"/>
              </w:rPr>
            </w:pPr>
            <w:r>
              <w:rPr>
                <w:rFonts w:ascii="Arial" w:cs="Arial" w:eastAsia="Arial" w:hAnsi="Arial"/>
                <w:sz w:val="18"/>
                <w:szCs w:val="18"/>
                <w:color w:val="auto"/>
              </w:rPr>
              <w:t>December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Committee chairperson</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b w:val="1"/>
          <w:bCs w:val="1"/>
          <w:i w:val="1"/>
          <w:iCs w:val="1"/>
          <w:color w:val="auto"/>
        </w:rPr>
        <w:t xml:space="preserve">Alfred D. Kingsley. </w:t>
      </w:r>
      <w:r>
        <w:rPr>
          <w:rFonts w:ascii="Arial" w:cs="Arial" w:eastAsia="Arial" w:hAnsi="Arial"/>
          <w:sz w:val="17"/>
          <w:szCs w:val="17"/>
          <w:color w:val="auto"/>
        </w:rPr>
        <w:t>Mr. Kingsley has been Chairman of our Board since July 2009. Mr. Kingsley has been general partner of Greenway Partners, 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private investment firm, and President of Greenbelt Corp., a business consulting firm, since 1993. Greenbelt Corp. served as our financial advisor from 1998 until June 30, 2009. Mr. Kingsley was Senior Vice-President of Icahn and Company and its affiliated entities for more than 25 years. Mr. Kingsley also serves as a director of OncoCyte Corporation. Mr. Kingsley holds a BS degree in economics from the Wharton School of the University of Pennsylvania, and a J.D. degree and LLM in taxation from New York University Law School. Mr. Kingsley’s long career in corporate finance and mergers and acquisitions includes substantial experience in helping companies to improve their management and corporate governance, and to restructure their operations. Mr. Kingsley developed an intimate knowledge of our business in his role as our financial advisor before he joined our Board. Mr. Kingsley has been instrumental in structuring our equity and debt financings, and in the transition of our business focus into the field of stem cell technology, and the business acquisitions that have helped us expand the scope of our business.</w:t>
      </w:r>
    </w:p>
    <w:p>
      <w:pPr>
        <w:spacing w:after="0" w:line="178" w:lineRule="exact"/>
        <w:rPr>
          <w:sz w:val="20"/>
          <w:szCs w:val="20"/>
          <w:color w:val="auto"/>
        </w:rPr>
      </w:pPr>
    </w:p>
    <w:p>
      <w:pPr>
        <w:jc w:val="both"/>
        <w:ind w:firstLine="495"/>
        <w:spacing w:after="0" w:line="274" w:lineRule="auto"/>
        <w:rPr>
          <w:sz w:val="20"/>
          <w:szCs w:val="20"/>
          <w:color w:val="auto"/>
        </w:rPr>
      </w:pPr>
      <w:r>
        <w:rPr>
          <w:rFonts w:ascii="Arial" w:cs="Arial" w:eastAsia="Arial" w:hAnsi="Arial"/>
          <w:sz w:val="17"/>
          <w:szCs w:val="17"/>
          <w:b w:val="1"/>
          <w:bCs w:val="1"/>
          <w:i w:val="1"/>
          <w:iCs w:val="1"/>
          <w:color w:val="auto"/>
        </w:rPr>
        <w:t>Deborah Andrews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Andrews has served as Chief Financial Officer of STAAR Surgical Company since 2017 after serving as Vice President,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Officer since 2013. Ms. Andrews also served as STAAR Surgical’s Vice President, Chief Financial Officer from 2005 to 2013, as its Global Controller from 2001 to 2005, and as its Vice President, International Finance from 1999 to 2001. Ms. Andrews previously worked as a senior accountant for a major public accounting firm. Ms. Andrews holds a B.S. degree in Accounting from California State University at San Bernardino. Ms. Andrews brings to our Board significant experience in finance, financial reporting, accounting and auditing, and in management as a senior financial and accounting executive of a public medical device company during a period of significant growth.</w:t>
      </w:r>
    </w:p>
    <w:p>
      <w:pPr>
        <w:spacing w:after="0" w:line="178" w:lineRule="exact"/>
        <w:rPr>
          <w:sz w:val="20"/>
          <w:szCs w:val="20"/>
          <w:color w:val="auto"/>
        </w:rPr>
      </w:pPr>
    </w:p>
    <w:p>
      <w:pPr>
        <w:jc w:val="both"/>
        <w:ind w:firstLine="495"/>
        <w:spacing w:after="0" w:line="285" w:lineRule="auto"/>
        <w:rPr>
          <w:sz w:val="20"/>
          <w:szCs w:val="20"/>
          <w:color w:val="auto"/>
        </w:rPr>
      </w:pPr>
      <w:r>
        <w:rPr>
          <w:rFonts w:ascii="Arial" w:cs="Arial" w:eastAsia="Arial" w:hAnsi="Arial"/>
          <w:sz w:val="16"/>
          <w:szCs w:val="16"/>
          <w:b w:val="1"/>
          <w:bCs w:val="1"/>
          <w:i w:val="1"/>
          <w:iCs w:val="1"/>
          <w:color w:val="auto"/>
        </w:rPr>
        <w:t xml:space="preserve">Don M. Bailey. </w:t>
      </w:r>
      <w:r>
        <w:rPr>
          <w:rFonts w:ascii="Arial" w:cs="Arial" w:eastAsia="Arial" w:hAnsi="Arial"/>
          <w:sz w:val="16"/>
          <w:szCs w:val="16"/>
          <w:color w:val="auto"/>
        </w:rPr>
        <w:t>Mr. Bailey previously served as a director and Chairman of Asterias Biotherapeutics, Inc. since February 2016. Mr. Bailey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Questcor Pharmaceuticals, Inc. from November 2007 until Questcor was acquired by Mallinckrodt plc in August 2014. He was also a director of Mallinckrodt plc from August 2014 to March 2016, and during this time he was the Chairman of its portfolio committee. He initially joined the Questcor board of directors in 2006 as an independent director and chairman of its audit committee. From August 2016 to November 2017, Mr. Bailey served as a director of OncoCyte, a clinical-stage diagnostics company focused on novel, non-invasive blood-based tests for the early detection of cancer. From June 2015 until May 2016, Mr. Bailey was also an independent director and chairman of the audit committee of Biotie Therapeutics Corp., a clinical-stage pharmaceutical company headquartered in Turku, Finland. Mr. Bailey was an independent director and the non-executive chairman of the board of directors of STAAR Surgical Company from April 2005 until January 2014 and a member of its board until June 2014. Mr. Bailey served on its audit committee and was chair of its nominating and corporate governance committee. STAAR Surgical Company is a leader in the development, manufacture, and marketing of minimally invasive ophthalmic products employing proprietary technologies. Mr. Bailey was the chairman of the board of directors of Comarco, Inc., a defense services company transformed into a wireless communication products company, from 1998 until 2007, where he served as chief executive officer from 1991 until 2000. Mr. Bailey holds a B.S. degree in mechanical engineering from the Drexel Institute of Technology, an M.S. degree in operations research from the University of Southern California, and an M.B.A. from Pepperdine University. Mr. Bailey has also served as a board member on several non-profit and academic enterprises. Mr. Bailey serves on the board of the Business School at Chapman University in Orange, CA and is a founding board member of the University of California Irvine’s (UCI) Applied Innovation Institute. Mr. Bailey brings to our Board significant knowledge of the pharmaceuticals industry and extensive experience as an executive and board member of publicly traded pharmaceutical companies.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both"/>
        <w:ind w:firstLine="495"/>
        <w:spacing w:after="0" w:line="271" w:lineRule="auto"/>
        <w:rPr>
          <w:sz w:val="20"/>
          <w:szCs w:val="20"/>
          <w:color w:val="auto"/>
        </w:rPr>
      </w:pPr>
      <w:r>
        <w:rPr>
          <w:rFonts w:ascii="Arial" w:cs="Arial" w:eastAsia="Arial" w:hAnsi="Arial"/>
          <w:sz w:val="17"/>
          <w:szCs w:val="17"/>
          <w:b w:val="1"/>
          <w:bCs w:val="1"/>
          <w:i w:val="1"/>
          <w:iCs w:val="1"/>
          <w:color w:val="auto"/>
        </w:rPr>
        <w:t xml:space="preserve">Neal C. Bradsher, CFA. </w:t>
      </w:r>
      <w:r>
        <w:rPr>
          <w:rFonts w:ascii="Arial" w:cs="Arial" w:eastAsia="Arial" w:hAnsi="Arial"/>
          <w:sz w:val="17"/>
          <w:szCs w:val="17"/>
          <w:color w:val="auto"/>
        </w:rPr>
        <w:t>Mr. Bradsher has been President of Broadwood Capital, Inc., a private investment firm, since 2002. Mr. Bradsher holds a B.A.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degree in economics from Yale College and is a Chartered Financial Analyst. Mr. Bradsher was a director of Questcor Pharmaceuticals, Inc., from March 2004 until August 2014, when Questcor was acquired by Mallinckrodt plc. Questcor was a biopharmaceutical company focused on the treatment of patients with serious, difficult-to-treat autoimmune and inflammatory disorders. Mr. Bradsher brings to our Board a wealth of experience in finance, management, and corporate governance attained through his investments in other companies, including companies in the pharmaceutical, medical device, medical diagnostics, health care services, and health care information systems sectors. He has worked with several health care companies to improve their management and governance. Entities that Mr. Bradsher controls have invested in most of BioTime’s financing transactions over the last several years. Mr. Bradsher is the president of the general partner of Broadwood Partners, L.P., currently our largest shareholder.</w:t>
      </w:r>
    </w:p>
    <w:p>
      <w:pPr>
        <w:spacing w:after="0" w:line="179"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b w:val="1"/>
          <w:bCs w:val="1"/>
          <w:i w:val="1"/>
          <w:iCs w:val="1"/>
          <w:color w:val="auto"/>
        </w:rPr>
        <w:t xml:space="preserve">Brian M. Culley. </w:t>
      </w:r>
      <w:r>
        <w:rPr>
          <w:rFonts w:ascii="Arial" w:cs="Arial" w:eastAsia="Arial" w:hAnsi="Arial"/>
          <w:sz w:val="16"/>
          <w:szCs w:val="16"/>
          <w:color w:val="auto"/>
        </w:rPr>
        <w:t>Mr. Culley joined BioTime as CEO in September 2018. Prior to joining BioTime, Mr. Culley served from August 2017 to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as interim chief executive officer at Artemis Therapeutics, Inc. Mr. Culley previously served as chief executive officer of Mast Therapeutics, Inc. (“Mast”), from February 2010, and was also a member of its board of directors from December 2011, until Mast’s merger with Savara, Inc. in April 2017. Mr. Culley served from January 2007 to February 2010 as Mast’s Chief Business Officer and Senior Vice President, from February 2006 to January 2007 as Mast’s Senior Vice President, Business Development, and from December 2004 to February 2006 as Mast’s Vice President, Business Development. From 2002 until 2004, Mr. Culley was Director of Business Development and Marketing for Immusol, Inc. From 1999 until 2000, he worked at the University of California, San Diego (UCSD) Department of Technology Transfer &amp; Intellectual Property Services and from 1996 to 1999 he conducted drug development research for Neurocrine Biosciences, Inc. Mr. Culley has more than 25 years of business and scientific experience in the life sciences industry. He received a B.S. in biology from Boston College, a masters in biochemistry and molecular biology from the University of California, Santa Barbara, and an M.B.A. from The Johnson School of Business at Cornell University. Mr. Culley brings to our Board significant knowledge of the biotech industry and extensive experience as an executive and board member of publicly traded pharmaceutical companies.</w:t>
      </w:r>
    </w:p>
    <w:p>
      <w:pPr>
        <w:spacing w:after="0" w:line="173"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7"/>
          <w:szCs w:val="17"/>
          <w:b w:val="1"/>
          <w:bCs w:val="1"/>
          <w:i w:val="1"/>
          <w:iCs w:val="1"/>
          <w:color w:val="auto"/>
        </w:rPr>
        <w:t xml:space="preserve">Stephen C. Farrell. </w:t>
      </w:r>
      <w:r>
        <w:rPr>
          <w:rFonts w:ascii="Arial" w:cs="Arial" w:eastAsia="Arial" w:hAnsi="Arial"/>
          <w:sz w:val="17"/>
          <w:szCs w:val="17"/>
          <w:color w:val="auto"/>
        </w:rPr>
        <w:t>Mr. Farrell currently serves as Chief Executive Officer and Director of Convey Health Solutions (formerly known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NationsHealth, Inc.), a healthcare business process outsourcing company headquartered in Fort Lauderdale, Florida. Convey Health Solutions utilizes both technology and staff to manage end-to-end insurance processes for business clients. Before joining Convey Health Solutions in 2011, he served as President of PolyMedica Corporation, a publicly traded provider of diabetes supplies and related services that was acquired in 2007 by Medco Health Solutions. During his eight-year tenure at PolyMedica, Mr. Farrell served as its President, Chief Operating Officer, and as Chief Financial Officer, Chief Compliance Officer, and Treasurer. Mr. Farrell previously served as Executive Vice President and Chief Financial Officer of Stream Global Services, Inc., a business process outsourcing company. Earlier in his career, Mr. Farrell served as Senior Manager at PricewaterhouseCoopers LLP. Mr. Farrell holds an A.B. from Harvard University, and an M.B.A. from the Darden School at the University of Virginia. Mr. Farrell served on the board and was chairman of the Audit Committee of Questcor Pharmaceuticals, Inc., a biopharmaceutical company focused on the treatment of patients with serious, difficult-to-treat autoimmune and inflammatory disorders from November 2007 to until August 2014, when Questcor was acquired by Mallinckrodt plc. Mr. Farrell also currently serves as a director of STAAR Surgical Company, a designer and developer of implantable lenses for the eye. Mr. Farrell brings to our Board significant experience in finance, financial reporting, accounting and auditing, and in management as a senior executive of a public healthcare company during a period of significant growth.</w:t>
      </w:r>
    </w:p>
    <w:p>
      <w:pPr>
        <w:spacing w:after="0" w:line="188"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6"/>
          <w:szCs w:val="16"/>
          <w:b w:val="1"/>
          <w:bCs w:val="1"/>
          <w:i w:val="1"/>
          <w:iCs w:val="1"/>
          <w:color w:val="auto"/>
        </w:rPr>
        <w:t>Michael H. Mulroy</w:t>
      </w:r>
      <w:r>
        <w:rPr>
          <w:rFonts w:ascii="Arial" w:cs="Arial" w:eastAsia="Arial" w:hAnsi="Arial"/>
          <w:sz w:val="16"/>
          <w:szCs w:val="16"/>
          <w:color w:val="auto"/>
        </w:rPr>
        <w:t>. Mr. Mulroy served as the Chief Executive Officer and a member of the Board of Directors of Asterias Biotherapeutics,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traded biotechnology company from June 2017 to March 2019. Prior to joining Asterias, Mr. Mulroy served as a Senior Advisor to CamberView Partners, LLC, which assists companies in connection with investor engagement and complex corporate governance issues. Mr. Mulroy served until September 2014 as Executive Vice President - Strategic Affairs and General Counsel of the Autoimmune and Rare Diseases Business Unit of Mallinckrodt plc following its acquisition of Questcor Pharmaceuticals, Inc. in August 2014. Mr. Mulroy was appointed Executive Vice President, Strategic Affairs and General Counsel and Corporate Secretary of Questcor during February 2014, having previously served as Chief Financial Officer, General Counsel and Corporate Secretary since January 2011. From 2003 to 2011, Mr. Mulroy was employed by the law firm of Stradling Yocca Carlson &amp; Rauth, where he served as a partner from 2004, and represented Questcor and other publicly-traded companies. From 1997 to 2003, Mr. Mulroy was an investment banker at Citigroup and Merrill Lynch. Mr. Mulroy also serves on the Board of Directors of Agex Therapeutics, Inc., a biotechnology company focused on the development and commercialization of novel therapeutics targeting human aging. He is also a member of the Board of Trustees of the Pegasus School, an independent primary school in Orange County, California. From July 2011 to August 2014, Mr. Mulroy served as a member of the Board of Directors of Comarco, Inc., which developed and designed innovative technologies and intellectual property used in power adapters. Mr. Mulroy earned his J.D. degree from the University of California, Los Angeles and his B.A. (Economics) from the University of Chicago. Mr. Mulroy brings to our Board his experience as the chief executive officer of a publicly-traded biotechnology company and member of a senior management team of a larger biopharmaceutical company that experienced a period of rapid growth. Mr. Mulroy also brings to our Board his experience in corporate finance and investor relations.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firstLine="495"/>
        <w:spacing w:after="0" w:line="270" w:lineRule="auto"/>
        <w:rPr>
          <w:sz w:val="20"/>
          <w:szCs w:val="20"/>
          <w:color w:val="auto"/>
        </w:rPr>
      </w:pPr>
      <w:r>
        <w:rPr>
          <w:rFonts w:ascii="Arial" w:cs="Arial" w:eastAsia="Arial" w:hAnsi="Arial"/>
          <w:sz w:val="17"/>
          <w:szCs w:val="17"/>
          <w:b w:val="1"/>
          <w:bCs w:val="1"/>
          <w:i w:val="1"/>
          <w:iCs w:val="1"/>
          <w:color w:val="auto"/>
        </w:rPr>
        <w:t>Cavan Redmond</w:t>
      </w:r>
      <w:r>
        <w:rPr>
          <w:rFonts w:ascii="Arial" w:cs="Arial" w:eastAsia="Arial" w:hAnsi="Arial"/>
          <w:sz w:val="17"/>
          <w:szCs w:val="17"/>
          <w:color w:val="auto"/>
        </w:rPr>
        <w:t>. Mr. Redmond is a seasoned healthcare strategist, who has held a number of global leadership positions. He currently is a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Zarsy, LLC. His global leadership roles include: CEO of WebMD Health Corp., where he oversaw cost rationalizations and streamlined operations to position the company for growth; Senior Vice President and Group President, Pfizer Diversified Businesses. The Diversified Business included Animal Health, Consumer Healthcare, Capsugel and Nutrition. While at Pfizer he also became the head of Corporate Strategy. While at Wyeth he was the first EVP and General Manager Wyeth Biopharma and President of Wyeth Consumer Healthcare. Mr. Redmond also serves as a director of OncoCyte Corporation and he is currently a member of the Board of Directors for the Arthritis Foundation, where he has served since 2014. Mr. Redmond holds a MAS degree from Johns Hopkins University and a BA from the University of Maryland at College Park. He was a 2012 recipient of The Johns Hopkins University Distinguished Alumnus Award. Mr. Redmond brings to our Board significant knowledge of the pharmaceuticals industry and extensive experience as an executive and board member of publicly traded companies.</w:t>
      </w:r>
    </w:p>
    <w:p>
      <w:pPr>
        <w:spacing w:after="0" w:line="182"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b w:val="1"/>
          <w:bCs w:val="1"/>
          <w:i w:val="1"/>
          <w:iCs w:val="1"/>
          <w:color w:val="auto"/>
        </w:rPr>
        <w:t xml:space="preserve">Angus C. Russell. </w:t>
      </w:r>
      <w:r>
        <w:rPr>
          <w:rFonts w:ascii="Arial" w:cs="Arial" w:eastAsia="Arial" w:hAnsi="Arial"/>
          <w:sz w:val="18"/>
          <w:szCs w:val="18"/>
          <w:color w:val="auto"/>
        </w:rPr>
        <w:t>Mr. Russell served as the Chief Executive Officer of Shire plc, a biopharmaceutical company, from June 2008 to April 2013.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Russell served as the Chief Financial Officer of Shire from 1999 to 2008 and also served as its Principal Accounting Officer and Executive Vice President of Global Finance. Prior to joining Shire, Mr. Russell served at ICI, Zeneca and AstraZeneca for 19 years, most recently as Vice President of Corporate Finance at AstraZeneca plc. He is a Chartered Accountant, having qualified with Coopers &amp; Lybrand (now PriceWaterhouseCoopers LLP). Mr. Russell also serves as Chairman of the Board of Directors of Mallinckrodt plc and Revance Therapeutics, Inc. and a director of Therapeutics MD, Inc. Mr. Russell previously served as a director of Shire plc, Questcor Pharmaceuticals, Inc. until it was acquired by Mallinckrodt plc in August 2014, and InterMune, Inc. prior to its acquisition by Roche Holdings, Inc. during September 2014. Mr. Russell brings to our Board numerous years of experience as a Chief Executive Officer of an international publicly traded specialty biopharmaceutical company and his substantial experience as an officer and director in the specialty pharmaceutical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are the names, ages, offices held, tenure, and certain biographical information of each of our executive officers as of April 26, 2019.</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Age</w:t>
            </w:r>
          </w:p>
        </w:tc>
        <w:tc>
          <w:tcPr>
            <w:tcW w:w="4600" w:type="dxa"/>
            <w:vAlign w:val="bottom"/>
            <w:gridSpan w:val="3"/>
          </w:tcPr>
          <w:p>
            <w:pPr>
              <w:ind w:left="100"/>
              <w:spacing w:after="0"/>
              <w:rPr>
                <w:sz w:val="20"/>
                <w:szCs w:val="20"/>
                <w:color w:val="auto"/>
              </w:rPr>
            </w:pPr>
            <w:r>
              <w:rPr>
                <w:rFonts w:ascii="Arial" w:cs="Arial" w:eastAsia="Arial" w:hAnsi="Arial"/>
                <w:sz w:val="18"/>
                <w:szCs w:val="18"/>
                <w:b w:val="1"/>
                <w:bCs w:val="1"/>
                <w:color w:val="auto"/>
              </w:rPr>
              <w:t>Offices</w:t>
            </w:r>
          </w:p>
        </w:tc>
        <w:tc>
          <w:tcPr>
            <w:tcW w:w="1640" w:type="dxa"/>
            <w:vAlign w:val="bottom"/>
          </w:tcPr>
          <w:p>
            <w:pPr>
              <w:spacing w:after="0"/>
              <w:rPr>
                <w:sz w:val="20"/>
                <w:szCs w:val="20"/>
                <w:color w:val="auto"/>
              </w:rPr>
            </w:pPr>
            <w:r>
              <w:rPr>
                <w:rFonts w:ascii="Arial" w:cs="Arial" w:eastAsia="Arial" w:hAnsi="Arial"/>
                <w:sz w:val="18"/>
                <w:szCs w:val="18"/>
                <w:b w:val="1"/>
                <w:bCs w:val="1"/>
                <w:color w:val="auto"/>
              </w:rPr>
              <w:t>Officer Since</w:t>
            </w:r>
          </w:p>
        </w:tc>
      </w:tr>
      <w:tr>
        <w:trPr>
          <w:trHeight w:val="202"/>
        </w:trPr>
        <w:tc>
          <w:tcPr>
            <w:tcW w:w="20" w:type="dxa"/>
            <w:vAlign w:val="bottom"/>
          </w:tcPr>
          <w:p>
            <w:pPr>
              <w:spacing w:after="0"/>
              <w:rPr>
                <w:sz w:val="17"/>
                <w:szCs w:val="17"/>
                <w:color w:val="auto"/>
              </w:rPr>
            </w:pPr>
          </w:p>
        </w:tc>
        <w:tc>
          <w:tcPr>
            <w:tcW w:w="3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Brian M. Culley</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CEO and Director</w:t>
            </w:r>
          </w:p>
        </w:tc>
        <w:tc>
          <w:tcPr>
            <w:tcW w:w="100" w:type="dxa"/>
            <w:vAlign w:val="bottom"/>
          </w:tcPr>
          <w:p>
            <w:pPr>
              <w:spacing w:after="0"/>
              <w:rPr>
                <w:sz w:val="17"/>
                <w:szCs w:val="17"/>
                <w:color w:val="auto"/>
              </w:rPr>
            </w:pPr>
          </w:p>
        </w:tc>
        <w:tc>
          <w:tcPr>
            <w:tcW w:w="1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September 2018</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Brandi L. Roberts</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and Secretary</w:t>
            </w:r>
          </w:p>
        </w:tc>
        <w:tc>
          <w:tcPr>
            <w:tcW w:w="1640" w:type="dxa"/>
            <w:vAlign w:val="bottom"/>
          </w:tcPr>
          <w:p>
            <w:pPr>
              <w:spacing w:after="0"/>
              <w:rPr>
                <w:sz w:val="20"/>
                <w:szCs w:val="20"/>
                <w:color w:val="auto"/>
              </w:rPr>
            </w:pPr>
            <w:r>
              <w:rPr>
                <w:rFonts w:ascii="Arial" w:cs="Arial" w:eastAsia="Arial" w:hAnsi="Arial"/>
                <w:sz w:val="18"/>
                <w:szCs w:val="18"/>
                <w:color w:val="auto"/>
              </w:rPr>
              <w:t>January 2019</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Edward D. Wirth, III, M.D., Ph.D.</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54</w:t>
            </w: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Chief Medical Officer</w:t>
            </w:r>
          </w:p>
        </w:tc>
        <w:tc>
          <w:tcPr>
            <w:tcW w:w="1640" w:type="dxa"/>
            <w:vAlign w:val="bottom"/>
          </w:tcPr>
          <w:p>
            <w:pPr>
              <w:spacing w:after="0"/>
              <w:rPr>
                <w:sz w:val="20"/>
                <w:szCs w:val="20"/>
                <w:color w:val="auto"/>
              </w:rPr>
            </w:pPr>
            <w:r>
              <w:rPr>
                <w:rFonts w:ascii="Arial" w:cs="Arial" w:eastAsia="Arial" w:hAnsi="Arial"/>
                <w:sz w:val="18"/>
                <w:szCs w:val="18"/>
                <w:color w:val="auto"/>
              </w:rPr>
              <w:t>March 2019</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Gary S. Hogge, D.V.M., Ph.D.</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rPr>
              <w:t>Senior Vice President of Clinical &amp; Medical Affairs</w:t>
            </w:r>
          </w:p>
        </w:tc>
        <w:tc>
          <w:tcPr>
            <w:tcW w:w="1640" w:type="dxa"/>
            <w:vAlign w:val="bottom"/>
          </w:tcPr>
          <w:p>
            <w:pPr>
              <w:spacing w:after="0"/>
              <w:rPr>
                <w:sz w:val="20"/>
                <w:szCs w:val="20"/>
                <w:color w:val="auto"/>
              </w:rPr>
            </w:pPr>
            <w:r>
              <w:rPr>
                <w:rFonts w:ascii="Arial" w:cs="Arial" w:eastAsia="Arial" w:hAnsi="Arial"/>
                <w:sz w:val="18"/>
                <w:szCs w:val="18"/>
                <w:color w:val="auto"/>
              </w:rPr>
              <w:t>March 2019</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Culley’s biographical information is included above with those of the other members of our Board.</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Brandi L. Roberts</w:t>
      </w:r>
      <w:r>
        <w:rPr>
          <w:rFonts w:ascii="Arial" w:cs="Arial" w:eastAsia="Arial" w:hAnsi="Arial"/>
          <w:sz w:val="18"/>
          <w:szCs w:val="18"/>
          <w:color w:val="auto"/>
        </w:rPr>
        <w:t>. Ms. Roberts joined BioTime as CFO in January 2019. Prior to joining BioTime, Ms. Roberts served from August 2017 to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 2019 as Chief Financial Officer at REVA Medical, Inc. Ms. Roberts previously served as Chief Financial Officer at Mast Therapeutics, Inc., a publicly traded US-based biopharmaceutical company, from January 2013 to April 2017, having served as its Senior Vice President, Finance from March 2011 to January 2013. Previously, she held senior positions at Alphatec Spine, Artes Medical, Stratagene and Pfizer. Ms. Roberts brings more than 23 years of public accounting and finance experience, including 20 years at publicly traded pharmaceutical, medical technology, and life science companies to her position. Ms. Roberts is a certified public accountant with the State of California and received her B.S. in Business Administration from the University of Arizona and her M.B.A. from the University of San Diego. She also currently serves as Chair of the Southern California Chapter of the Association of Bioscience Financial Officers.</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Edward D. Wirth, III, M.D., Ph.D</w:t>
      </w:r>
      <w:r>
        <w:rPr>
          <w:rFonts w:ascii="Arial" w:cs="Arial" w:eastAsia="Arial" w:hAnsi="Arial"/>
          <w:sz w:val="18"/>
          <w:szCs w:val="18"/>
          <w:color w:val="auto"/>
        </w:rPr>
        <w:t>. Dr. Wirth has been our Chief Medical Officer since March 2019. Prior to joining BioTime, he held the roles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Translational Officer and Chief Medical Officer at Asterias Biotherapeutics, Inc. since March 2013. Dr. Wirth previously served as Chief Science Officer at InVivo Therapeutics Corporation from 2011 to 2012. From 2004 to 2011, Dr. Wirth served as Medical Director for Regenerative Medicine at Geron, where he led the world’s first clinical trial of a human embryonic stem cell derived product, GRNOPC1 in patients with subacute spinal cord injuries. Dr. Wirth held academic appointments at Rush-Presbyterian St. Luke’s Medical Center and at the University of Chicago from 2002 to 2004, and was a member of the faculty of the University of Florida from 1996 to 2002. Dr. Wirth received his Ph.D. and M.D. from the University of Florida in 1992 and 1994,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firstLine="486"/>
        <w:spacing w:after="0" w:line="286" w:lineRule="auto"/>
        <w:rPr>
          <w:sz w:val="20"/>
          <w:szCs w:val="20"/>
          <w:color w:val="auto"/>
        </w:rPr>
      </w:pPr>
      <w:r>
        <w:rPr>
          <w:rFonts w:ascii="Arial" w:cs="Arial" w:eastAsia="Arial" w:hAnsi="Arial"/>
          <w:sz w:val="16"/>
          <w:szCs w:val="16"/>
          <w:b w:val="1"/>
          <w:bCs w:val="1"/>
          <w:i w:val="1"/>
          <w:iCs w:val="1"/>
          <w:color w:val="auto"/>
        </w:rPr>
        <w:t>Gary Hogge, D.V.M., Ph.D</w:t>
      </w:r>
      <w:r>
        <w:rPr>
          <w:rFonts w:ascii="Arial" w:cs="Arial" w:eastAsia="Arial" w:hAnsi="Arial"/>
          <w:sz w:val="16"/>
          <w:szCs w:val="16"/>
          <w:color w:val="auto"/>
        </w:rPr>
        <w:t>. Dr. Hogge joined BioTime as our Senior Vice President of Clinical and Medical Affairs in February 2018. Dr. Hogge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nearly 20 years of experience developing and supporting the commercialization of a number of products over a broad range of therapeutic areas. Dr. Hogge has held a variety of roles of increasing responsibility across multiple therapeutic areas in both clinical development and medical affairs. Previously Gary was the Vice President of Medical Affairs at Questcor Pharmaceuticals and before that held multiple leadership roles in both clinical development and medical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affairs at Elan Pharmaceuticals including responsibility for the global clinical development of Tysabri</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(natalizumab) in Crohn’s disease and multiple sclerosis, and for building and leading the medical affairs function. He served as medical director following the approval and launch of Tysabri. Prior to those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accomplishments, he worked in clinical development for Ceplene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(histamine dihydrochloride) at Maxim Pharmaceuticals and in the immunology research and development group at Pfizer. Dr. Hogge obtained his bachelor’s degree and D.V.M. from Colorado State University, his M.S. and Ph.D. from the University of Wisconsin-Madison and was a visiting scientist at the Queensland Institute of Medical Research QIMR in Brisbane, Australia.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 Arrangements; Legal Proceedings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are no family relationships among any of our directors and executive officers. There are no arrangements or understandings with another person under which our directors and officers was or is to be selected as a director or executive officer. Additionally, none of our directors or executive officers is involved in any legal proceeding that requires disclosure under Item 401(f)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Section 16(a) of Exchange Act requires our directors and executive officers and persons who own more than ten percent (10%) of a registered class of our equity securities to file with the SEC initial reports of ownership and reports of changes in ownership of common shares and other BioTime equity securities. Officers, directors and greater than ten percent beneficial owners are required by SEC regulations to furnish us with copies of all reports they file under Section 16(a).</w:t>
      </w:r>
    </w:p>
    <w:p>
      <w:pPr>
        <w:spacing w:after="0" w:line="187"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To our knowledge, based solely on our review of the copies of such reports furnished to us and written representations from reporting persons, all Section 16(a) filing requirements applicable to our officers, directors, and greater than ten percent beneficial owners were complied with during the fiscal year ended December 31, 2018, except that one Form 3 was filed late by Cavan Redmond.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 xml:space="preserve">We have adopted a Code of Business Conduct and Ethics (“Code of Ethics”) that applies to our principal executive officers, our principal financial officer and accounting officer, our other executive officers, and our directors. The purpose of the Code of Ethics is to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 and in our other public communications; (iii) compliance with applicable governmental rules and regulations; (iv) prompt internal reporting of violations of the Code of Ethics to an appropriate person or persons identified in the Code of Ethics; and (v) accountability for adherence to the Code of Ethics. A copy of our Code of Ethics has been posted on our internet website and can be found at </w:t>
      </w:r>
      <w:r>
        <w:rPr>
          <w:rFonts w:ascii="Arial" w:cs="Arial" w:eastAsia="Arial" w:hAnsi="Arial"/>
          <w:sz w:val="16"/>
          <w:szCs w:val="16"/>
          <w:i w:val="1"/>
          <w:iCs w:val="1"/>
          <w:u w:val="single" w:color="auto"/>
          <w:color w:val="auto"/>
        </w:rPr>
        <w:t>www.biotimeinc.com</w:t>
      </w:r>
      <w:r>
        <w:rPr>
          <w:rFonts w:ascii="Arial" w:cs="Arial" w:eastAsia="Arial" w:hAnsi="Arial"/>
          <w:sz w:val="16"/>
          <w:szCs w:val="16"/>
          <w:color w:val="auto"/>
        </w:rPr>
        <w:t>. We intend to disclose any future amendments to certain provisions of our Code of Ethics, and any waivers of those provisions granted to our principal executive officer, principal financial officer, principal accounting officer or controller or persons performing similar functions, by posting the information on our website within four business days following the date of the amendment or waiver.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The Audit Committee of our Board of Directors is an audit committee established in accordance with Section 3(a)(58)(A) of the Exchange Act. Our Board of Directors has determined that each member of the Audit Committee—Ms. Andrews, Mr. Farrell and Mr. Russell —is able to read and understand fundamental financial statements, including our balance sheet, income statement and cash flow statement. Our Board of Directors has also determined that Ms. Andrews and Mr. Russell qualifies as an “audit committee financial expert,” as defined in Item 407(d)(5) of Regulation S-K. Ms. Andrews’ expertise is based on her experience as Chief Financial Officer and other financial roles of STAAR Surgical Company and as a senior accountant at a major accounting firm. Mr. Russell’s expertise is based on his experience as the Chief Executive Officer and Chief Financial Officer of Shire plc, a biopharmaceutical company. Additionally, each member of the audit committee meets the independent requirements contemplated by Rule 10-3A under the Exchange 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Changes in Stockholder Nomination Procedures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 since such procedures were last described in our proxy statement filed with the SEC on May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 xml:space="preserve">The members of the Compensation Committee are Cavan Redmond (Chair), Deborah Andrews and Stephen C. Farrell. The Compensation Committee oversees our compensation and employee benefit plans and practices, including executive compensation arrangements and incentive plans and awards of stock options and other equity-based awards under our Equity Incentive Plan. The Compensation Committee recommends to our Board of Directors the terms and amount of executive compensation and grants of equity-based awards to executives, key employees, consultants, and independent contractors. The Chief Executive Officer may make recommendations to the Compensation Committee concerning executive compensation and performance, but the Compensation Committee makes its own determination or recommendation to our Board of Directors with respect to the amount and components of compensation, including salary, bonus and equity awards to executive officers, generally taking into account factors such as company performance, individual performance, and compensation paid by peer group companies. A copy of the Compensation Committee Charter has been posted on our internet website and can be found at </w:t>
      </w:r>
      <w:r>
        <w:rPr>
          <w:rFonts w:ascii="Arial" w:cs="Arial" w:eastAsia="Arial" w:hAnsi="Arial"/>
          <w:sz w:val="17"/>
          <w:szCs w:val="17"/>
          <w:i w:val="1"/>
          <w:iCs w:val="1"/>
          <w:color w:val="auto"/>
        </w:rPr>
        <w:t>www.biotimeinc.com</w:t>
      </w:r>
      <w:r>
        <w:rPr>
          <w:rFonts w:ascii="Arial" w:cs="Arial" w:eastAsia="Arial" w:hAnsi="Arial"/>
          <w:sz w:val="17"/>
          <w:szCs w:val="17"/>
          <w:color w:val="auto"/>
        </w:rPr>
        <w:t>.</w:t>
      </w:r>
    </w:p>
    <w:p>
      <w:pPr>
        <w:spacing w:after="0" w:line="182"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We have engaged Marsh &amp; McLennan to provide compensation consulting services and advice to management and the Compensation Committee, which has generally included market survey information and competitive market trends in employee, executive and directors’ compensation programs. Marsh</w:t>
      </w:r>
    </w:p>
    <w:p>
      <w:pPr>
        <w:ind w:firstLine="8"/>
        <w:spacing w:after="0" w:line="323" w:lineRule="auto"/>
        <w:tabs>
          <w:tab w:leader="none" w:pos="189" w:val="left"/>
        </w:tabs>
        <w:numPr>
          <w:ilvl w:val="0"/>
          <w:numId w:val="3"/>
        </w:numPr>
        <w:rPr>
          <w:rFonts w:ascii="Arial" w:cs="Arial" w:eastAsia="Arial" w:hAnsi="Arial"/>
          <w:sz w:val="16"/>
          <w:szCs w:val="16"/>
          <w:color w:val="auto"/>
        </w:rPr>
      </w:pPr>
      <w:r>
        <w:rPr>
          <w:rFonts w:ascii="Arial" w:cs="Arial" w:eastAsia="Arial" w:hAnsi="Arial"/>
          <w:sz w:val="16"/>
          <w:szCs w:val="16"/>
          <w:color w:val="auto"/>
        </w:rPr>
        <w:t>McLennan has also made recommendations to the Compensation Committee with respect to pay mix components such as salary, bonus and equity awards, and the target market pay percentiles in which executive compensation should fall so BioTime can be competitive in executive hiring and retention.</w:t>
      </w:r>
    </w:p>
    <w:p>
      <w:pPr>
        <w:spacing w:after="0" w:line="139"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In reviewing each executive’s overall compensation, the Compensation Committee considers an aggregate view of base salary and bonus opportunities, previous stock option grants, and the dollar value of benefits and perquisites. Executive compensation is also influenced by the cost of living in or commuting to the San Francisco Bay Area. These factors have been balanced against our financial position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shows the compensation awarded to, paid to, or earned by: (1) all individuals serving or having served as our principal executive officer or acting in a similar capacity during 2018, regardless of compensation level; and (2) our two most highly compensated executive officers other than our principal executive officers who were serving as an executive officer at the end of 2018. These individuals, who collectively are referred to as our Named Executive Officers, or NEOs, were: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Brian M. Culley, our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Michael D. West, our former Co-Chief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Aditya P. Mohanty, our former Co-Chief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Russell L. Skibsted, our former Chief Financial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Stephana E. Patton, our former General Counsel.</w:t>
      </w:r>
    </w:p>
    <w:p>
      <w:pPr>
        <w:spacing w:after="0" w:line="225"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Other than Mr. Culley, all of our current executive officers (Ms. Roberts, Dr. Wirth and Dr. Hogge) were appointed to their positions in 2019 and therefore none of them are an NEO for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2018 Summary Compensation Table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Fiscal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7"/>
                <w:szCs w:val="17"/>
                <w:color w:val="auto"/>
              </w:rPr>
            </w:pPr>
          </w:p>
        </w:tc>
        <w:tc>
          <w:tcPr>
            <w:tcW w:w="1160" w:type="dxa"/>
            <w:vAlign w:val="bottom"/>
            <w:gridSpan w:val="2"/>
          </w:tcPr>
          <w:p>
            <w:pPr>
              <w:jc w:val="right"/>
              <w:ind w:right="480"/>
              <w:spacing w:after="0" w:line="202" w:lineRule="exact"/>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All Other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Salary</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Bonus</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line="269" w:lineRule="exact"/>
              <w:rPr>
                <w:sz w:val="20"/>
                <w:szCs w:val="20"/>
                <w:color w:val="auto"/>
              </w:rPr>
            </w:pPr>
            <w:r>
              <w:rPr>
                <w:rFonts w:ascii="Arial" w:cs="Arial" w:eastAsia="Arial" w:hAnsi="Arial"/>
                <w:sz w:val="18"/>
                <w:szCs w:val="18"/>
                <w:b w:val="1"/>
                <w:bCs w:val="1"/>
                <w:color w:val="auto"/>
                <w:w w:val="91"/>
              </w:rPr>
              <w:t>Awards</w:t>
            </w:r>
            <w:r>
              <w:rPr>
                <w:rFonts w:ascii="Arial" w:cs="Arial" w:eastAsia="Arial" w:hAnsi="Arial"/>
                <w:sz w:val="30"/>
                <w:szCs w:val="30"/>
                <w:b w:val="1"/>
                <w:bCs w:val="1"/>
                <w:color w:val="auto"/>
                <w:w w:val="91"/>
                <w:vertAlign w:val="superscript"/>
              </w:rPr>
              <w:t>(4)</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5"/>
              <w:spacing w:after="0" w:line="269" w:lineRule="exact"/>
              <w:rPr>
                <w:sz w:val="20"/>
                <w:szCs w:val="20"/>
                <w:color w:val="auto"/>
              </w:rPr>
            </w:pPr>
            <w:r>
              <w:rPr>
                <w:rFonts w:ascii="Arial" w:cs="Arial" w:eastAsia="Arial" w:hAnsi="Arial"/>
                <w:sz w:val="18"/>
                <w:szCs w:val="18"/>
                <w:b w:val="1"/>
                <w:bCs w:val="1"/>
                <w:color w:val="auto"/>
                <w:w w:val="88"/>
              </w:rPr>
              <w:t xml:space="preserve">Awards </w:t>
            </w:r>
            <w:r>
              <w:rPr>
                <w:rFonts w:ascii="Arial" w:cs="Arial" w:eastAsia="Arial" w:hAnsi="Arial"/>
                <w:sz w:val="30"/>
                <w:szCs w:val="30"/>
                <w:b w:val="1"/>
                <w:bCs w:val="1"/>
                <w:color w:val="auto"/>
                <w:w w:val="88"/>
                <w:vertAlign w:val="superscript"/>
              </w:rPr>
              <w:t>(5)</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Compensation</w:t>
            </w: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2"/>
              </w:rPr>
              <w:t xml:space="preserve">Brian M. Culley </w:t>
            </w:r>
            <w:r>
              <w:rPr>
                <w:rFonts w:ascii="Arial" w:cs="Arial" w:eastAsia="Arial" w:hAnsi="Arial"/>
                <w:sz w:val="29"/>
                <w:szCs w:val="29"/>
                <w:color w:val="auto"/>
                <w:w w:val="92"/>
                <w:vertAlign w:val="superscript"/>
              </w:rPr>
              <w:t>(1)</w:t>
            </w:r>
          </w:p>
        </w:tc>
        <w:tc>
          <w:tcPr>
            <w:tcW w:w="2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ind w:left="61"/>
              <w:spacing w:after="0"/>
              <w:rPr>
                <w:sz w:val="20"/>
                <w:szCs w:val="20"/>
                <w:color w:val="auto"/>
              </w:rPr>
            </w:pPr>
            <w:r>
              <w:rPr>
                <w:rFonts w:ascii="Arial" w:cs="Arial" w:eastAsia="Arial" w:hAnsi="Arial"/>
                <w:sz w:val="18"/>
                <w:szCs w:val="18"/>
                <w:color w:val="auto"/>
                <w:w w:val="89"/>
              </w:rPr>
              <w:t>2018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$ 154,923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$ 1,917,320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7,135</w:t>
            </w:r>
            <w:r>
              <w:rPr>
                <w:rFonts w:ascii="Arial" w:cs="Arial" w:eastAsia="Arial" w:hAnsi="Arial"/>
                <w:sz w:val="15"/>
                <w:szCs w:val="15"/>
                <w:color w:val="auto"/>
              </w:rPr>
              <w:t>(6)</w:t>
            </w:r>
            <w:r>
              <w:rPr>
                <w:rFonts w:ascii="Arial" w:cs="Arial" w:eastAsia="Arial" w:hAnsi="Arial"/>
                <w:sz w:val="18"/>
                <w:szCs w:val="18"/>
                <w:color w:val="auto"/>
              </w:rPr>
              <w:t>$ 2,772,378</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440" w:type="dxa"/>
            <w:vAlign w:val="bottom"/>
            <w:gridSpan w:val="2"/>
          </w:tcPr>
          <w:p>
            <w:pPr>
              <w:spacing w:after="0" w:line="242" w:lineRule="exact"/>
              <w:rPr>
                <w:sz w:val="20"/>
                <w:szCs w:val="20"/>
                <w:color w:val="auto"/>
              </w:rPr>
            </w:pPr>
            <w:r>
              <w:rPr>
                <w:rFonts w:ascii="Arial" w:cs="Arial" w:eastAsia="Arial" w:hAnsi="Arial"/>
                <w:sz w:val="17"/>
                <w:szCs w:val="17"/>
                <w:color w:val="auto"/>
                <w:w w:val="93"/>
              </w:rPr>
              <w:t xml:space="preserve">Michael D. West </w:t>
            </w:r>
            <w:r>
              <w:rPr>
                <w:rFonts w:ascii="Arial" w:cs="Arial" w:eastAsia="Arial" w:hAnsi="Arial"/>
                <w:sz w:val="28"/>
                <w:szCs w:val="28"/>
                <w:color w:val="auto"/>
                <w:w w:val="93"/>
                <w:vertAlign w:val="superscript"/>
              </w:rPr>
              <w:t>(2)</w:t>
            </w:r>
          </w:p>
        </w:tc>
        <w:tc>
          <w:tcPr>
            <w:tcW w:w="2340" w:type="dxa"/>
            <w:vAlign w:val="bottom"/>
          </w:tcPr>
          <w:p>
            <w:pPr>
              <w:spacing w:after="0"/>
              <w:rPr>
                <w:sz w:val="21"/>
                <w:szCs w:val="21"/>
                <w:color w:val="auto"/>
              </w:rPr>
            </w:pPr>
          </w:p>
        </w:tc>
        <w:tc>
          <w:tcPr>
            <w:tcW w:w="680" w:type="dxa"/>
            <w:vAlign w:val="bottom"/>
            <w:gridSpan w:val="2"/>
          </w:tcPr>
          <w:p>
            <w:pPr>
              <w:jc w:val="center"/>
              <w:ind w:left="61"/>
              <w:spacing w:after="0"/>
              <w:rPr>
                <w:sz w:val="20"/>
                <w:szCs w:val="20"/>
                <w:color w:val="auto"/>
              </w:rPr>
            </w:pPr>
            <w:r>
              <w:rPr>
                <w:rFonts w:ascii="Arial" w:cs="Arial" w:eastAsia="Arial" w:hAnsi="Arial"/>
                <w:sz w:val="18"/>
                <w:szCs w:val="18"/>
                <w:color w:val="auto"/>
                <w:w w:val="89"/>
              </w:rPr>
              <w:t>2018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489,303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48,750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36,781</w:t>
            </w:r>
          </w:p>
        </w:tc>
        <w:tc>
          <w:tcPr>
            <w:tcW w:w="1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790,279</w:t>
            </w:r>
            <w:r>
              <w:rPr>
                <w:rFonts w:ascii="Arial" w:cs="Arial" w:eastAsia="Arial" w:hAnsi="Arial"/>
                <w:sz w:val="15"/>
                <w:szCs w:val="15"/>
                <w:color w:val="auto"/>
              </w:rPr>
              <w:t>(7)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1,365,113</w:t>
            </w:r>
          </w:p>
        </w:tc>
        <w:tc>
          <w:tcPr>
            <w:tcW w:w="0" w:type="dxa"/>
            <w:vAlign w:val="bottom"/>
          </w:tcPr>
          <w:p>
            <w:pPr>
              <w:spacing w:after="0"/>
              <w:rPr>
                <w:sz w:val="1"/>
                <w:szCs w:val="1"/>
                <w:color w:val="auto"/>
              </w:rPr>
            </w:pPr>
          </w:p>
        </w:tc>
      </w:tr>
      <w:tr>
        <w:trPr>
          <w:trHeight w:val="29"/>
        </w:trPr>
        <w:tc>
          <w:tcPr>
            <w:tcW w:w="3780" w:type="dxa"/>
            <w:vAlign w:val="bottom"/>
            <w:gridSpan w:val="3"/>
          </w:tcPr>
          <w:p>
            <w:pPr>
              <w:spacing w:after="0" w:line="30" w:lineRule="exact"/>
              <w:rPr>
                <w:sz w:val="20"/>
                <w:szCs w:val="20"/>
                <w:color w:val="auto"/>
              </w:rPr>
            </w:pPr>
            <w:r>
              <w:rPr>
                <w:rFonts w:ascii="Arial" w:cs="Arial" w:eastAsia="Arial" w:hAnsi="Arial"/>
                <w:sz w:val="3"/>
                <w:szCs w:val="3"/>
                <w:i w:val="1"/>
                <w:iCs w:val="1"/>
                <w:color w:val="auto"/>
              </w:rPr>
              <w:t>Former Co-Chief Executive Officer</w:t>
            </w:r>
          </w:p>
        </w:tc>
        <w:tc>
          <w:tcPr>
            <w:tcW w:w="680" w:type="dxa"/>
            <w:vAlign w:val="bottom"/>
            <w:gridSpan w:val="2"/>
          </w:tcPr>
          <w:p>
            <w:pPr>
              <w:jc w:val="center"/>
              <w:ind w:left="61"/>
              <w:spacing w:after="0" w:line="30" w:lineRule="exact"/>
              <w:rPr>
                <w:sz w:val="20"/>
                <w:szCs w:val="20"/>
                <w:color w:val="auto"/>
              </w:rPr>
            </w:pPr>
            <w:r>
              <w:rPr>
                <w:rFonts w:ascii="Arial" w:cs="Arial" w:eastAsia="Arial" w:hAnsi="Arial"/>
                <w:sz w:val="3"/>
                <w:szCs w:val="3"/>
                <w:color w:val="auto"/>
              </w:rPr>
              <w:t>2017</w:t>
            </w:r>
          </w:p>
        </w:tc>
        <w:tc>
          <w:tcPr>
            <w:tcW w:w="1120" w:type="dxa"/>
            <w:vAlign w:val="bottom"/>
            <w:gridSpan w:val="3"/>
          </w:tcPr>
          <w:p>
            <w:pPr>
              <w:jc w:val="right"/>
              <w:ind w:right="120"/>
              <w:spacing w:after="0" w:line="30" w:lineRule="exact"/>
              <w:rPr>
                <w:sz w:val="20"/>
                <w:szCs w:val="20"/>
                <w:color w:val="auto"/>
              </w:rPr>
            </w:pPr>
            <w:r>
              <w:rPr>
                <w:rFonts w:ascii="Arial" w:cs="Arial" w:eastAsia="Arial" w:hAnsi="Arial"/>
                <w:sz w:val="3"/>
                <w:szCs w:val="3"/>
                <w:color w:val="auto"/>
              </w:rPr>
              <w:t>680,315</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jc w:val="right"/>
              <w:ind w:right="220"/>
              <w:spacing w:after="0" w:line="30" w:lineRule="exact"/>
              <w:rPr>
                <w:sz w:val="20"/>
                <w:szCs w:val="20"/>
                <w:color w:val="auto"/>
              </w:rPr>
            </w:pPr>
            <w:r>
              <w:rPr>
                <w:rFonts w:ascii="Arial" w:cs="Arial" w:eastAsia="Arial" w:hAnsi="Arial"/>
                <w:sz w:val="3"/>
                <w:szCs w:val="3"/>
                <w:color w:val="auto"/>
              </w:rPr>
              <w:t>65,000</w:t>
            </w:r>
          </w:p>
        </w:tc>
        <w:tc>
          <w:tcPr>
            <w:tcW w:w="1120" w:type="dxa"/>
            <w:vAlign w:val="bottom"/>
            <w:gridSpan w:val="2"/>
          </w:tcPr>
          <w:p>
            <w:pPr>
              <w:jc w:val="right"/>
              <w:ind w:right="220"/>
              <w:spacing w:after="0" w:line="30" w:lineRule="exact"/>
              <w:rPr>
                <w:sz w:val="20"/>
                <w:szCs w:val="20"/>
                <w:color w:val="auto"/>
              </w:rPr>
            </w:pPr>
            <w:r>
              <w:rPr>
                <w:rFonts w:ascii="Arial" w:cs="Arial" w:eastAsia="Arial" w:hAnsi="Arial"/>
                <w:sz w:val="3"/>
                <w:szCs w:val="3"/>
                <w:color w:val="auto"/>
              </w:rPr>
              <w:t>865,720</w:t>
            </w:r>
          </w:p>
        </w:tc>
        <w:tc>
          <w:tcPr>
            <w:tcW w:w="160" w:type="dxa"/>
            <w:vAlign w:val="bottom"/>
          </w:tcPr>
          <w:p>
            <w:pPr>
              <w:spacing w:after="0"/>
              <w:rPr>
                <w:sz w:val="2"/>
                <w:szCs w:val="2"/>
                <w:color w:val="auto"/>
              </w:rPr>
            </w:pPr>
          </w:p>
        </w:tc>
        <w:tc>
          <w:tcPr>
            <w:tcW w:w="1080" w:type="dxa"/>
            <w:vAlign w:val="bottom"/>
          </w:tcPr>
          <w:p>
            <w:pPr>
              <w:jc w:val="right"/>
              <w:spacing w:after="0" w:line="30" w:lineRule="exact"/>
              <w:rPr>
                <w:sz w:val="20"/>
                <w:szCs w:val="20"/>
                <w:color w:val="auto"/>
              </w:rPr>
            </w:pPr>
            <w:r>
              <w:rPr>
                <w:rFonts w:ascii="Arial" w:cs="Arial" w:eastAsia="Arial" w:hAnsi="Arial"/>
                <w:sz w:val="3"/>
                <w:szCs w:val="3"/>
                <w:color w:val="auto"/>
              </w:rPr>
              <w:t>-</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jc w:val="right"/>
              <w:ind w:right="180"/>
              <w:spacing w:after="0" w:line="30" w:lineRule="exact"/>
              <w:rPr>
                <w:sz w:val="20"/>
                <w:szCs w:val="20"/>
                <w:color w:val="auto"/>
              </w:rPr>
            </w:pPr>
            <w:r>
              <w:rPr>
                <w:rFonts w:ascii="Arial" w:cs="Arial" w:eastAsia="Arial" w:hAnsi="Arial"/>
                <w:sz w:val="3"/>
                <w:szCs w:val="3"/>
                <w:color w:val="auto"/>
              </w:rPr>
              <w:t>13,500</w:t>
            </w:r>
          </w:p>
        </w:tc>
        <w:tc>
          <w:tcPr>
            <w:tcW w:w="940" w:type="dxa"/>
            <w:vAlign w:val="bottom"/>
            <w:gridSpan w:val="2"/>
          </w:tcPr>
          <w:p>
            <w:pPr>
              <w:jc w:val="right"/>
              <w:ind w:right="100"/>
              <w:spacing w:after="0" w:line="30" w:lineRule="exact"/>
              <w:rPr>
                <w:sz w:val="20"/>
                <w:szCs w:val="20"/>
                <w:color w:val="auto"/>
              </w:rPr>
            </w:pPr>
            <w:r>
              <w:rPr>
                <w:rFonts w:ascii="Arial" w:cs="Arial" w:eastAsia="Arial" w:hAnsi="Arial"/>
                <w:sz w:val="3"/>
                <w:szCs w:val="3"/>
                <w:color w:val="auto"/>
              </w:rPr>
              <w:t>1,624,535</w:t>
            </w:r>
          </w:p>
        </w:tc>
        <w:tc>
          <w:tcPr>
            <w:tcW w:w="0" w:type="dxa"/>
            <w:vAlign w:val="bottom"/>
          </w:tcPr>
          <w:p>
            <w:pPr>
              <w:spacing w:after="0" w:line="20" w:lineRule="exact"/>
              <w:rPr>
                <w:sz w:val="1"/>
                <w:szCs w:val="1"/>
                <w:color w:val="auto"/>
              </w:rPr>
            </w:pPr>
          </w:p>
        </w:tc>
      </w:tr>
      <w:tr>
        <w:trPr>
          <w:trHeight w:val="190"/>
        </w:trPr>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780" w:type="dxa"/>
            <w:vAlign w:val="bottom"/>
            <w:gridSpan w:val="3"/>
            <w:shd w:val="clear" w:color="auto" w:fill="CCEEFF"/>
          </w:tcPr>
          <w:p>
            <w:pPr>
              <w:spacing w:after="0" w:line="268" w:lineRule="exact"/>
              <w:rPr>
                <w:sz w:val="20"/>
                <w:szCs w:val="20"/>
                <w:color w:val="auto"/>
              </w:rPr>
            </w:pPr>
            <w:r>
              <w:rPr>
                <w:rFonts w:ascii="Arial" w:cs="Arial" w:eastAsia="Arial" w:hAnsi="Arial"/>
                <w:sz w:val="18"/>
                <w:szCs w:val="18"/>
                <w:color w:val="auto"/>
              </w:rPr>
              <w:t xml:space="preserve">Aditya P. Mohanty </w:t>
            </w:r>
            <w:r>
              <w:rPr>
                <w:rFonts w:ascii="Arial" w:cs="Arial" w:eastAsia="Arial" w:hAnsi="Arial"/>
                <w:sz w:val="30"/>
                <w:szCs w:val="30"/>
                <w:color w:val="auto"/>
                <w:vertAlign w:val="superscript"/>
              </w:rPr>
              <w:t>(2)</w:t>
            </w:r>
          </w:p>
        </w:tc>
        <w:tc>
          <w:tcPr>
            <w:tcW w:w="680" w:type="dxa"/>
            <w:vAlign w:val="bottom"/>
            <w:gridSpan w:val="2"/>
            <w:shd w:val="clear" w:color="auto" w:fill="CCEEFF"/>
          </w:tcPr>
          <w:p>
            <w:pPr>
              <w:jc w:val="center"/>
              <w:ind w:left="61"/>
              <w:spacing w:after="0"/>
              <w:rPr>
                <w:sz w:val="20"/>
                <w:szCs w:val="20"/>
                <w:color w:val="auto"/>
              </w:rPr>
            </w:pPr>
            <w:r>
              <w:rPr>
                <w:rFonts w:ascii="Arial" w:cs="Arial" w:eastAsia="Arial" w:hAnsi="Arial"/>
                <w:sz w:val="18"/>
                <w:szCs w:val="18"/>
                <w:color w:val="auto"/>
                <w:w w:val="89"/>
              </w:rPr>
              <w:t>2018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378,869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278,063</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235,298</w:t>
            </w:r>
            <w:r>
              <w:rPr>
                <w:rFonts w:ascii="Arial" w:cs="Arial" w:eastAsia="Arial" w:hAnsi="Arial"/>
                <w:sz w:val="15"/>
                <w:szCs w:val="15"/>
                <w:color w:val="auto"/>
              </w:rPr>
              <w:t>(8)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1,323,027</w:t>
            </w:r>
          </w:p>
        </w:tc>
        <w:tc>
          <w:tcPr>
            <w:tcW w:w="0" w:type="dxa"/>
            <w:vAlign w:val="bottom"/>
          </w:tcPr>
          <w:p>
            <w:pPr>
              <w:spacing w:after="0"/>
              <w:rPr>
                <w:sz w:val="1"/>
                <w:szCs w:val="1"/>
                <w:color w:val="auto"/>
              </w:rPr>
            </w:pPr>
          </w:p>
        </w:tc>
      </w:tr>
      <w:tr>
        <w:trPr>
          <w:trHeight w:val="15"/>
        </w:trPr>
        <w:tc>
          <w:tcPr>
            <w:tcW w:w="3780" w:type="dxa"/>
            <w:vAlign w:val="bottom"/>
            <w:gridSpan w:val="3"/>
            <w:shd w:val="clear" w:color="auto" w:fill="CCEEFF"/>
          </w:tcPr>
          <w:p>
            <w:pPr>
              <w:spacing w:after="0"/>
              <w:rPr>
                <w:sz w:val="20"/>
                <w:szCs w:val="20"/>
                <w:color w:val="auto"/>
              </w:rPr>
            </w:pPr>
            <w:r>
              <w:rPr>
                <w:rFonts w:ascii="Arial" w:cs="Arial" w:eastAsia="Arial" w:hAnsi="Arial"/>
                <w:sz w:val="1"/>
                <w:szCs w:val="1"/>
                <w:i w:val="1"/>
                <w:iCs w:val="1"/>
                <w:color w:val="auto"/>
              </w:rPr>
              <w:t>Former Co-Chief Executive Officer</w:t>
            </w:r>
          </w:p>
        </w:tc>
        <w:tc>
          <w:tcPr>
            <w:tcW w:w="680" w:type="dxa"/>
            <w:vAlign w:val="bottom"/>
            <w:gridSpan w:val="2"/>
            <w:shd w:val="clear" w:color="auto" w:fill="CCEEFF"/>
          </w:tcPr>
          <w:p>
            <w:pPr>
              <w:jc w:val="center"/>
              <w:ind w:left="61"/>
              <w:spacing w:after="0"/>
              <w:rPr>
                <w:sz w:val="20"/>
                <w:szCs w:val="20"/>
                <w:color w:val="auto"/>
              </w:rPr>
            </w:pPr>
            <w:r>
              <w:rPr>
                <w:rFonts w:ascii="Arial" w:cs="Arial" w:eastAsia="Arial" w:hAnsi="Arial"/>
                <w:sz w:val="1"/>
                <w:szCs w:val="1"/>
                <w:color w:val="auto"/>
              </w:rPr>
              <w:t>2017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
                <w:szCs w:val="1"/>
                <w:color w:val="auto"/>
              </w:rPr>
              <w:t>511,423</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206,000</w:t>
            </w:r>
          </w:p>
        </w:tc>
        <w:tc>
          <w:tcPr>
            <w:tcW w:w="900" w:type="dxa"/>
            <w:vAlign w:val="bottom"/>
            <w:shd w:val="clear" w:color="auto" w:fill="CCEEFF"/>
          </w:tcPr>
          <w:p>
            <w:pPr>
              <w:jc w:val="right"/>
              <w:spacing w:after="0"/>
              <w:rPr>
                <w:sz w:val="20"/>
                <w:szCs w:val="20"/>
                <w:color w:val="auto"/>
              </w:rPr>
            </w:pPr>
            <w:r>
              <w:rPr>
                <w:rFonts w:ascii="Arial" w:cs="Arial" w:eastAsia="Arial" w:hAnsi="Arial"/>
                <w:sz w:val="1"/>
                <w:szCs w:val="1"/>
                <w:color w:val="auto"/>
              </w:rPr>
              <w:t>1,135,467</w:t>
            </w: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13,500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1,866,390</w:t>
            </w: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line="162" w:lineRule="exact"/>
              <w:rPr>
                <w:sz w:val="20"/>
                <w:szCs w:val="20"/>
                <w:color w:val="auto"/>
              </w:rPr>
            </w:pPr>
            <w:r>
              <w:rPr>
                <w:rFonts w:ascii="Arial" w:cs="Arial" w:eastAsia="Arial" w:hAnsi="Arial"/>
                <w:sz w:val="18"/>
                <w:szCs w:val="18"/>
                <w:color w:val="auto"/>
                <w:w w:val="91"/>
              </w:rPr>
              <w:t>Russell L. Skibsted</w:t>
            </w:r>
          </w:p>
        </w:tc>
        <w:tc>
          <w:tcPr>
            <w:tcW w:w="20" w:type="dxa"/>
            <w:vAlign w:val="bottom"/>
          </w:tcPr>
          <w:p>
            <w:pPr>
              <w:spacing w:after="0"/>
              <w:rPr>
                <w:sz w:val="14"/>
                <w:szCs w:val="14"/>
                <w:color w:val="auto"/>
              </w:rPr>
            </w:pPr>
          </w:p>
        </w:tc>
        <w:tc>
          <w:tcPr>
            <w:tcW w:w="2340" w:type="dxa"/>
            <w:vAlign w:val="bottom"/>
          </w:tcPr>
          <w:p>
            <w:pPr>
              <w:jc w:val="right"/>
              <w:ind w:right="2085"/>
              <w:spacing w:after="0" w:line="162" w:lineRule="exact"/>
              <w:rPr>
                <w:sz w:val="20"/>
                <w:szCs w:val="20"/>
                <w:color w:val="auto"/>
              </w:rPr>
            </w:pPr>
            <w:r>
              <w:rPr>
                <w:rFonts w:ascii="Arial" w:cs="Arial" w:eastAsia="Arial" w:hAnsi="Arial"/>
                <w:sz w:val="15"/>
                <w:szCs w:val="15"/>
                <w:color w:val="auto"/>
                <w:w w:val="87"/>
              </w:rPr>
              <w:t>(3)</w:t>
            </w:r>
          </w:p>
        </w:tc>
        <w:tc>
          <w:tcPr>
            <w:tcW w:w="680" w:type="dxa"/>
            <w:vAlign w:val="bottom"/>
            <w:gridSpan w:val="2"/>
          </w:tcPr>
          <w:p>
            <w:pPr>
              <w:jc w:val="center"/>
              <w:ind w:left="61"/>
              <w:spacing w:after="0" w:line="162" w:lineRule="exact"/>
              <w:rPr>
                <w:sz w:val="20"/>
                <w:szCs w:val="20"/>
                <w:color w:val="auto"/>
              </w:rPr>
            </w:pPr>
            <w:r>
              <w:rPr>
                <w:rFonts w:ascii="Arial" w:cs="Arial" w:eastAsia="Arial" w:hAnsi="Arial"/>
                <w:sz w:val="18"/>
                <w:szCs w:val="18"/>
                <w:color w:val="auto"/>
                <w:w w:val="89"/>
              </w:rPr>
              <w:t>2018</w:t>
            </w:r>
          </w:p>
        </w:tc>
        <w:tc>
          <w:tcPr>
            <w:tcW w:w="1120" w:type="dxa"/>
            <w:vAlign w:val="bottom"/>
            <w:gridSpan w:val="3"/>
          </w:tcPr>
          <w:p>
            <w:pPr>
              <w:jc w:val="right"/>
              <w:ind w:right="120"/>
              <w:spacing w:after="0" w:line="162" w:lineRule="exact"/>
              <w:rPr>
                <w:sz w:val="20"/>
                <w:szCs w:val="20"/>
                <w:color w:val="auto"/>
              </w:rPr>
            </w:pPr>
            <w:r>
              <w:rPr>
                <w:rFonts w:ascii="Arial" w:cs="Arial" w:eastAsia="Arial" w:hAnsi="Arial"/>
                <w:sz w:val="18"/>
                <w:szCs w:val="18"/>
                <w:color w:val="auto"/>
              </w:rPr>
              <w:t>381,468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w w:val="89"/>
              </w:rPr>
              <w:t>100,000</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208,869</w:t>
            </w:r>
          </w:p>
        </w:tc>
        <w:tc>
          <w:tcPr>
            <w:tcW w:w="160" w:type="dxa"/>
            <w:vAlign w:val="bottom"/>
          </w:tcPr>
          <w:p>
            <w:pPr>
              <w:spacing w:after="0"/>
              <w:rPr>
                <w:sz w:val="14"/>
                <w:szCs w:val="14"/>
                <w:color w:val="auto"/>
              </w:rPr>
            </w:pPr>
          </w:p>
        </w:tc>
        <w:tc>
          <w:tcPr>
            <w:tcW w:w="116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48,150</w:t>
            </w:r>
          </w:p>
        </w:tc>
        <w:tc>
          <w:tcPr>
            <w:tcW w:w="140" w:type="dxa"/>
            <w:vAlign w:val="bottom"/>
          </w:tcPr>
          <w:p>
            <w:pPr>
              <w:spacing w:after="0"/>
              <w:rPr>
                <w:sz w:val="14"/>
                <w:szCs w:val="14"/>
                <w:color w:val="auto"/>
              </w:rPr>
            </w:pPr>
          </w:p>
        </w:tc>
        <w:tc>
          <w:tcPr>
            <w:tcW w:w="1300" w:type="dxa"/>
            <w:vAlign w:val="bottom"/>
            <w:gridSpan w:val="2"/>
          </w:tcPr>
          <w:p>
            <w:pPr>
              <w:jc w:val="right"/>
              <w:ind w:right="180"/>
              <w:spacing w:after="0" w:line="162" w:lineRule="exact"/>
              <w:rPr>
                <w:sz w:val="20"/>
                <w:szCs w:val="20"/>
                <w:color w:val="auto"/>
              </w:rPr>
            </w:pPr>
            <w:r>
              <w:rPr>
                <w:rFonts w:ascii="Arial" w:cs="Arial" w:eastAsia="Arial" w:hAnsi="Arial"/>
                <w:sz w:val="18"/>
                <w:szCs w:val="18"/>
                <w:color w:val="auto"/>
              </w:rPr>
              <w:t>13,750</w:t>
            </w:r>
          </w:p>
        </w:tc>
        <w:tc>
          <w:tcPr>
            <w:tcW w:w="940" w:type="dxa"/>
            <w:vAlign w:val="bottom"/>
            <w:gridSpan w:val="2"/>
          </w:tcPr>
          <w:p>
            <w:pPr>
              <w:jc w:val="right"/>
              <w:ind w:right="100"/>
              <w:spacing w:after="0" w:line="162" w:lineRule="exact"/>
              <w:rPr>
                <w:sz w:val="20"/>
                <w:szCs w:val="20"/>
                <w:color w:val="auto"/>
              </w:rPr>
            </w:pPr>
            <w:r>
              <w:rPr>
                <w:rFonts w:ascii="Arial" w:cs="Arial" w:eastAsia="Arial" w:hAnsi="Arial"/>
                <w:sz w:val="18"/>
                <w:szCs w:val="18"/>
                <w:color w:val="auto"/>
              </w:rPr>
              <w:t>752,237</w:t>
            </w:r>
          </w:p>
        </w:tc>
        <w:tc>
          <w:tcPr>
            <w:tcW w:w="0" w:type="dxa"/>
            <w:vAlign w:val="bottom"/>
          </w:tcPr>
          <w:p>
            <w:pPr>
              <w:spacing w:after="0"/>
              <w:rPr>
                <w:sz w:val="1"/>
                <w:szCs w:val="1"/>
                <w:color w:val="auto"/>
              </w:rPr>
            </w:pPr>
          </w:p>
        </w:tc>
      </w:tr>
      <w:tr>
        <w:trPr>
          <w:trHeight w:val="80"/>
        </w:trPr>
        <w:tc>
          <w:tcPr>
            <w:tcW w:w="3780" w:type="dxa"/>
            <w:vAlign w:val="bottom"/>
            <w:gridSpan w:val="3"/>
            <w:vMerge w:val="restart"/>
          </w:tcPr>
          <w:p>
            <w:pPr>
              <w:spacing w:after="0" w:line="110" w:lineRule="exact"/>
              <w:rPr>
                <w:sz w:val="20"/>
                <w:szCs w:val="20"/>
                <w:color w:val="auto"/>
              </w:rPr>
            </w:pPr>
            <w:r>
              <w:rPr>
                <w:rFonts w:ascii="Arial" w:cs="Arial" w:eastAsia="Arial" w:hAnsi="Arial"/>
                <w:sz w:val="12"/>
                <w:szCs w:val="12"/>
                <w:i w:val="1"/>
                <w:iCs w:val="1"/>
                <w:color w:val="auto"/>
              </w:rPr>
              <w:t>Former Chief Financial Officer</w:t>
            </w:r>
          </w:p>
        </w:tc>
        <w:tc>
          <w:tcPr>
            <w:tcW w:w="680" w:type="dxa"/>
            <w:vAlign w:val="bottom"/>
            <w:gridSpan w:val="2"/>
            <w:vMerge w:val="restart"/>
          </w:tcPr>
          <w:p>
            <w:pPr>
              <w:jc w:val="center"/>
              <w:ind w:left="61"/>
              <w:spacing w:after="0" w:line="110" w:lineRule="exact"/>
              <w:rPr>
                <w:sz w:val="20"/>
                <w:szCs w:val="20"/>
                <w:color w:val="auto"/>
              </w:rPr>
            </w:pPr>
            <w:r>
              <w:rPr>
                <w:rFonts w:ascii="Arial" w:cs="Arial" w:eastAsia="Arial" w:hAnsi="Arial"/>
                <w:sz w:val="12"/>
                <w:szCs w:val="12"/>
                <w:color w:val="auto"/>
              </w:rPr>
              <w:t>2017</w:t>
            </w:r>
          </w:p>
        </w:tc>
        <w:tc>
          <w:tcPr>
            <w:tcW w:w="1120" w:type="dxa"/>
            <w:vAlign w:val="bottom"/>
            <w:gridSpan w:val="3"/>
            <w:vMerge w:val="restart"/>
          </w:tcPr>
          <w:p>
            <w:pPr>
              <w:jc w:val="right"/>
              <w:ind w:right="120"/>
              <w:spacing w:after="0" w:line="110" w:lineRule="exact"/>
              <w:rPr>
                <w:sz w:val="20"/>
                <w:szCs w:val="20"/>
                <w:color w:val="auto"/>
              </w:rPr>
            </w:pPr>
            <w:r>
              <w:rPr>
                <w:rFonts w:ascii="Arial" w:cs="Arial" w:eastAsia="Arial" w:hAnsi="Arial"/>
                <w:sz w:val="12"/>
                <w:szCs w:val="12"/>
                <w:color w:val="auto"/>
              </w:rPr>
              <w:t>368,225</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right"/>
              <w:ind w:right="220"/>
              <w:spacing w:after="0" w:line="110" w:lineRule="exact"/>
              <w:rPr>
                <w:sz w:val="20"/>
                <w:szCs w:val="20"/>
                <w:color w:val="auto"/>
              </w:rPr>
            </w:pPr>
            <w:r>
              <w:rPr>
                <w:rFonts w:ascii="Arial" w:cs="Arial" w:eastAsia="Arial" w:hAnsi="Arial"/>
                <w:sz w:val="12"/>
                <w:szCs w:val="12"/>
                <w:color w:val="auto"/>
              </w:rPr>
              <w:t>108,000</w:t>
            </w:r>
          </w:p>
        </w:tc>
        <w:tc>
          <w:tcPr>
            <w:tcW w:w="1120" w:type="dxa"/>
            <w:vAlign w:val="bottom"/>
            <w:gridSpan w:val="2"/>
            <w:vMerge w:val="restart"/>
          </w:tcPr>
          <w:p>
            <w:pPr>
              <w:jc w:val="right"/>
              <w:ind w:right="220"/>
              <w:spacing w:after="0" w:line="110" w:lineRule="exact"/>
              <w:rPr>
                <w:sz w:val="20"/>
                <w:szCs w:val="20"/>
                <w:color w:val="auto"/>
              </w:rPr>
            </w:pPr>
            <w:r>
              <w:rPr>
                <w:rFonts w:ascii="Arial" w:cs="Arial" w:eastAsia="Arial" w:hAnsi="Arial"/>
                <w:sz w:val="12"/>
                <w:szCs w:val="12"/>
                <w:color w:val="auto"/>
              </w:rPr>
              <w:t>433,036</w:t>
            </w:r>
          </w:p>
        </w:tc>
        <w:tc>
          <w:tcPr>
            <w:tcW w:w="160" w:type="dxa"/>
            <w:vAlign w:val="bottom"/>
          </w:tcPr>
          <w:p>
            <w:pPr>
              <w:spacing w:after="0"/>
              <w:rPr>
                <w:sz w:val="6"/>
                <w:szCs w:val="6"/>
                <w:color w:val="auto"/>
              </w:rPr>
            </w:pPr>
          </w:p>
        </w:tc>
        <w:tc>
          <w:tcPr>
            <w:tcW w:w="1080" w:type="dxa"/>
            <w:vAlign w:val="bottom"/>
            <w:vMerge w:val="restart"/>
          </w:tcPr>
          <w:p>
            <w:pPr>
              <w:jc w:val="right"/>
              <w:spacing w:after="0" w:line="11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tcPr>
          <w:p>
            <w:pPr>
              <w:jc w:val="right"/>
              <w:spacing w:after="0" w:line="80" w:lineRule="exact"/>
              <w:rPr>
                <w:sz w:val="20"/>
                <w:szCs w:val="20"/>
                <w:color w:val="auto"/>
              </w:rPr>
            </w:pPr>
            <w:r>
              <w:rPr>
                <w:rFonts w:ascii="Arial" w:cs="Arial" w:eastAsia="Arial" w:hAnsi="Arial"/>
                <w:sz w:val="9"/>
                <w:szCs w:val="9"/>
                <w:color w:val="auto"/>
              </w:rPr>
              <w:t>(6)</w:t>
            </w:r>
          </w:p>
        </w:tc>
        <w:tc>
          <w:tcPr>
            <w:tcW w:w="940" w:type="dxa"/>
            <w:vAlign w:val="bottom"/>
            <w:gridSpan w:val="2"/>
            <w:vMerge w:val="restart"/>
          </w:tcPr>
          <w:p>
            <w:pPr>
              <w:jc w:val="right"/>
              <w:ind w:right="100"/>
              <w:spacing w:after="0" w:line="110" w:lineRule="exact"/>
              <w:rPr>
                <w:sz w:val="20"/>
                <w:szCs w:val="20"/>
                <w:color w:val="auto"/>
              </w:rPr>
            </w:pPr>
            <w:r>
              <w:rPr>
                <w:rFonts w:ascii="Arial" w:cs="Arial" w:eastAsia="Arial" w:hAnsi="Arial"/>
                <w:sz w:val="12"/>
                <w:szCs w:val="12"/>
                <w:color w:val="auto"/>
              </w:rPr>
              <w:t>922,761</w:t>
            </w:r>
          </w:p>
        </w:tc>
        <w:tc>
          <w:tcPr>
            <w:tcW w:w="0" w:type="dxa"/>
            <w:vAlign w:val="bottom"/>
          </w:tcPr>
          <w:p>
            <w:pPr>
              <w:spacing w:after="0"/>
              <w:rPr>
                <w:sz w:val="1"/>
                <w:szCs w:val="1"/>
                <w:color w:val="auto"/>
              </w:rPr>
            </w:pPr>
          </w:p>
        </w:tc>
      </w:tr>
      <w:tr>
        <w:trPr>
          <w:trHeight w:val="29"/>
        </w:trPr>
        <w:tc>
          <w:tcPr>
            <w:tcW w:w="3780" w:type="dxa"/>
            <w:vAlign w:val="bottom"/>
            <w:gridSpan w:val="3"/>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jc w:val="right"/>
              <w:ind w:right="180"/>
              <w:spacing w:after="0" w:line="30" w:lineRule="exact"/>
              <w:rPr>
                <w:sz w:val="20"/>
                <w:szCs w:val="20"/>
                <w:color w:val="auto"/>
              </w:rPr>
            </w:pPr>
            <w:r>
              <w:rPr>
                <w:rFonts w:ascii="Arial" w:cs="Arial" w:eastAsia="Arial" w:hAnsi="Arial"/>
                <w:sz w:val="3"/>
                <w:szCs w:val="3"/>
                <w:color w:val="auto"/>
              </w:rPr>
              <w:t>13,500</w:t>
            </w: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20" w:type="dxa"/>
            <w:vAlign w:val="bottom"/>
            <w:shd w:val="clear" w:color="auto" w:fill="CCEEFF"/>
          </w:tcPr>
          <w:p>
            <w:pPr>
              <w:spacing w:after="0" w:line="168" w:lineRule="exact"/>
              <w:rPr>
                <w:sz w:val="20"/>
                <w:szCs w:val="20"/>
                <w:color w:val="auto"/>
              </w:rPr>
            </w:pPr>
            <w:r>
              <w:rPr>
                <w:rFonts w:ascii="Arial" w:cs="Arial" w:eastAsia="Arial" w:hAnsi="Arial"/>
                <w:sz w:val="18"/>
                <w:szCs w:val="18"/>
                <w:color w:val="auto"/>
                <w:w w:val="89"/>
              </w:rPr>
              <w:t>Stephana E. Patton</w:t>
            </w:r>
          </w:p>
        </w:tc>
        <w:tc>
          <w:tcPr>
            <w:tcW w:w="2360" w:type="dxa"/>
            <w:vAlign w:val="bottom"/>
            <w:gridSpan w:val="2"/>
            <w:shd w:val="clear" w:color="auto" w:fill="CCEEFF"/>
          </w:tcPr>
          <w:p>
            <w:pPr>
              <w:jc w:val="right"/>
              <w:ind w:right="2105"/>
              <w:spacing w:after="0" w:line="168" w:lineRule="exact"/>
              <w:rPr>
                <w:sz w:val="20"/>
                <w:szCs w:val="20"/>
                <w:color w:val="auto"/>
              </w:rPr>
            </w:pPr>
            <w:r>
              <w:rPr>
                <w:rFonts w:ascii="Arial" w:cs="Arial" w:eastAsia="Arial" w:hAnsi="Arial"/>
                <w:sz w:val="15"/>
                <w:szCs w:val="15"/>
                <w:color w:val="auto"/>
                <w:w w:val="87"/>
              </w:rPr>
              <w:t>(3)</w:t>
            </w:r>
          </w:p>
        </w:tc>
        <w:tc>
          <w:tcPr>
            <w:tcW w:w="680" w:type="dxa"/>
            <w:vAlign w:val="bottom"/>
            <w:gridSpan w:val="2"/>
            <w:shd w:val="clear" w:color="auto" w:fill="CCEEFF"/>
          </w:tcPr>
          <w:p>
            <w:pPr>
              <w:jc w:val="center"/>
              <w:ind w:left="61"/>
              <w:spacing w:after="0" w:line="168" w:lineRule="exact"/>
              <w:rPr>
                <w:sz w:val="20"/>
                <w:szCs w:val="20"/>
                <w:color w:val="auto"/>
              </w:rPr>
            </w:pPr>
            <w:r>
              <w:rPr>
                <w:rFonts w:ascii="Arial" w:cs="Arial" w:eastAsia="Arial" w:hAnsi="Arial"/>
                <w:sz w:val="18"/>
                <w:szCs w:val="18"/>
                <w:color w:val="auto"/>
                <w:w w:val="89"/>
              </w:rPr>
              <w:t>2018</w:t>
            </w:r>
          </w:p>
        </w:tc>
        <w:tc>
          <w:tcPr>
            <w:tcW w:w="1120" w:type="dxa"/>
            <w:vAlign w:val="bottom"/>
            <w:gridSpan w:val="3"/>
            <w:shd w:val="clear" w:color="auto" w:fill="CCEEFF"/>
          </w:tcPr>
          <w:p>
            <w:pPr>
              <w:jc w:val="right"/>
              <w:ind w:right="120"/>
              <w:spacing w:after="0" w:line="168" w:lineRule="exact"/>
              <w:rPr>
                <w:sz w:val="20"/>
                <w:szCs w:val="20"/>
                <w:color w:val="auto"/>
              </w:rPr>
            </w:pPr>
            <w:r>
              <w:rPr>
                <w:rFonts w:ascii="Arial" w:cs="Arial" w:eastAsia="Arial" w:hAnsi="Arial"/>
                <w:sz w:val="18"/>
                <w:szCs w:val="18"/>
                <w:color w:val="auto"/>
              </w:rPr>
              <w:t>324,062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97,000</w:t>
            </w:r>
          </w:p>
        </w:tc>
        <w:tc>
          <w:tcPr>
            <w:tcW w:w="112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8"/>
                <w:szCs w:val="18"/>
                <w:color w:val="auto"/>
              </w:rPr>
              <w:t>174,387</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80"/>
              <w:spacing w:after="0" w:line="168" w:lineRule="exact"/>
              <w:rPr>
                <w:sz w:val="20"/>
                <w:szCs w:val="20"/>
                <w:color w:val="auto"/>
              </w:rPr>
            </w:pPr>
            <w:r>
              <w:rPr>
                <w:rFonts w:ascii="Arial" w:cs="Arial" w:eastAsia="Arial" w:hAnsi="Arial"/>
                <w:sz w:val="18"/>
                <w:szCs w:val="18"/>
                <w:color w:val="auto"/>
              </w:rPr>
              <w:t>58,850</w:t>
            </w: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8"/>
                <w:szCs w:val="18"/>
                <w:color w:val="auto"/>
              </w:rPr>
              <w:t>13,750</w:t>
            </w:r>
          </w:p>
        </w:tc>
        <w:tc>
          <w:tcPr>
            <w:tcW w:w="940" w:type="dxa"/>
            <w:vAlign w:val="bottom"/>
            <w:gridSpan w:val="2"/>
            <w:shd w:val="clear" w:color="auto" w:fill="CCEEFF"/>
          </w:tcPr>
          <w:p>
            <w:pPr>
              <w:jc w:val="right"/>
              <w:ind w:right="100"/>
              <w:spacing w:after="0" w:line="168" w:lineRule="exact"/>
              <w:rPr>
                <w:sz w:val="20"/>
                <w:szCs w:val="20"/>
                <w:color w:val="auto"/>
              </w:rPr>
            </w:pPr>
            <w:r>
              <w:rPr>
                <w:rFonts w:ascii="Arial" w:cs="Arial" w:eastAsia="Arial" w:hAnsi="Arial"/>
                <w:sz w:val="18"/>
                <w:szCs w:val="18"/>
                <w:color w:val="auto"/>
              </w:rPr>
              <w:t>668,049</w:t>
            </w:r>
          </w:p>
        </w:tc>
        <w:tc>
          <w:tcPr>
            <w:tcW w:w="0" w:type="dxa"/>
            <w:vAlign w:val="bottom"/>
          </w:tcPr>
          <w:p>
            <w:pPr>
              <w:spacing w:after="0"/>
              <w:rPr>
                <w:sz w:val="1"/>
                <w:szCs w:val="1"/>
                <w:color w:val="auto"/>
              </w:rPr>
            </w:pPr>
          </w:p>
        </w:tc>
      </w:tr>
      <w:tr>
        <w:trPr>
          <w:trHeight w:val="95"/>
        </w:trPr>
        <w:tc>
          <w:tcPr>
            <w:tcW w:w="1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(6)</w:t>
            </w: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
        </w:trPr>
        <w:tc>
          <w:tcPr>
            <w:tcW w:w="3780" w:type="dxa"/>
            <w:vAlign w:val="bottom"/>
            <w:gridSpan w:val="3"/>
            <w:shd w:val="clear" w:color="auto" w:fill="CCEEFF"/>
          </w:tcPr>
          <w:p>
            <w:pPr>
              <w:spacing w:after="0"/>
              <w:rPr>
                <w:sz w:val="20"/>
                <w:szCs w:val="20"/>
                <w:color w:val="auto"/>
              </w:rPr>
            </w:pPr>
            <w:r>
              <w:rPr>
                <w:rFonts w:ascii="Arial" w:cs="Arial" w:eastAsia="Arial" w:hAnsi="Arial"/>
                <w:sz w:val="1"/>
                <w:szCs w:val="1"/>
                <w:i w:val="1"/>
                <w:iCs w:val="1"/>
                <w:color w:val="auto"/>
              </w:rPr>
              <w:t>Former General Counsel</w:t>
            </w:r>
          </w:p>
        </w:tc>
        <w:tc>
          <w:tcPr>
            <w:tcW w:w="680" w:type="dxa"/>
            <w:vAlign w:val="bottom"/>
            <w:gridSpan w:val="2"/>
            <w:shd w:val="clear" w:color="auto" w:fill="CCEEFF"/>
          </w:tcPr>
          <w:p>
            <w:pPr>
              <w:jc w:val="center"/>
              <w:ind w:left="61"/>
              <w:spacing w:after="0"/>
              <w:rPr>
                <w:sz w:val="20"/>
                <w:szCs w:val="20"/>
                <w:color w:val="auto"/>
              </w:rPr>
            </w:pPr>
            <w:r>
              <w:rPr>
                <w:rFonts w:ascii="Arial" w:cs="Arial" w:eastAsia="Arial" w:hAnsi="Arial"/>
                <w:sz w:val="1"/>
                <w:szCs w:val="1"/>
                <w:color w:val="auto"/>
              </w:rPr>
              <w:t>2017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
                <w:szCs w:val="1"/>
                <w:color w:val="auto"/>
              </w:rPr>
              <w:t>284,711</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80,000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432,500</w:t>
            </w: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13,500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810,711</w:t>
            </w: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Culley was appointed as Chief Executive Officer on September 17, 2018.</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employment of Mr. West and Mr. Mohanty terminated on September 17, 2018 and their base salaries for 2018 represent the amounts paid to each of them from January 1, 2018 through September 17, 2018.</w:t>
      </w: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employment of Mr. Skibsted and Ms. Patton terminated on January 3, 2019 and March 1, 2019, respectively. Their terminations did not impact base salaries for 2018.</w:t>
      </w:r>
    </w:p>
    <w:p>
      <w:pPr>
        <w:jc w:val="both"/>
        <w:ind w:left="3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amounts in this column represent the grant date fair value of stock options granted to the applicable individual during the applicable year. The grant date fair value and incremental fair value of the stock options were determined in accordance with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718)</w:t>
      </w:r>
      <w:r>
        <w:rPr>
          <w:rFonts w:ascii="Arial" w:cs="Arial" w:eastAsia="Arial" w:hAnsi="Arial"/>
          <w:sz w:val="16"/>
          <w:szCs w:val="16"/>
          <w:color w:val="auto"/>
        </w:rPr>
        <w:t>. See Note 13, Stock Based Awards to our consolidated financial statements included in our Annual Report on Form 10-K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2018 filed with the SEC on March 14, 2019 for details as to the assumptions used to determine grant date fair value of the awards.</w:t>
      </w:r>
    </w:p>
    <w:p>
      <w:pPr>
        <w:spacing w:after="0" w:line="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in this column represent the fair value of restricted stock units that were either granted during 2018, in the case of Mr. Culley, or that vested in 2018 due to the achievement of certain performance-based milestones, in the case of all other NEOs.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amounts represent 401(k) plan company-matching contributions.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amount consists of (a) a $680,315 severance payment, (b) $96,214 for the payout of accrued vacation at termination and (c) $13,750 in 401(k) plan company-matching contributions.</w:t>
      </w:r>
    </w:p>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amount consists of (a) a $152,600 severance payment, (b) $61,212 for the payout of accrued vacation at termination, (c) $13,750 in 401(k) plan company-matching contributions and (d) $7,736 in COBRA group health insurance premiums.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Executive Officers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Mr. Culley was appointed as Chief Executive Officer on September 17, 2018. The amounts reported for him in the Summary Compensation Table, above, represents compensation paid to or earned by him for his service as an executive officer between September 17, 2018 and December 31, 2018. Mr. Culley’s base salary for 2018 was $530,000. In September 2018, our Board of Directors granted Mr. Culley a stock option to purchase 1,500,000 of our common stock at an exercise price of $2.31. In connection with the AgeX distribution which occurred in November 2018, all BioTime equity awards issued and outstanding were adjusted to maintain the intrinsic value of those awards immediately prior to and following the AgeX distribution. Accordingly, Mr. Culley’s stock option was amended to reflect an option to purchase 1,854,000 of the Company’s common shares at an exercise price of $1.87. In February 2019, our Board of Directors increased Mr. Culley’s annual base salary for 2019 to $535,800 and awarded him a bonus of $70,000 for his performance during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Executive Officers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September 2018, we entered into transition agreements with Dr. West and Mr. Mohanty in connection with their resignations as our co-chief executive officers. Pursuant to Dr. West’s transition agreement, he was paid a total of $729,065, his outstanding equity awards vested as of the transition date and he became entitled to exercise such options until their expiration dates. Dr. West also received a payment of $96,214 for accrued vacation. Pursuant to Mr. Mohanty’s transition agreement, he was paid $152,600 and was entitled to a 2018 bonus in an amount to be determined by our Board of Directors at a later date. In February 2019, our Board of Directors approved a $200,000 bonus to Mr. Mohanty. Mr. Mohanty’s outstanding equity awards will continue to vest for the longer of, 12 months from his date of transition, or for as long as Mr. Mohanty continues to provide services to us, our subsidiaries or affiliates. Mr. Mohanty also received a payment of $61,212 for accrued vacation and payment for 12 months of COBRA group health insurance premiums.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0" w:name="page11"/>
    <w:bookmarkEnd w:id="10"/>
    <w:p>
      <w:pPr>
        <w:jc w:val="both"/>
        <w:ind w:firstLine="486"/>
        <w:spacing w:after="0" w:line="259" w:lineRule="auto"/>
        <w:rPr>
          <w:sz w:val="20"/>
          <w:szCs w:val="20"/>
          <w:color w:val="auto"/>
        </w:rPr>
      </w:pPr>
      <w:r>
        <w:rPr>
          <w:rFonts w:ascii="Arial" w:cs="Arial" w:eastAsia="Arial" w:hAnsi="Arial"/>
          <w:sz w:val="18"/>
          <w:szCs w:val="18"/>
          <w:color w:val="auto"/>
        </w:rPr>
        <w:t>In February 2019, we entered into a separation agreement with Mr. Skibsted, our former Chief Financial Officer. Pursuant to the separation agreement, Mr. Skibsted received cash severance equal to six months of his annual base salary, a portion of his bonus target amount equal to $100,000, payment for six months of COBRA group health insurance premiums and accelerated vesting of all outstanding option grants as well as an extension of the exercise period until January 2,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Termination of Employment &amp; Change in Control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Brian M. Culley, Chief Executive Officer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September 2018, we entered into an employment agreement with Mr. Culley. The following is a description of the material terms of that agreement.</w:t>
      </w:r>
    </w:p>
    <w:p>
      <w:pPr>
        <w:spacing w:after="0" w:line="24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Mr. Culley is paid an annual base salary of $530,000. He is eligible to receive a performance bonus of up to 50% of his base salary based upon the attainment of certain corporate and individual objectives as determined by our Board or its Compensation Committee. He is entitled to reimbursement for certain travel costs to our headquarters, a monthly stipend not to exceed $3,900 for housing costs near our headquarters, and to the standard benefits available to our employees generally, including health insurance.</w:t>
      </w:r>
    </w:p>
    <w:p>
      <w:pPr>
        <w:spacing w:after="0" w:line="187"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We granted Mr. Culley a stock option to purchase 1,500,000 of shares of our common stock with an exercise price per share of $2.31, which was the closing price of our common stock on September 17, 2018. This grant was approved by the independent members of our Board in reliance on the employment inducement exemption to shareholder approval provided under NYSE American rules. Subject to Mr. Culley’s continued service, 25% of the shares subject to the option will vest and become exercisable on the 12 month anniversary of the grant date of September 17, 2018, and the balance of the shares will vest and become exercisable in 36 equal monthly installments at the end of each one-month period thereafter. Mr. Culley was also granted an award of 200,000 restricted stock units (“RSU Award No. 1”). Subject to his continued service, 25% of the shares subject to RSU Award No. 1 will vest on the 12-month anniversary of the grant date of September 17, 2018, and the balance of the shares will vest in 12 equal quarterly installments at the end of each quarter thereafter. Mr. Culley was also granted an award of 100,000 restricted stock units (“RSU Award No. 2” and together with RSU Award No. 1, the “RSU Awards”), which vested in full on January 1, 2019. The RSU Awards are subject to the terms of our 2012 Equity Incentive Plan, as amended. All equity award described in this paragraph do not reflect the adjustments made thereto in connection with the AgeX distribution, which are described below.</w:t>
      </w:r>
    </w:p>
    <w:p>
      <w:pPr>
        <w:spacing w:after="0" w:line="169"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On November 28, 2018, in connection with the commencement of the public trading of shares of common stock of AgeX Therapeutics, Inc. “AgeX”, we distributed 12.7 million shares of AgeX common stock we owned to our shareholders, on a pro rata basis, in the ratio of one share of AgeX common stock for every 10 shares of our common stock they owned. In connection with that distribution of AgeX common stock to our shareholders, all our outstanding equity awards were adjusted to maintain the intrinsic value of those awards immediately prior to and following the distribution. Accordingly, the stock option we granted to Mr. Culley described above is now a stock option to purchase 1,854,000 shares of our common stock with an exercise price of $1.87 per share, and there are 247,200 and 123,600 shares of our common stock subject to RSU Award No. 1 and RSU Award No. 2, respectively.</w:t>
      </w:r>
    </w:p>
    <w:p>
      <w:pPr>
        <w:spacing w:after="0" w:line="165" w:lineRule="exact"/>
        <w:rPr>
          <w:sz w:val="20"/>
          <w:szCs w:val="20"/>
          <w:color w:val="auto"/>
        </w:rPr>
      </w:pPr>
    </w:p>
    <w:p>
      <w:pPr>
        <w:jc w:val="both"/>
        <w:ind w:right="20" w:firstLine="495"/>
        <w:spacing w:after="0" w:line="302" w:lineRule="auto"/>
        <w:rPr>
          <w:sz w:val="20"/>
          <w:szCs w:val="20"/>
          <w:color w:val="auto"/>
        </w:rPr>
      </w:pPr>
      <w:r>
        <w:rPr>
          <w:rFonts w:ascii="Arial" w:cs="Arial" w:eastAsia="Arial" w:hAnsi="Arial"/>
          <w:sz w:val="16"/>
          <w:szCs w:val="16"/>
          <w:color w:val="auto"/>
        </w:rPr>
        <w:t>If Mr. Culley’s employment is terminated without cause or he resigns for good reason, then he may be eligible for certain severance payments including the payment of an amount equal to 12 months of his base salary, his full annual bonus amount and the payment of 6 months of health insurance premiums pursuant to our group health insurance plans as provided pursuant to COBRA. If Mr. Culley’s employment is terminated without cause or he resigns for good reason within 12 months following a change of control, then he is entitled to the acceleration of all his outstanding equity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maintain a defined contribution employee retirement plan for all our employees. Our 401(k) plan is intended to qualify as a tax-qualified plan under Section 401 of the Internal Revenue Code so that contributions to our 401(k) plans, and income earned on such contributions, are not taxable to participants until withdrawn or distributed from the 401(k) plan. We match employee contributions up to 5% of their annual compensation, subject to statutory limits.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annuity, pension or deferred compensation plan or other arrangements for our executive officers or any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information concerning equity awards held by our Named Executive Officers that were outstanding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Option Awards</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6"/>
          </w:tcPr>
          <w:p>
            <w:pPr>
              <w:ind w:left="8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Number of</w:t>
            </w:r>
          </w:p>
        </w:tc>
        <w:tc>
          <w:tcPr>
            <w:tcW w:w="1100" w:type="dxa"/>
            <w:vAlign w:val="bottom"/>
            <w:tcBorders>
              <w:top w:val="single" w:sz="8" w:color="auto"/>
            </w:tcBorders>
            <w:gridSpan w:val="2"/>
          </w:tcPr>
          <w:p>
            <w:pPr>
              <w:jc w:val="center"/>
              <w:ind w:right="168"/>
              <w:spacing w:after="0" w:line="126"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8"/>
              <w:spacing w:after="0" w:line="126" w:lineRule="exact"/>
              <w:rPr>
                <w:sz w:val="20"/>
                <w:szCs w:val="20"/>
                <w:color w:val="auto"/>
              </w:rPr>
            </w:pPr>
            <w:r>
              <w:rPr>
                <w:rFonts w:ascii="Arial" w:cs="Arial" w:eastAsia="Arial" w:hAnsi="Arial"/>
                <w:sz w:val="14"/>
                <w:szCs w:val="14"/>
                <w:b w:val="1"/>
                <w:bCs w:val="1"/>
                <w:color w:val="auto"/>
                <w:w w:val="97"/>
              </w:rPr>
              <w:t>Market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Units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Exercise</w:t>
            </w: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Stock Option</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Options</w:t>
            </w:r>
          </w:p>
        </w:tc>
        <w:tc>
          <w:tcPr>
            <w:tcW w:w="1220" w:type="dxa"/>
            <w:vAlign w:val="bottom"/>
            <w:gridSpan w:val="3"/>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have Not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Price</w:t>
            </w: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Plan Name</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(10)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Brian M. Culley</w:t>
            </w:r>
          </w:p>
        </w:tc>
        <w:tc>
          <w:tcPr>
            <w:tcW w:w="1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BioTime, Inc.</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1,854,000</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Inducement Option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September 16, 2028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2"/>
                <w:szCs w:val="12"/>
                <w:color w:val="auto"/>
              </w:rPr>
              <w:t>123,600</w:t>
            </w:r>
            <w:r>
              <w:rPr>
                <w:rFonts w:ascii="Arial" w:cs="Arial" w:eastAsia="Arial" w:hAnsi="Arial"/>
                <w:sz w:val="18"/>
                <w:szCs w:val="18"/>
                <w:color w:val="auto"/>
                <w:vertAlign w:val="superscript"/>
              </w:rPr>
              <w:t>(3)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2"/>
                <w:szCs w:val="12"/>
                <w:color w:val="auto"/>
              </w:rPr>
              <w:t>247,200</w:t>
            </w:r>
            <w:r>
              <w:rPr>
                <w:rFonts w:ascii="Arial" w:cs="Arial" w:eastAsia="Arial" w:hAnsi="Arial"/>
                <w:sz w:val="18"/>
                <w:szCs w:val="18"/>
                <w:color w:val="auto"/>
                <w:vertAlign w:val="superscript"/>
              </w:rPr>
              <w:t>(4)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224,969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D. West</w:t>
            </w:r>
          </w:p>
        </w:tc>
        <w:tc>
          <w:tcPr>
            <w:tcW w:w="17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BioTime, Inc.</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
              <w:spacing w:after="0" w:line="29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(5)</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6"/>
              </w:rPr>
              <w:t>2012 Equity Incentive Plan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216,299</w:t>
            </w: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April 6, 2026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247,200</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July 9, 2025</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247,199</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March 19,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247,199</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3.41</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February 19,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BioTime Asia, Limited</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 Stock Option Plan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0.01</w:t>
            </w:r>
          </w:p>
        </w:tc>
        <w:tc>
          <w:tcPr>
            <w:tcW w:w="1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December 28, 2020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OrthoCyte Corporation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2010 Stock Option Plan</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December 28,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Aditya P. Mohanty</w:t>
            </w:r>
          </w:p>
        </w:tc>
        <w:tc>
          <w:tcPr>
            <w:tcW w:w="17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BioTime, Inc.</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247,199</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6"/>
              </w:rPr>
              <w:t>2012 Equity Incentive Plan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March 14, 2028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368,230</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435,169</w:t>
            </w:r>
            <w:r>
              <w:rPr>
                <w:rFonts w:ascii="Arial" w:cs="Arial" w:eastAsia="Arial" w:hAnsi="Arial"/>
                <w:sz w:val="18"/>
                <w:szCs w:val="18"/>
                <w:color w:val="auto"/>
                <w:vertAlign w:val="superscript"/>
              </w:rPr>
              <w:t>(6)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June 5, 2027</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309,005</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154,494</w:t>
            </w:r>
            <w:r>
              <w:rPr>
                <w:rFonts w:ascii="Arial" w:cs="Arial" w:eastAsia="Arial" w:hAnsi="Arial"/>
                <w:sz w:val="18"/>
                <w:szCs w:val="18"/>
                <w:color w:val="auto"/>
                <w:vertAlign w:val="superscript"/>
              </w:rPr>
              <w:t>(6)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April 6, 2026</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834,299</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3.06</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December 28, 2024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2"/>
                <w:szCs w:val="12"/>
                <w:color w:val="auto"/>
              </w:rPr>
              <w:t>34,765</w:t>
            </w:r>
            <w:r>
              <w:rPr>
                <w:rFonts w:ascii="Arial" w:cs="Arial" w:eastAsia="Arial" w:hAnsi="Arial"/>
                <w:sz w:val="18"/>
                <w:szCs w:val="18"/>
                <w:color w:val="auto"/>
                <w:vertAlign w:val="superscript"/>
              </w:rPr>
              <w:t>(6)(7)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31,636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Russell L. Skibsted</w:t>
            </w:r>
          </w:p>
        </w:tc>
        <w:tc>
          <w:tcPr>
            <w:tcW w:w="17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BioTime, Inc.</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185,399</w:t>
            </w:r>
            <w:r>
              <w:rPr>
                <w:rFonts w:ascii="Arial" w:cs="Arial" w:eastAsia="Arial" w:hAnsi="Arial"/>
                <w:sz w:val="23"/>
                <w:szCs w:val="23"/>
                <w:color w:val="auto"/>
                <w:vertAlign w:val="superscript"/>
              </w:rPr>
              <w:t>(8)</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6"/>
              </w:rPr>
              <w:t>2012 Equity Incentive Plan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January 2,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141,624</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167,375</w:t>
            </w:r>
            <w:r>
              <w:rPr>
                <w:rFonts w:ascii="Arial" w:cs="Arial" w:eastAsia="Arial" w:hAnsi="Arial"/>
                <w:sz w:val="18"/>
                <w:szCs w:val="18"/>
                <w:color w:val="auto"/>
                <w:vertAlign w:val="superscript"/>
              </w:rPr>
              <w:t>(8)</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January 2,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34,763</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27,037</w:t>
            </w:r>
            <w:r>
              <w:rPr>
                <w:rFonts w:ascii="Arial" w:cs="Arial" w:eastAsia="Arial" w:hAnsi="Arial"/>
                <w:sz w:val="18"/>
                <w:szCs w:val="18"/>
                <w:color w:val="auto"/>
                <w:vertAlign w:val="superscript"/>
              </w:rPr>
              <w:t>(8)</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2.82</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January 2,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428,725</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127,474</w:t>
            </w:r>
            <w:r>
              <w:rPr>
                <w:rFonts w:ascii="Arial" w:cs="Arial" w:eastAsia="Arial" w:hAnsi="Arial"/>
                <w:sz w:val="18"/>
                <w:szCs w:val="18"/>
                <w:color w:val="auto"/>
                <w:vertAlign w:val="superscript"/>
              </w:rPr>
              <w:t>(8)</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2.72</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January 2,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Stephana E. Patton</w:t>
            </w:r>
          </w:p>
        </w:tc>
        <w:tc>
          <w:tcPr>
            <w:tcW w:w="17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BioTime, Inc.</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154,499</w:t>
            </w:r>
            <w:r>
              <w:rPr>
                <w:rFonts w:ascii="Arial" w:cs="Arial" w:eastAsia="Arial" w:hAnsi="Arial"/>
                <w:sz w:val="23"/>
                <w:szCs w:val="23"/>
                <w:color w:val="auto"/>
                <w:vertAlign w:val="superscript"/>
              </w:rPr>
              <w:t>(9)</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6"/>
              </w:rPr>
              <w:t>2012 Equity Incentive Plan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May 30,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141,623</w:t>
            </w:r>
          </w:p>
        </w:tc>
        <w:tc>
          <w:tcPr>
            <w:tcW w:w="110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2"/>
                <w:szCs w:val="12"/>
                <w:color w:val="auto"/>
              </w:rPr>
              <w:t>167,376</w:t>
            </w:r>
            <w:r>
              <w:rPr>
                <w:rFonts w:ascii="Arial" w:cs="Arial" w:eastAsia="Arial" w:hAnsi="Arial"/>
                <w:sz w:val="18"/>
                <w:szCs w:val="18"/>
                <w:color w:val="auto"/>
                <w:vertAlign w:val="superscript"/>
              </w:rPr>
              <w:t>(9)</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May 30, 2019</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60" w:hanging="374"/>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28, 2018, in connection with the commencement of the public trading of shares of common stock of AgeX Therapeutics, Inc., we distributed 12.7 million shares of AgeX common stock we owned to our shareholders, on a pro rata basis, in the ratio of one share of AgeX common stock for every 10 shares of our common stock they owned. In connection with that distribution of AgeX common stock to our shareholders, all our outstanding equity awards were adjusted to maintain the intrinsic value of those awards immediately prior to and following the distribution. The information in this table reflects those adjustments.</w:t>
      </w:r>
    </w:p>
    <w:p>
      <w:pPr>
        <w:spacing w:after="0" w:line="188"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Mr. Culley’s continued service, one quarter of the shares subject to this option will vest on September 17, 2019, and the balance of the shares will vest in 36 equal monthly installments thereafter.</w:t>
      </w:r>
    </w:p>
    <w:p>
      <w:pPr>
        <w:spacing w:after="0" w:line="170"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Mr. Culley’s continued service, one quarter of these shares will vest on September 17, 2019, and the balance will vest in 12 equal quarterly installments at the end of each quarter thereafter.</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subject to a restricted stock unit award that vested in full on January 1, 2019.</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Dr. West’s transition agreement, all options vested in full as of September 17, 2018 and he has until their original expiration dates to exercise such options.</w:t>
      </w:r>
    </w:p>
    <w:p>
      <w:pPr>
        <w:spacing w:after="0" w:line="170" w:lineRule="exact"/>
        <w:rPr>
          <w:rFonts w:ascii="Arial" w:cs="Arial" w:eastAsia="Arial" w:hAnsi="Arial"/>
          <w:sz w:val="18"/>
          <w:szCs w:val="18"/>
          <w:color w:val="auto"/>
        </w:rPr>
      </w:pPr>
    </w:p>
    <w:p>
      <w:pPr>
        <w:jc w:val="both"/>
        <w:ind w:left="760" w:hanging="374"/>
        <w:spacing w:after="0" w:line="293"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accordance with Mr. Mohanty’s transition agreement, his outstanding equity awards will continue to vest for the longer of 12 months from his date of transition (September 17, 2018) or for as long as he continues to provide services to us, our subsidiaries or affiliates. Options expiring on March 14, 2028 were granted on March 15, 2018; 25% will vest on February 1, 2019 and the balance of the options vest in 36 equal monthly installments. Options expiring on June 5, 2027 had 25% vested on February 1, 2018 and the balance of the options vest in 36 equal monthly installments. Options expiring on April 6, 2026 had 25% vested on April 7, 2017 and the balance of the options vest in 36 equal monthly installments. Options expiring on December 28, 2024 vest in 48 equal monthly installments from the date of grant, December 29,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left="760" w:hanging="374"/>
        <w:spacing w:after="0" w:line="26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RSUs were granted under BioTime’s Equity Incentive Plan on April 11, 2016, at which time the closing price on the NYSE American was $2.96 per share. These restricted stock units vest over a 4-year period with the first 25% vested on April 11, 2017 and the balance vesting in equal quarterly installments over the remaining 3 years.</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Mr. Skibsted’s separation agreement, all of Mr. Skibsted’s outstanding options fully vested as of February 19, 2019 and he has until January 2, 2020 to exercise such options.</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Patton resigned from BioTime on March 1, 2019, and her options ceased further vesting on such date. Ms. Patton has 90 days from her resignation date (May 30, 2019) to exercise her vested options.</w:t>
      </w:r>
    </w:p>
    <w:p>
      <w:pPr>
        <w:spacing w:after="0" w:line="170" w:lineRule="exact"/>
        <w:rPr>
          <w:rFonts w:ascii="Arial" w:cs="Arial" w:eastAsia="Arial" w:hAnsi="Arial"/>
          <w:sz w:val="18"/>
          <w:szCs w:val="18"/>
          <w:color w:val="auto"/>
        </w:rPr>
      </w:pPr>
    </w:p>
    <w:p>
      <w:pPr>
        <w:ind w:left="760" w:right="20" w:hanging="374"/>
        <w:spacing w:after="0" w:line="308"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dollar amounts shown in this column are calculated by multiplying the number of shares shown in the adjacent column by the closing market price of our common stock as reported on NYSE American on December 31, 2018 ($0.91), the last trading day of our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We compensate our non-employee directors for their service on our Board and on its committees with cash and equity as discussed below. In addition, all of our non-employee directors are entitled to reimbursements for their out-of-pocket expenses incurred in attending our Board and committee meetings.</w:t>
      </w:r>
    </w:p>
    <w:p>
      <w:pPr>
        <w:spacing w:after="0" w:line="124"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following table shows the annual cash fees paid to the Chairman of our Board, our directors other than the Chairman, and to the directors who served on the standing committees of our Board during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Fees Paid</w:t>
            </w:r>
          </w:p>
        </w:tc>
      </w:tr>
      <w:tr>
        <w:trPr>
          <w:trHeight w:val="216"/>
        </w:trPr>
        <w:tc>
          <w:tcPr>
            <w:tcW w:w="9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Director other than Chairman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Audit Committee Member other than Chairman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Compensation Committee Member other than Chairman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Chairman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Nominating and Corporate Governance Committee Member other than Chairman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Financial Strategy Committee Chairman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Financial Strategy Committee Member other than Chairman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In addition to cash fees, our directors receive an annual stock option grant to purchase 40,000 common shares, except the grant to our Chairman is for 70,000 common shares. Mr. Redmond joined our Board in 2018 and received a stock option to purchase 60,000, which was amended to a stock option to purchase 74,160 common shares in conjunction with the AgeX distribution. All grants are made under our 2012 Equity Incentive Plan.</w:t>
      </w:r>
    </w:p>
    <w:p>
      <w:pPr>
        <w:spacing w:after="0" w:line="166"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annual fee of cash was paid, and the stock options vested and became exercisable, in four equal quarterly installments, based on the director’s continued service through the last day of the applicable quarter. The options will expire if not exercised on the earlier of the date five years from the date of grant or 90 days after the director ceases to serve on our Board.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firstLine="495"/>
        <w:spacing w:after="0" w:line="308" w:lineRule="auto"/>
        <w:rPr>
          <w:sz w:val="20"/>
          <w:szCs w:val="20"/>
          <w:color w:val="auto"/>
        </w:rPr>
      </w:pPr>
      <w:r>
        <w:rPr>
          <w:rFonts w:ascii="Arial" w:cs="Arial" w:eastAsia="Arial" w:hAnsi="Arial"/>
          <w:sz w:val="17"/>
          <w:szCs w:val="17"/>
          <w:color w:val="auto"/>
        </w:rPr>
        <w:t>The following table summarizes certain information concerning the compensation paid during the past fiscal year to each of the persons who served as directors during the year ended December 31, 2018 and who were not our employees on the date the compensation was earned.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6"/>
          </w:tcPr>
          <w:p>
            <w:pPr>
              <w:ind w:left="20"/>
              <w:spacing w:after="0"/>
              <w:rPr>
                <w:sz w:val="20"/>
                <w:szCs w:val="20"/>
                <w:color w:val="auto"/>
              </w:rPr>
            </w:pPr>
            <w:r>
              <w:rPr>
                <w:rFonts w:ascii="Arial" w:cs="Arial" w:eastAsia="Arial" w:hAnsi="Arial"/>
                <w:sz w:val="18"/>
                <w:szCs w:val="18"/>
                <w:b w:val="1"/>
                <w:bCs w:val="1"/>
                <w:color w:val="auto"/>
              </w:rPr>
              <w:t>2018 DIRECTOR COMPENSATION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Fees Earned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or Paid in</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40" w:type="dxa"/>
            <w:vAlign w:val="bottom"/>
            <w:gridSpan w:val="2"/>
          </w:tcPr>
          <w:p>
            <w:pPr>
              <w:ind w:left="178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Cash (1)</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Award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Compensation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Deborah Andrews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Neal C. Bradsher</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60,625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33,045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93,670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 Farrell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Alfred D. Kingsley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240,625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57,829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130,712</w:t>
            </w:r>
            <w:r>
              <w:rPr>
                <w:rFonts w:ascii="Arial" w:cs="Arial" w:eastAsia="Arial" w:hAnsi="Arial"/>
                <w:sz w:val="15"/>
                <w:szCs w:val="15"/>
                <w:color w:val="auto"/>
              </w:rPr>
              <w:t>(5)</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429,166</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 Mulroy</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73,045</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Cavan Redmond (3)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60,625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154,631</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C. Russell</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88,670</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David Schlachet (4)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14,375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14,375</w:t>
            </w:r>
          </w:p>
        </w:tc>
      </w:tr>
    </w:tbl>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annual cash fees for serving as a director and fees for service on committees of the Board, if any.</w:t>
      </w:r>
    </w:p>
    <w:p>
      <w:pPr>
        <w:spacing w:after="0" w:line="225"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Those of our directors who were serving on our Board on July 1, 2018 and who were not our salaried employees each received an annual award of stock options on that date entitling them to purchase 49,440 common shares at a fixed price as partial compensation for serving on our Board for a period of one year, except that Mr. Kingsley received 86,520 stock options as partial compensation for serving in his capacity as Chairman of our Board. Those options will vest and become exercisable in equal quarterly installments over a one-year period. The dollar amounts in this column represent the aggregate fair market value of such awards determined based on the price of our common stock on the grant date in accordance with ASC Topic 718, </w:t>
      </w:r>
      <w:r>
        <w:rPr>
          <w:rFonts w:ascii="Arial" w:cs="Arial" w:eastAsia="Arial" w:hAnsi="Arial"/>
          <w:sz w:val="17"/>
          <w:szCs w:val="17"/>
          <w:i w:val="1"/>
          <w:iCs w:val="1"/>
          <w:color w:val="auto"/>
        </w:rPr>
        <w:t>Compensation-Stock Compensation (ASC Topic 718)</w:t>
      </w:r>
      <w:r>
        <w:rPr>
          <w:rFonts w:ascii="Arial" w:cs="Arial" w:eastAsia="Arial" w:hAnsi="Arial"/>
          <w:sz w:val="17"/>
          <w:szCs w:val="17"/>
          <w:color w:val="auto"/>
        </w:rPr>
        <w:t>. See Note 13 Stock-Based Awards to our Consolidated Financial Statements included in our Annual Report on Form 10-K for the year ended December 31, 2018 for details as to the assumptions used to determine the fair value of the awards.</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Redmond joined our Board on February 21,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Schlachet resigned from our Board on May 1, 2018.</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Comprised of $120,000 in salary, $4,712 in health insurance benefits and $6,000 in 401(k) matching contributions paid to Mr. Kingsley as an executive of AgeX through August 30, 2018, the date of the AgeX deconsolidation.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2018, our non-employee directors had stock options outstanding to purchase the following number of shares of our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88"/>
              </w:rPr>
              <w:t># of Shares Subject to</w:t>
            </w:r>
          </w:p>
        </w:tc>
        <w:tc>
          <w:tcPr>
            <w:tcW w:w="2280" w:type="dxa"/>
            <w:vAlign w:val="bottom"/>
          </w:tcPr>
          <w:p>
            <w:pPr>
              <w:spacing w:after="0"/>
              <w:rPr>
                <w:sz w:val="18"/>
                <w:szCs w:val="18"/>
                <w:color w:val="auto"/>
              </w:rPr>
            </w:pPr>
          </w:p>
        </w:tc>
      </w:tr>
      <w:tr>
        <w:trPr>
          <w:trHeight w:val="241"/>
        </w:trPr>
        <w:tc>
          <w:tcPr>
            <w:tcW w:w="2300" w:type="dxa"/>
            <w:vAlign w:val="bottom"/>
          </w:tcPr>
          <w:p>
            <w:pPr>
              <w:spacing w:after="0"/>
              <w:rPr>
                <w:sz w:val="20"/>
                <w:szCs w:val="20"/>
                <w:color w:val="auto"/>
              </w:rPr>
            </w:pPr>
          </w:p>
        </w:tc>
        <w:tc>
          <w:tcPr>
            <w:tcW w:w="3000" w:type="dxa"/>
            <w:vAlign w:val="bottom"/>
          </w:tcPr>
          <w:p>
            <w:pPr>
              <w:ind w:left="2240"/>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Outstanding Options</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Deborah Andrews</w:t>
            </w: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173,040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Neal C. Bradsher</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148,320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Stephen C. Farrell</w:t>
            </w:r>
          </w:p>
        </w:tc>
        <w:tc>
          <w:tcPr>
            <w:tcW w:w="3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148,320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Alfred D. Kingsley</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333,720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Michael H. Mulroy</w:t>
            </w:r>
          </w:p>
        </w:tc>
        <w:tc>
          <w:tcPr>
            <w:tcW w:w="3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148,320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Cavan Redmond</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123,600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Angus C. Russell</w:t>
            </w:r>
          </w:p>
        </w:tc>
        <w:tc>
          <w:tcPr>
            <w:tcW w:w="3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148,320</w:t>
            </w:r>
          </w:p>
        </w:tc>
        <w:tc>
          <w:tcPr>
            <w:tcW w:w="2280" w:type="dxa"/>
            <w:vAlign w:val="bottom"/>
          </w:tcPr>
          <w:p>
            <w:pPr>
              <w:spacing w:after="0"/>
              <w:rPr>
                <w:sz w:val="18"/>
                <w:szCs w:val="18"/>
                <w:color w:val="auto"/>
              </w:rPr>
            </w:pPr>
          </w:p>
        </w:tc>
      </w:tr>
      <w:tr>
        <w:trPr>
          <w:trHeight w:val="439"/>
        </w:trPr>
        <w:tc>
          <w:tcPr>
            <w:tcW w:w="2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tables below sets forth certain information, as of April 22, 2019, regarding the beneficial ownership of our common stock for (1) each person known by us to be the beneficial owner of more than 5% of our common stock, (2) each of our directors, (3) each of our Named Executive Officers and (4) all of our current directors and executive officers as a group.</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Unless otherwise indicated in the footnotes to the table below and subject to community property laws where applicable, we believe, based on the information furnished to us and on SEC filings, that each of the persons named in table below has sole voting and investment power with respect to the shares indicated as beneficially owned.</w:t>
      </w:r>
    </w:p>
    <w:p>
      <w:pPr>
        <w:spacing w:after="0" w:line="18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information set forth in the tables below is based on 149,642,861 shares of our common stock issued and outstanding on April 22, 2019. In computing the number of shares of common stock beneficially owned by a person and the percentage ownership of that person, we deemed to be outstanding all shares of common stock subject to options, warrants, rights or other convertible securities held by that person that are currently exercisable or will be exercisable within 60 days after such date. We did not deem these shares outstanding, however, for the purpose of computing the percentage ownership of any other person. Except as otherwise noted, the address for each person listed in the table below is c/o BioTime, Inc., 1010 Atlantic Avenue, Suite 102, Alameda, CA 94501.</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580" w:type="dxa"/>
            <w:vAlign w:val="bottom"/>
            <w:gridSpan w:val="3"/>
          </w:tcPr>
          <w:p>
            <w:pPr>
              <w:ind w:left="960"/>
              <w:spacing w:after="0"/>
              <w:rPr>
                <w:sz w:val="20"/>
                <w:szCs w:val="20"/>
                <w:color w:val="auto"/>
              </w:rPr>
            </w:pPr>
            <w:r>
              <w:rPr>
                <w:rFonts w:ascii="Arial" w:cs="Arial" w:eastAsia="Arial" w:hAnsi="Arial"/>
                <w:sz w:val="18"/>
                <w:szCs w:val="18"/>
                <w:b w:val="1"/>
                <w:bCs w:val="1"/>
                <w:color w:val="auto"/>
              </w:rPr>
              <w:t>Security Ownership of 5% Beneficial Owners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2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00" w:type="dxa"/>
            <w:vAlign w:val="bottom"/>
            <w:gridSpan w:val="2"/>
          </w:tcPr>
          <w:p>
            <w:pPr>
              <w:ind w:left="380"/>
              <w:spacing w:after="0"/>
              <w:rPr>
                <w:sz w:val="20"/>
                <w:szCs w:val="20"/>
                <w:color w:val="auto"/>
              </w:rPr>
            </w:pPr>
            <w:r>
              <w:rPr>
                <w:rFonts w:ascii="Arial" w:cs="Arial" w:eastAsia="Arial" w:hAnsi="Arial"/>
                <w:sz w:val="18"/>
                <w:szCs w:val="18"/>
                <w:b w:val="1"/>
                <w:bCs w:val="1"/>
                <w:color w:val="auto"/>
              </w:rPr>
              <w:t>Number of Shares</w:t>
            </w:r>
          </w:p>
        </w:tc>
        <w:tc>
          <w:tcPr>
            <w:tcW w:w="2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Percent of Total</w:t>
            </w:r>
          </w:p>
        </w:tc>
      </w:tr>
      <w:tr>
        <w:trPr>
          <w:trHeight w:val="229"/>
        </w:trPr>
        <w:tc>
          <w:tcPr>
            <w:tcW w:w="2940" w:type="dxa"/>
            <w:vAlign w:val="bottom"/>
            <w:tcBorders>
              <w:top w:val="single" w:sz="8" w:color="CCEEFF"/>
            </w:tcBorders>
            <w:shd w:val="clear" w:color="auto" w:fill="CCEEFF"/>
          </w:tcPr>
          <w:p>
            <w:pPr>
              <w:spacing w:after="0" w:line="228" w:lineRule="exact"/>
              <w:rPr>
                <w:sz w:val="20"/>
                <w:szCs w:val="20"/>
                <w:color w:val="auto"/>
              </w:rPr>
            </w:pPr>
            <w:r>
              <w:rPr>
                <w:rFonts w:ascii="Arial" w:cs="Arial" w:eastAsia="Arial" w:hAnsi="Arial"/>
                <w:sz w:val="16"/>
                <w:szCs w:val="16"/>
                <w:color w:val="auto"/>
              </w:rPr>
              <w:t>Neal C. Bradsher</w:t>
            </w:r>
            <w:r>
              <w:rPr>
                <w:rFonts w:ascii="Arial" w:cs="Arial" w:eastAsia="Arial" w:hAnsi="Arial"/>
                <w:sz w:val="26"/>
                <w:szCs w:val="26"/>
                <w:color w:val="auto"/>
                <w:vertAlign w:val="superscript"/>
              </w:rPr>
              <w:t>(1)</w:t>
            </w:r>
          </w:p>
        </w:tc>
        <w:tc>
          <w:tcPr>
            <w:tcW w:w="30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Broadwood Partners, L.P.</w:t>
            </w:r>
          </w:p>
        </w:tc>
        <w:tc>
          <w:tcPr>
            <w:tcW w:w="30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Broadwood Capital, Inc.</w:t>
            </w:r>
          </w:p>
        </w:tc>
        <w:tc>
          <w:tcPr>
            <w:tcW w:w="30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53"/>
        </w:trPr>
        <w:tc>
          <w:tcPr>
            <w:tcW w:w="294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724 Fifth Avenue,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30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34,142,614</w:t>
            </w:r>
          </w:p>
        </w:tc>
        <w:tc>
          <w:tcPr>
            <w:tcW w:w="3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33,980,826 shares owned by Broadwood Partners, L.P., 62,908 shares owned by Neal C. Bradsher, and 98,880 shares that may be acquired by Mr. Bradsher upon the exercise of certain stock options that are presently exercisable or may become exercisable within 60 days. Broadwood Capital, Inc. is the general partner of Broadwood Partners, L.P., and Mr. Bradsher is the President of Broadwood Capital, Inc. Mr. Bradsher and Broadwood Capital, Inc. may be deemed to beneficially own the shares that Broadwood Partners, L.P. owns.</w:t>
      </w:r>
    </w:p>
    <w:p>
      <w:pPr>
        <w:spacing w:after="0" w:line="18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Security Ownership of Directors, Named Executive Officers,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and all our Current Directors and Executive Officers as a Group</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0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Name</w:t>
            </w:r>
          </w:p>
        </w:tc>
        <w:tc>
          <w:tcPr>
            <w:tcW w:w="1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 of Shares</w:t>
            </w:r>
          </w:p>
        </w:tc>
        <w:tc>
          <w:tcPr>
            <w:tcW w:w="2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Percent of Total</w:t>
            </w:r>
          </w:p>
        </w:tc>
        <w:tc>
          <w:tcPr>
            <w:tcW w:w="160" w:type="dxa"/>
            <w:vAlign w:val="bottom"/>
            <w:tcBorders>
              <w:bottom w:val="single" w:sz="8" w:color="CCEEFF"/>
            </w:tcBorders>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Neal C. Bradsher (1)</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34,142,614</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Alfred D. Kingsley (2)</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6,915,173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Culley (3)</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74,531</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Michael D. West (4)</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1,852,351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Aditya P. Mohanty (5)</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1,853,641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Russell L. Skibsted (6)</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1,147,729</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Stephana E. Patton (7)</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244,641</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Deborah Andrews (8)</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108,880</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M. Bailey (9)</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62,647</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Stephen C. Farrell (8)</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196,330</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 Mulroy (8)</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325,701</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Cavan Redmond (10)</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74,160</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C. Russell (8)</w:t>
            </w:r>
          </w:p>
        </w:tc>
        <w:tc>
          <w:tcPr>
            <w:tcW w:w="2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166,380</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 (16</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persons) (11)</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47,275,623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460" w:hanging="452"/>
        <w:spacing w:after="0" w:line="279"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33,980,826 shares owned by Broadwood Partners, L.P., 62,908 shares owned by Neal C. Bradsher, and 98,880 shares that may be acquired by Mr. Bradsher upon the exercise of certain stock options that are presently exercisable or may become exercisable within 60 days. Broadwood Capital, Inc. is the general partner of Broadwood Partners, L.P., and Mr. Bradsher is the President of Broadwood Capital, Inc. Mr. Bradsher and Broadwood Capital, Inc. may be deemed to beneficially own the shares that Broadwood Partners, L.P. owns.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ind w:left="460" w:hanging="452"/>
        <w:spacing w:after="0" w:line="28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834,677 shares (beneficial ownership calculated as 80% of 1,043,346 shares) owned by Greenbelt Corp, 375,351 shares owned by Greenway Partners, L.P., 5,457,945 shares owned solely by Alfred D. Kingsley, and 247,200 shares that may be acquired by Mr. Kingsley upon the exercise of certain stock options that are presently exercisable or may become exercisable within 60 days. Mr. Kingsley controls Greenbelt Corp. and Greenway Partners, L.P. and may be deemed to beneficially own the shares that Greenbelt Corp. and Greenway Partners, L.P. own. Mr. Kingsley beneficially owns 9.7% of the outstanding shares of common stock of BioTime’s subsidiary LifeMap Sciences Inc., including 523,810 shares owned by Mr. Kingsley and 1,047,620 shares owned by Greenway Partners, L.P., and 199,750 shares that may be acquired upon the exercise of certain stock options that are presently exercisable. Mr. Kingsley currently has options to purchase common shares or ordinary shares of certain BioTime subsidiaries, which are presently exercisable or may become exercisable within 60 days, and if exercised would entitle him to acquire: 1.3% of the outstanding shares of BioTime Asia; 1.2% of the outstanding shares of OrthoCyte Corporation; and less than 1% of the outstanding shares of other subsidiaries.</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74,531 shares owned by Mr. Culley.</w:t>
      </w:r>
    </w:p>
    <w:p>
      <w:pPr>
        <w:spacing w:after="0" w:line="225" w:lineRule="exact"/>
        <w:rPr>
          <w:rFonts w:ascii="Arial" w:cs="Arial" w:eastAsia="Arial" w:hAnsi="Arial"/>
          <w:sz w:val="18"/>
          <w:szCs w:val="18"/>
          <w:color w:val="auto"/>
        </w:rPr>
      </w:pPr>
    </w:p>
    <w:p>
      <w:pPr>
        <w:jc w:val="both"/>
        <w:ind w:left="460" w:hanging="452"/>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957,897 shares that may be acquired upon the exercise of certain stock options that are presently exercisable or that may become exercisable within 60 days. Dr. West currently has options to purchase common shares or ordinary shares of certain BioTime subsidiaries, which are presently exercisable or may become exercisable within 60 days, and if exercised would entitle Dr. West to acquire: 2.6% of the outstanding shares of BioTime Asia; 2.3% of the outstanding shares of OrthoCyte Corporation; and less than 1% of the outstanding shares of other subsidiaries.</w:t>
      </w:r>
    </w:p>
    <w:p>
      <w:pPr>
        <w:spacing w:after="0" w:line="154"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1,669,901 shares that may be acquired upon the exercise of certain options that are presently exercisable or that may become exercisable within 60 days.</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1,112,397 shares that may be acquired upon the exercise of certain options that are presently exercisable or that may become exercisable within 60 days.</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196,342 shares that may be acquired upon the exercise of certain options that are presently exercisable or that may become exercisable within 60 days.</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98,880 shares that may be acquired upon the exercise of certain options that are presently exercisable or that may become exercisable within 60 days.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62,647 shares owned by Mr. Bailey.</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74,160 shares that may be acquired upon the exercise of certain options that are presently exercisable or that may become exercisable within 60 days.</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4,834,697 shares that may be acquired upon the exercise of certain options that are presently exercisable or that may become exercisable within 60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certain information concerning the options outstanding and available for issuance under all of our compensation plans and agreements as of December 31, 2018 (in thousands, except weighted average exercise prices):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Shares to be Issued</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Upon Exercise of Outstanding</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 Remaining</w:t>
            </w: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Options and Vesting of</w:t>
            </w:r>
          </w:p>
        </w:tc>
        <w:tc>
          <w:tcPr>
            <w:tcW w:w="2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 Average Exercise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 for Future Issuance</w:t>
            </w: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Restricted Stock Units, and</w:t>
            </w:r>
          </w:p>
        </w:tc>
        <w:tc>
          <w:tcPr>
            <w:tcW w:w="120" w:type="dxa"/>
            <w:vAlign w:val="bottom"/>
          </w:tcPr>
          <w:p>
            <w:pPr>
              <w:spacing w:after="0"/>
              <w:rPr>
                <w:sz w:val="18"/>
                <w:szCs w:val="18"/>
                <w:color w:val="auto"/>
              </w:rPr>
            </w:pPr>
          </w:p>
        </w:tc>
        <w:tc>
          <w:tcPr>
            <w:tcW w:w="2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 the Outstanding</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 Compensation</w:t>
            </w:r>
          </w:p>
        </w:tc>
      </w:tr>
      <w:tr>
        <w:trPr>
          <w:trHeight w:val="241"/>
        </w:trPr>
        <w:tc>
          <w:tcPr>
            <w:tcW w:w="3440" w:type="dxa"/>
            <w:vAlign w:val="bottom"/>
            <w:gridSpan w:val="2"/>
          </w:tcPr>
          <w:p>
            <w:pPr>
              <w:ind w:left="1060"/>
              <w:spacing w:after="0"/>
              <w:rPr>
                <w:sz w:val="20"/>
                <w:szCs w:val="20"/>
                <w:color w:val="auto"/>
              </w:rPr>
            </w:pPr>
            <w:r>
              <w:rPr>
                <w:rFonts w:ascii="Arial" w:cs="Arial" w:eastAsia="Arial" w:hAnsi="Arial"/>
                <w:sz w:val="18"/>
                <w:szCs w:val="18"/>
                <w:b w:val="1"/>
                <w:bCs w:val="1"/>
                <w:color w:val="auto"/>
              </w:rPr>
              <w:t>Plan Category</w:t>
            </w: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2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and Rights</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Plans</w:t>
            </w:r>
          </w:p>
        </w:tc>
      </w:tr>
      <w:tr>
        <w:trPr>
          <w:trHeight w:val="202"/>
        </w:trPr>
        <w:tc>
          <w:tcPr>
            <w:tcW w:w="32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Equity Compensation Plans Approved by</w:t>
            </w:r>
          </w:p>
        </w:tc>
        <w:tc>
          <w:tcPr>
            <w:tcW w:w="2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w:t>
            </w:r>
          </w:p>
        </w:tc>
        <w:tc>
          <w:tcPr>
            <w:tcW w:w="2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w:t>
            </w:r>
          </w:p>
        </w:tc>
      </w:tr>
      <w:tr>
        <w:trPr>
          <w:trHeight w:val="202"/>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w:t>
            </w:r>
          </w:p>
        </w:tc>
        <w:tc>
          <w:tcPr>
            <w:tcW w:w="2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by Shareholders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1,854</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439"/>
        </w:trPr>
        <w:tc>
          <w:tcPr>
            <w:tcW w:w="3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6" w:name="page17"/>
    <w:bookmarkEnd w:id="16"/>
    <w:p>
      <w:pPr>
        <w:spacing w:after="0" w:line="308" w:lineRule="auto"/>
        <w:rPr>
          <w:sz w:val="20"/>
          <w:szCs w:val="20"/>
          <w:color w:val="auto"/>
        </w:rPr>
      </w:pPr>
      <w:r>
        <w:rPr>
          <w:rFonts w:ascii="Arial" w:cs="Arial" w:eastAsia="Arial" w:hAnsi="Arial"/>
          <w:sz w:val="17"/>
          <w:szCs w:val="17"/>
          <w:color w:val="auto"/>
        </w:rPr>
        <w:t>The following table shows certain information concerning the options outstanding and available for issuance under all of our compensation plans and agreements for our consolidated subsidiary companies as of December 31, 2018 (in thousands, except weighted average exercise prices):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Shares to be Issued</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Upon Exercise of Outstanding</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 Remaining</w:t>
            </w: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Options and Vesting of</w:t>
            </w:r>
          </w:p>
        </w:tc>
        <w:tc>
          <w:tcPr>
            <w:tcW w:w="2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 Average Exercise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 for Future Issuance</w:t>
            </w: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Restricted Stock Units, and</w:t>
            </w:r>
          </w:p>
        </w:tc>
        <w:tc>
          <w:tcPr>
            <w:tcW w:w="120" w:type="dxa"/>
            <w:vAlign w:val="bottom"/>
          </w:tcPr>
          <w:p>
            <w:pPr>
              <w:spacing w:after="0"/>
              <w:rPr>
                <w:sz w:val="18"/>
                <w:szCs w:val="18"/>
                <w:color w:val="auto"/>
              </w:rPr>
            </w:pPr>
          </w:p>
        </w:tc>
        <w:tc>
          <w:tcPr>
            <w:tcW w:w="2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 the Outstanding</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 Compensation</w:t>
            </w:r>
          </w:p>
        </w:tc>
      </w:tr>
      <w:tr>
        <w:trPr>
          <w:trHeight w:val="241"/>
        </w:trPr>
        <w:tc>
          <w:tcPr>
            <w:tcW w:w="3440" w:type="dxa"/>
            <w:vAlign w:val="bottom"/>
            <w:gridSpan w:val="2"/>
          </w:tcPr>
          <w:p>
            <w:pPr>
              <w:ind w:left="1060"/>
              <w:spacing w:after="0"/>
              <w:rPr>
                <w:sz w:val="20"/>
                <w:szCs w:val="20"/>
                <w:color w:val="auto"/>
              </w:rPr>
            </w:pPr>
            <w:r>
              <w:rPr>
                <w:rFonts w:ascii="Arial" w:cs="Arial" w:eastAsia="Arial" w:hAnsi="Arial"/>
                <w:sz w:val="18"/>
                <w:szCs w:val="18"/>
                <w:b w:val="1"/>
                <w:bCs w:val="1"/>
                <w:color w:val="auto"/>
              </w:rPr>
              <w:t>Plan Category</w:t>
            </w:r>
          </w:p>
        </w:tc>
        <w:tc>
          <w:tcPr>
            <w:tcW w:w="2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2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and Rights</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Plans</w:t>
            </w:r>
          </w:p>
        </w:tc>
      </w:tr>
      <w:tr>
        <w:trPr>
          <w:trHeight w:val="202"/>
        </w:trPr>
        <w:tc>
          <w:tcPr>
            <w:tcW w:w="32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OrthoCyte Equity Compensation Plans</w:t>
            </w:r>
          </w:p>
        </w:tc>
        <w:tc>
          <w:tcPr>
            <w:tcW w:w="2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Approved by Shareholders (1)</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r>
      <w:tr>
        <w:trPr>
          <w:trHeight w:val="202"/>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BioTime Asia Equity Compensation Plans</w:t>
            </w:r>
          </w:p>
        </w:tc>
        <w:tc>
          <w:tcPr>
            <w:tcW w:w="2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Approved by Shareholders (1)</w:t>
            </w:r>
          </w:p>
        </w:tc>
        <w:tc>
          <w:tcPr>
            <w:tcW w:w="276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bl>
    <w:p>
      <w:pPr>
        <w:spacing w:after="0" w:line="202" w:lineRule="exact"/>
        <w:rPr>
          <w:sz w:val="20"/>
          <w:szCs w:val="20"/>
          <w:color w:val="auto"/>
        </w:rPr>
      </w:pPr>
    </w:p>
    <w:p>
      <w:pPr>
        <w:ind w:left="620" w:hanging="515"/>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BioTime is the majority shareholder.</w:t>
      </w:r>
    </w:p>
    <w:p>
      <w:pPr>
        <w:spacing w:after="0" w:line="225" w:lineRule="exact"/>
        <w:rPr>
          <w:sz w:val="20"/>
          <w:szCs w:val="20"/>
          <w:color w:val="auto"/>
        </w:rPr>
      </w:pPr>
    </w:p>
    <w:p>
      <w:pPr>
        <w:jc w:val="both"/>
        <w:ind w:firstLine="459"/>
        <w:spacing w:after="0" w:line="277" w:lineRule="auto"/>
        <w:rPr>
          <w:sz w:val="20"/>
          <w:szCs w:val="20"/>
          <w:color w:val="auto"/>
        </w:rPr>
      </w:pPr>
      <w:r>
        <w:rPr>
          <w:rFonts w:ascii="Arial" w:cs="Arial" w:eastAsia="Arial" w:hAnsi="Arial"/>
          <w:sz w:val="18"/>
          <w:szCs w:val="18"/>
          <w:color w:val="auto"/>
        </w:rPr>
        <w:t>Additional information concerning our 2012 Equity Incentive Plan may be found in Note 13 to the Consolidated Financial Statements in our Annual Report on Form 10-K filed with the Securities and Exchange Commission on March 14,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Transactions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Since July 1, 2009, Alfred D. Kingsley has made available to us the use of approximately 900 square feet of office space in New York City. We pay the office building owner $5,050 per month for the use of the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Facilities and Services Agreement with OncoCyte and AgeX</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2018 and 2017, we invoiced OncoCyte $1.6 million each year for certain “Use Fees” and other charges under the terms of a Shared Facilities and Services Agreement (the “Shared Facilities Agreement”) between BioTime and OncoCyte. Under the Shared Facilities Agreement, BioTime allows OncoCyte to use BioTime’s premises and equipment located at Alameda, California for the sole purpose of conducting business. BioTime also provides accounting, billing, bookkeeping, payroll, treasury, payment of accounts payable, and other similar administrative services to OncoCyte. BioTime may also provide the services of attorneys, accountants, and other professionals who may also provide professional services to BioTime and its other subsidiaries. BioTime also has provided OncoCyte with the services of laboratory and research personnel, including BioTime employees and contractors, for the performance of research and development work for OncoCyte at the premises.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BioTime charges OncoCyte a “Use Fee” for services provided and usage of BioTime facilities, equipment, and supplies. For each billing period, BioTime prorates and allocates to OncoCyte costs incurred, including costs for services of BioTime employees and use of equipment, insurance, leased space, professional services, software licenses, supplies and utilities. The allocation of costs depends on key cost drivers, including actual documented use, square footage of facilities used, time spent, costs incurred by BioTime for OncoCyte, or upon proportionate usage by BioTime and OncoCyte, as reasonably estimated by BioTime. BioTime, at its discretion, has the right to charge OncoCyte a 5% markup on such allocated costs. In addition to the Use Fees, OncoCyte will reimburse BioTime for any out of pocket costs incurred by BioTime for the purchase of office supplies, laboratory supplies, and other goods and materials and services for the account or use of OncoCyte.</w:t>
      </w:r>
    </w:p>
    <w:p>
      <w:pPr>
        <w:spacing w:after="0" w:line="18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BioTime entered into a similar Shared Facilities Agreement with AgeX in 2018 and we invoiced them $0.6 million for Use Fees and expenses for that period.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BioTime also had a similar Shared Facilities Agreement with Asterias and during 2017 we invoiced Asterias $0.1 million for Use Fees and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did not extend into 2018.</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Chairman, Alfred D. Kingsley, and Neal Bradsher, an officer of Broadwood Partners, L.P., were directors of Asterias prior to our acquisition of Asterias on March 8, 2019. All of our directors and executive officers, and beneficial owners of more than 5% of our outstanding common stock (“5% Shareholders”) as reported in this Amendment No. 1 on Form 10-K, in the aggregate beneficially owned approximately 10.2% of the outstanding shares of Asterias common stock as of December 31, 2018, and approximately 10.2% of the outstanding shares of Asterias common stock immediately prior to the acquisition on March 8,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firstLine="486"/>
        <w:spacing w:after="0" w:line="255" w:lineRule="auto"/>
        <w:rPr>
          <w:sz w:val="20"/>
          <w:szCs w:val="20"/>
          <w:color w:val="auto"/>
        </w:rPr>
      </w:pPr>
      <w:r>
        <w:rPr>
          <w:rFonts w:ascii="Arial" w:cs="Arial" w:eastAsia="Arial" w:hAnsi="Arial"/>
          <w:sz w:val="18"/>
          <w:szCs w:val="18"/>
          <w:color w:val="auto"/>
        </w:rPr>
        <w:t>Mr. Kingsley and Mr. Redmond are directors of OncoCyte. Broadwood beneficially owns more than 10% of the outstanding common stock of OncoCyte, and all of our directors and executive officers and 5% Shareholders as reported in this Amendment No. 1 on Form 10-K, including Mr. Bradsher who may be deemed to beneficially own the shares owned by Broadwood, in the aggregate beneficially own approximately 18.9% of the outstanding shares of OncoCyte common stock as of April 22, 2019. The fact that certain of our executive officers and directors own shares of OncoCyte common stock should not be considered to mean that they constitute or are acting in concert as a “group” with respect to those shares or that they otherwise share power or authority to vote or dispose of the shares that each of them own.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225"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We have adopted a Related Person Transaction Policy that applies to transactions exceeding $120,000 in which any of our officers, directors, beneficial owners of more than 5% of our common shares, or any member of their immediate family, has a direct or indirect material interest, determined in accordance with the policy (a “Related Person Transaction”). A Related Person Transaction must be reported to our outside legal counsel, our Chief Operating Officer, and our Chief Financial Officer, and will be subject to review and approval by our Audit Committee prior to effectiveness or consummation, to the extent practical. In addition, any Related Person Transaction that is ongoing in nature will be reviewed by the Audit Committee annually to ensure that the transaction has been conducted in accordance with any previous approval and that all required disclosures regarding the transaction are made.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appropriate for the circumstances, the Audit Committee will review and consider:</w:t>
      </w:r>
    </w:p>
    <w:p>
      <w:pPr>
        <w:spacing w:after="0" w:line="225" w:lineRule="exact"/>
        <w:rPr>
          <w:sz w:val="20"/>
          <w:szCs w:val="20"/>
          <w:color w:val="auto"/>
        </w:rPr>
      </w:pPr>
    </w:p>
    <w:p>
      <w:pPr>
        <w:ind w:left="780" w:hanging="326"/>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of the officer, director, beneficial owner of more than 5% of our common shares, or any member of their immediate family (“Related Person”) in the Related Person Transaction;</w:t>
      </w:r>
    </w:p>
    <w:p>
      <w:pPr>
        <w:spacing w:after="0" w:line="17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780" w:hanging="326"/>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spacing w:after="0" w:line="17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purpose of, and the potential benefits to the transaction to us; and</w:t>
      </w:r>
    </w:p>
    <w:p>
      <w:pPr>
        <w:spacing w:after="0" w:line="225" w:lineRule="exact"/>
        <w:rPr>
          <w:rFonts w:ascii="Arial" w:cs="Arial" w:eastAsia="Arial" w:hAnsi="Arial"/>
          <w:sz w:val="18"/>
          <w:szCs w:val="18"/>
          <w:color w:val="auto"/>
        </w:rPr>
      </w:pPr>
    </w:p>
    <w:p>
      <w:pPr>
        <w:ind w:left="780" w:right="20" w:hanging="326"/>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Audit Committee will review all relevant information available to it about a Related Person Transaction. The Audit Committee may approve or ratify the Related Person Transaction only if the Audit Committee determines that, under all of the circumstances, the transaction is in, or is not in conflict with, our best interests. The Audit Committee may, in its sole discretion, impose such conditions as it deems appropriate on us or the Related Person in connection with approval of the Related Person Transaction.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copy of our Related Person Transaction Policy can be found on our website at </w:t>
      </w:r>
      <w:r>
        <w:rPr>
          <w:rFonts w:ascii="Arial" w:cs="Arial" w:eastAsia="Arial" w:hAnsi="Arial"/>
          <w:sz w:val="18"/>
          <w:szCs w:val="18"/>
          <w:i w:val="1"/>
          <w:iCs w:val="1"/>
          <w:u w:val="single" w:color="auto"/>
          <w:color w:val="auto"/>
        </w:rPr>
        <w:t>www.biotimeinc.com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495"/>
        <w:spacing w:after="0" w:line="272" w:lineRule="auto"/>
        <w:rPr>
          <w:sz w:val="20"/>
          <w:szCs w:val="20"/>
          <w:color w:val="auto"/>
        </w:rPr>
      </w:pPr>
      <w:r>
        <w:rPr>
          <w:rFonts w:ascii="Arial" w:cs="Arial" w:eastAsia="Arial" w:hAnsi="Arial"/>
          <w:sz w:val="17"/>
          <w:szCs w:val="17"/>
          <w:color w:val="auto"/>
        </w:rPr>
        <w:t>Our Board has determined that Deborah Andrews, Don M. Bailey, Neal C. Bradsher, Stephen C. Farrell, Michael H. Mulroy, Cavan Redmond, and Angus C. Russell qualify as “independent” in accordance with Section 803(A) of the NYSE American Company Guide. The members of our Audit Committee meet the additional independence standards under Section 803(B)(2) of the NYSE American Company Guide and Section 10A-3 under the Securities Exchange Act of 1934, as amended (the “Exchange Act”), and the members of our Compensation Committee meet the additional independence standards under Section 805(c)(1) of the NYSE American Company Guide. Our independent directors received no compensation or remuneration for serving as directors except as disclosed under “Director Compensation” in Item 11. None of these directors, nor any of the members of their families, have participated in any transaction with us that would disqualify them as “independent” directors under the standards described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following table shows the fees billed by OUM &amp; Co. LLP or OUM, our principal accountant, for the audit of our annual consolidated financial statements for our last two fiscal years and for other services rendered by OUM during our last two fiscal years.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30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604,000</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80" w:type="dxa"/>
            <w:vAlign w:val="bottom"/>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60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Audit Related Fees</w:t>
            </w:r>
            <w:r>
              <w:rPr>
                <w:rFonts w:ascii="Arial" w:cs="Arial" w:eastAsia="Arial" w:hAnsi="Arial"/>
                <w:sz w:val="30"/>
                <w:szCs w:val="30"/>
                <w:color w:val="auto"/>
                <w:vertAlign w:val="superscript"/>
              </w:rPr>
              <w:t>(2)</w:t>
            </w:r>
          </w:p>
        </w:tc>
        <w:tc>
          <w:tcPr>
            <w:tcW w:w="20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Borders>
              <w:bottom w:val="single" w:sz="8" w:color="CCEEFF"/>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0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632,000</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 Fees consist of fees billed for professional services rendered for the audit of the consolidated annual financial statements of BioTime and its several subsidiaries included in our Annual Report on Form 10-K, the reviews of the interim consolidated financial statements included in our Quarterly Reports on Form 10-Q, and services that are normally provided by our independent registered public accountants in connection with statutory and regulatory filings or engagements. Fees in the table include amounts of $92,000 and $450,000 paid for AgeX by BioTime for 2018 and 2017, respectively. 2017 fees for AgeX included fees paid for its 2016 audit as well as its 2017 audit as it was a newly registered public company in 2018 and was required to have an audited beginning balance sheet for 2017.</w:t>
      </w:r>
    </w:p>
    <w:p>
      <w:pPr>
        <w:spacing w:after="0" w:line="178" w:lineRule="exact"/>
        <w:rPr>
          <w:rFonts w:ascii="Arial" w:cs="Arial" w:eastAsia="Arial" w:hAnsi="Arial"/>
          <w:sz w:val="17"/>
          <w:szCs w:val="17"/>
          <w:color w:val="auto"/>
        </w:rPr>
      </w:pPr>
    </w:p>
    <w:p>
      <w:pPr>
        <w:jc w:val="both"/>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Audit-Related Fees consist of fees billed for assurance and related services that are reasonably related to the performance of the audit or review of BioTime’s consolidated financial statements and are not reported under “Audit Fees.” This category includes fees related to non-routine SEC filings.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Permissible Non-Audit Services</w:t>
      </w:r>
    </w:p>
    <w:p>
      <w:pPr>
        <w:spacing w:after="0" w:line="229"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 xml:space="preserve">Our Audit Committee requires pre-approval of all audit and non-audit services.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services incidental to audit services, non-audit services shall generally be limited to tax services such as advice and planning and financial due diligence services. All fees for such non-audit services must be approved by the Audit Committee, except to the extent otherwise permitted by applicable SEC regulations. The Committee may delegate to one or more designated members of the Committee the authority to grant pre-approvals, provided such approvals are presented to the Committee at a subsequent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Index to Consolidated Financial Statements on page 58.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660" w:right="1600"/>
        <w:spacing w:after="0" w:line="530" w:lineRule="auto"/>
        <w:rPr>
          <w:rFonts w:ascii="Arial" w:cs="Arial" w:eastAsia="Arial" w:hAnsi="Arial"/>
          <w:sz w:val="18"/>
          <w:szCs w:val="18"/>
          <w:color w:val="auto"/>
        </w:rPr>
      </w:pPr>
      <w:r>
        <w:rPr>
          <w:rFonts w:ascii="Arial" w:cs="Arial" w:eastAsia="Arial" w:hAnsi="Arial"/>
          <w:sz w:val="17"/>
          <w:szCs w:val="17"/>
          <w:color w:val="auto"/>
        </w:rPr>
        <w:t>Audited financial statements of Asterias for the year ended December 31, 2018 were filed as Exhibit 99.1 in the Original Filing Audited financial statements of OncoCyte for the year ended December 31, 2018 are filed as Exhibit 99.2.</w:t>
      </w: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Audited financial statements of AgeX for the year ended December 31, 2018 are not being filed herein because AgeX is no longer an equity method investee of BioTime since the AgeX distribution was completed on November 28, 2018.</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are omitted because the required information is inapplicable, or the information is presented in the financial statements or the notes thereto.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exhibits listed in the exhibit index of the Original Filing and the exhibits listed in the exhibit index of this Amendment are filed with, or incorporated by reference in, this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additional exhibits are filed with this Amendment:</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18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41"/>
        </w:trPr>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804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76"/>
        </w:trPr>
        <w:tc>
          <w:tcPr>
            <w:tcW w:w="9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5"/>
                <w:szCs w:val="15"/>
                <w:color w:val="auto"/>
              </w:rPr>
            </w:pPr>
          </w:p>
        </w:tc>
        <w:tc>
          <w:tcPr>
            <w:tcW w:w="7920" w:type="dxa"/>
            <w:vAlign w:val="bottom"/>
            <w:tcBorders>
              <w:top w:val="single" w:sz="8" w:color="auto"/>
              <w:bottom w:val="single" w:sz="8" w:color="0000EE"/>
            </w:tcBorders>
            <w:gridSpan w:val="4"/>
          </w:tcPr>
          <w:p>
            <w:pPr>
              <w:spacing w:after="0" w:line="17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Certification of principal executive officer pursuant to Rule 13a-14(a)/15d-14(a) of the Securities Exchange</w:t>
              </w:r>
            </w:hyperlink>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Act of 1934, as amended</w:t>
              </w:r>
            </w:hyperlink>
          </w:p>
        </w:tc>
        <w:tc>
          <w:tcPr>
            <w:tcW w:w="62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7"/>
                <w:szCs w:val="17"/>
                <w:color w:val="auto"/>
              </w:rPr>
            </w:pPr>
          </w:p>
        </w:tc>
        <w:tc>
          <w:tcPr>
            <w:tcW w:w="8040" w:type="dxa"/>
            <w:vAlign w:val="bottom"/>
            <w:gridSpan w:val="6"/>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Certification of principal financial officer pursuant to Rule 13a-14(a)/15d-14(a) of the Securities Exchange</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Act of 1934, as amended</w:t>
              </w:r>
            </w:hyperlink>
          </w:p>
        </w:tc>
        <w:tc>
          <w:tcPr>
            <w:tcW w:w="612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200" w:type="dxa"/>
            <w:vAlign w:val="bottom"/>
          </w:tcPr>
          <w:p>
            <w:pPr>
              <w:spacing w:after="0"/>
              <w:rPr>
                <w:sz w:val="17"/>
                <w:szCs w:val="17"/>
                <w:color w:val="auto"/>
              </w:rPr>
            </w:pPr>
          </w:p>
        </w:tc>
        <w:tc>
          <w:tcPr>
            <w:tcW w:w="6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Consent of OUM &amp; Co. LLP for 2018 Financial Statements of OncoCyte Corporation</w:t>
              </w:r>
            </w:hyperlink>
          </w:p>
        </w:tc>
        <w:tc>
          <w:tcPr>
            <w:tcW w:w="184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196"/>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1"/>
              </w:rPr>
              <w:t>99.2</w:t>
            </w:r>
          </w:p>
        </w:tc>
        <w:tc>
          <w:tcPr>
            <w:tcW w:w="200" w:type="dxa"/>
            <w:vAlign w:val="bottom"/>
          </w:tcPr>
          <w:p>
            <w:pPr>
              <w:spacing w:after="0"/>
              <w:rPr>
                <w:sz w:val="17"/>
                <w:szCs w:val="17"/>
                <w:color w:val="auto"/>
              </w:rPr>
            </w:pPr>
          </w:p>
        </w:tc>
        <w:tc>
          <w:tcPr>
            <w:tcW w:w="5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Audited financial statements of OncoCyte for the year ended December 31, 2018</w:t>
              </w:r>
            </w:hyperlink>
          </w:p>
        </w:tc>
        <w:tc>
          <w:tcPr>
            <w:tcW w:w="2200" w:type="dxa"/>
            <w:vAlign w:val="bottom"/>
            <w:gridSpan w:val="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bl>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 of Subsidiaries Not Consolidated and Fifty Percent or Less Owned Persons</w:t>
      </w:r>
    </w:p>
    <w:p>
      <w:pPr>
        <w:spacing w:after="0" w:line="225"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The following financial statements of OncoCyte Corporation are incorporated by reference to the financial statements included in OncoCyte’s Annual Report on Form 10-K for the year ended December 31, 2018, filed with the SEC on April 1, 2019, and filed herewith as Exhibit 99.2.</w:t>
      </w:r>
    </w:p>
    <w:p>
      <w:pPr>
        <w:spacing w:after="0" w:line="1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Balance sheets as at December 31, 2018 and 2017</w:t>
      </w:r>
    </w:p>
    <w:p>
      <w:pPr>
        <w:spacing w:after="0" w:line="23" w:lineRule="exact"/>
        <w:rPr>
          <w:rFonts w:ascii="Arial" w:cs="Arial" w:eastAsia="Arial" w:hAnsi="Arial"/>
          <w:sz w:val="18"/>
          <w:szCs w:val="18"/>
          <w:color w:val="auto"/>
        </w:rPr>
      </w:pPr>
    </w:p>
    <w:p>
      <w:pPr>
        <w:ind w:left="660" w:right="4740"/>
        <w:spacing w:after="0" w:line="281" w:lineRule="auto"/>
        <w:rPr>
          <w:rFonts w:ascii="Arial" w:cs="Arial" w:eastAsia="Arial" w:hAnsi="Arial"/>
          <w:sz w:val="18"/>
          <w:szCs w:val="18"/>
          <w:color w:val="auto"/>
        </w:rPr>
      </w:pPr>
      <w:r>
        <w:rPr>
          <w:rFonts w:ascii="Arial" w:cs="Arial" w:eastAsia="Arial" w:hAnsi="Arial"/>
          <w:sz w:val="16"/>
          <w:szCs w:val="16"/>
          <w:color w:val="auto"/>
        </w:rPr>
        <w:t>Statements of operations for the years ended December 31, 2018 and 2017 Statements of comprehensive loss for the years ended December 31, 2018 and 2017 Statement of stockholders’ equity for the years ended December 31, 2018 and 2017 Statements of cash flows for the years ended December 31, 2018 and 2017</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BIOTIME, INC.</w:t>
      </w:r>
    </w:p>
    <w:p>
      <w:pPr>
        <w:spacing w:after="0" w:line="225"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 April 30,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M. Culley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hereby consent to the incorporation by reference in the Registration Statements on Form S-2 (Registration Nos. 333-128083 and 333-109442), Form S-3 (Registration Nos. 333-166862, 333-167822, 333-174282, 333-182964, 333-183557, 333-187710, 333-188066, 333-201824, 333-209000, 333-217182, and 333-218807), and Form S-8 (Registration Nos. 333-101651, 333-122844, 333-163396, 333-192531, 333-205661, and 333-219204) and related prospectuses of BioTime, Inc. of our report dated April 1, 2019, with respect to the financial statements of OncoCyte Corporation, included in this Annual Report on Form 10-K/A (Amendment No. 1) of BioTime, Inc.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Culley,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BioTime, Inc.; and</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Brian M.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Brian M. Culley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Brandi L. Roberts,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BioTime, Inc.; and</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Brandi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Brandi L.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OncoCyte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Alameda,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OncoCyte Corporation (the “Company”) as of December 31, 2018 and 2017, the related statements of operations, comprehensive loss,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two years in the period ended December 31, 2018</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20" w:type="dxa"/>
            <w:vAlign w:val="bottom"/>
          </w:tcPr>
          <w:p>
            <w:pPr>
              <w:jc w:val="center"/>
              <w:ind w:left="3790"/>
              <w:spacing w:after="0"/>
              <w:rPr>
                <w:sz w:val="20"/>
                <w:szCs w:val="20"/>
                <w:color w:val="auto"/>
              </w:rPr>
            </w:pPr>
            <w:r>
              <w:rPr>
                <w:rFonts w:ascii="Arial" w:cs="Arial" w:eastAsia="Arial" w:hAnsi="Arial"/>
                <w:sz w:val="18"/>
                <w:szCs w:val="18"/>
                <w:b w:val="1"/>
                <w:bCs w:val="1"/>
                <w:color w:val="auto"/>
              </w:rPr>
              <w:t>ONCOCYTE CORPORATION</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20" w:type="dxa"/>
            <w:vAlign w:val="bottom"/>
          </w:tcPr>
          <w:p>
            <w:pPr>
              <w:jc w:val="center"/>
              <w:ind w:left="3770"/>
              <w:spacing w:after="0"/>
              <w:rPr>
                <w:sz w:val="20"/>
                <w:szCs w:val="20"/>
                <w:color w:val="auto"/>
              </w:rPr>
            </w:pPr>
            <w:r>
              <w:rPr>
                <w:rFonts w:ascii="Arial" w:cs="Arial" w:eastAsia="Arial" w:hAnsi="Arial"/>
                <w:sz w:val="18"/>
                <w:szCs w:val="18"/>
                <w:b w:val="1"/>
                <w:bCs w:val="1"/>
                <w:color w:val="auto"/>
                <w:w w:val="98"/>
              </w:rPr>
              <w:t>BALANCE SHEETS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jc w:val="center"/>
              <w:ind w:left="379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7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Marketable equity securities</w:t>
            </w:r>
          </w:p>
        </w:tc>
        <w:tc>
          <w:tcPr>
            <w:tcW w:w="1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8,642</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8,528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NONCURRENT ASSETS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Machinery and equipment, net</w:t>
            </w:r>
          </w:p>
        </w:tc>
        <w:tc>
          <w:tcPr>
            <w:tcW w:w="1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and other noncurrent assets</w:t>
            </w:r>
          </w:p>
        </w:tc>
        <w:tc>
          <w:tcPr>
            <w:tcW w:w="1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Amount due to BioTime and affiliates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2,101</w:t>
            </w:r>
          </w:p>
        </w:tc>
        <w:tc>
          <w:tcPr>
            <w:tcW w:w="340" w:type="dxa"/>
            <w:vAlign w:val="bottom"/>
          </w:tcPr>
          <w:p>
            <w:pPr>
              <w:spacing w:after="0"/>
              <w:rPr>
                <w:sz w:val="18"/>
                <w:szCs w:val="18"/>
                <w:color w:val="auto"/>
              </w:rPr>
            </w:pPr>
          </w:p>
        </w:tc>
        <w:tc>
          <w:tcPr>
            <w:tcW w:w="500" w:type="dxa"/>
            <w:vAlign w:val="bottom"/>
            <w:gridSpan w:val="2"/>
          </w:tcPr>
          <w:p>
            <w:pPr>
              <w:jc w:val="right"/>
              <w:ind w:right="37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payable, current</w:t>
            </w:r>
          </w:p>
        </w:tc>
        <w:tc>
          <w:tcPr>
            <w:tcW w:w="1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Capital lease liability, current</w:t>
            </w:r>
          </w:p>
        </w:tc>
        <w:tc>
          <w:tcPr>
            <w:tcW w:w="1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Loan payable, net of deferred financing costs, noncurrent</w:t>
            </w:r>
          </w:p>
        </w:tc>
        <w:tc>
          <w:tcPr>
            <w:tcW w:w="1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liability, noncurrent</w:t>
            </w:r>
          </w:p>
        </w:tc>
        <w:tc>
          <w:tcPr>
            <w:tcW w:w="1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6,095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no par value, 5,000 shares authorized; none issued and outstanding</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160"/>
              <w:spacing w:after="0" w:line="201" w:lineRule="exact"/>
              <w:rPr>
                <w:sz w:val="20"/>
                <w:szCs w:val="20"/>
                <w:color w:val="auto"/>
              </w:rPr>
            </w:pPr>
            <w:r>
              <w:rPr>
                <w:rFonts w:ascii="Arial" w:cs="Arial" w:eastAsia="Arial" w:hAnsi="Arial"/>
                <w:sz w:val="18"/>
                <w:szCs w:val="18"/>
                <w:color w:val="auto"/>
                <w:w w:val="97"/>
              </w:rPr>
              <w:t>Common stock, no par value, 85,000 shares authorized; 40,664 and 31,452 shares issued and</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outstanding at December 31, 2018 and 2017, respectively</w:t>
            </w:r>
          </w:p>
        </w:tc>
        <w:tc>
          <w:tcPr>
            <w:tcW w:w="1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74,742</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59,968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(71,319)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(54,677)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ONCOCYTE CORPORATION</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6,514</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NET</w:t>
            </w:r>
          </w:p>
        </w:tc>
        <w:tc>
          <w:tcPr>
            <w:tcW w:w="2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equity securities</w:t>
            </w:r>
          </w:p>
        </w:tc>
        <w:tc>
          <w:tcPr>
            <w:tcW w:w="2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expenses, net</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37,850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460" w:type="dxa"/>
            <w:vAlign w:val="bottom"/>
            <w:gridSpan w:val="5"/>
          </w:tcPr>
          <w:p>
            <w:pPr>
              <w:ind w:left="33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ONCOCYTE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(15,754)</w:t>
            </w:r>
          </w:p>
        </w:tc>
        <w:tc>
          <w:tcPr>
            <w:tcW w:w="122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Other comprehensive loss, net of tax:</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loss on sale of available-for-sale securities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Unrealized loss on available-for-sale securities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(15,754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(19,609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ONCOCYTE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91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Total</w:t>
            </w:r>
          </w:p>
        </w:tc>
      </w:tr>
      <w:tr>
        <w:trPr>
          <w:trHeight w:val="268"/>
        </w:trPr>
        <w:tc>
          <w:tcPr>
            <w:tcW w:w="4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20" w:type="dxa"/>
            <w:vAlign w:val="bottom"/>
            <w:gridSpan w:val="5"/>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89"/>
              </w:rPr>
              <w:t>Shareholders’</w:t>
            </w:r>
          </w:p>
        </w:tc>
      </w:tr>
      <w:tr>
        <w:trPr>
          <w:trHeight w:val="224"/>
        </w:trPr>
        <w:tc>
          <w:tcPr>
            <w:tcW w:w="4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28,737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(19,375)</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Unrealized loss on BioTime shares held as available-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for-sale securities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1,630</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exercise of 2016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2,392</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warrants for inducement to exercise 2016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warrants to Silicon Valley Bank</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5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Transfer of realized loss on sale of BioTime shares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r>
      <w:tr>
        <w:trPr>
          <w:trHeight w:val="203"/>
        </w:trPr>
        <w:tc>
          <w:tcPr>
            <w:tcW w:w="4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AT DECEMBER 31, 2017</w:t>
            </w:r>
          </w:p>
        </w:tc>
        <w:tc>
          <w:tcPr>
            <w:tcW w:w="11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31,452</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59,968</w:t>
            </w: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(888)</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(54,677)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4,403</w:t>
            </w:r>
          </w:p>
        </w:tc>
        <w:tc>
          <w:tcPr>
            <w:tcW w:w="100" w:type="dxa"/>
            <w:vAlign w:val="bottom"/>
            <w:tcBorders>
              <w:top w:val="single" w:sz="8" w:color="CCEEFF"/>
            </w:tcBorders>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(15,754)</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Cumulative-effect adjustment for adoption of ASU</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2016-01 on January 1, 2018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 of common shares and warrants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9,192</w:t>
            </w: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13,592</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13,592</w:t>
            </w: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Financing costs paid to issue common shares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3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40,664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ONCOCYTE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(15,754)</w:t>
            </w:r>
          </w:p>
        </w:tc>
        <w:tc>
          <w:tcPr>
            <w:tcW w:w="12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(19,375)</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Amortization of prepaid maintenance</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 for intangible assets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1,630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BioTime shares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Dividend income from AgeX Therapeutics common stock received as a dividend-in-kind</w:t>
            </w:r>
          </w:p>
        </w:tc>
        <w:tc>
          <w:tcPr>
            <w:tcW w:w="1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 equity securities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Warrants issued to certain shareholders as inducement to exercise of warrants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4,074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Amount due to BioTime and affiliates</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(11,649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420"/>
          </w:cols>
          <w:pgMar w:left="240" w:top="661" w:right="239" w:bottom="1440" w:gutter="0" w:footer="0" w:header="0"/>
        </w:sectPr>
      </w:pPr>
    </w:p>
    <w:p>
      <w:pPr>
        <w:ind w:left="180" w:right="2800" w:hanging="179"/>
        <w:spacing w:after="0" w:line="262"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proceeds from sale of BioTime shares Purchase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8"/>
                <w:szCs w:val="18"/>
                <w:color w:val="auto"/>
              </w:rPr>
            </w:pPr>
          </w:p>
        </w:tc>
      </w:tr>
      <w:tr>
        <w:trPr>
          <w:trHeight w:val="251"/>
        </w:trPr>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2">
            <w:col w:w="6820" w:space="720"/>
            <w:col w:w="388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Proceeds from exercise of warrants</w:t>
            </w: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shares</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Financing costs to issue common shares</w:t>
            </w:r>
          </w:p>
        </w:tc>
        <w:tc>
          <w:tcPr>
            <w:tcW w:w="6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common shares and warrants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Financing costs to issue common shares and warrants</w:t>
            </w:r>
          </w:p>
        </w:tc>
        <w:tc>
          <w:tcPr>
            <w:tcW w:w="6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loan payable, net of financing costs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Repayment of loan payable</w:t>
            </w:r>
          </w:p>
        </w:tc>
        <w:tc>
          <w:tcPr>
            <w:tcW w:w="6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6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12,114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At beginning of the year</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At end of the year</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7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SUPPLEMENTAL SCHEDULE OF NONCASH FINANCING AND INVESTING ACTIVITIES</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purchased under capital leases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78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ONCOCYTE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the Business and Liquidity</w:t>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OncoCyte Corporation (“OncoCyte”) is a developer of novel, non-invasive blood-based tests for the early detection of cancer. It is focused on developing molecular cancer diagnostics utilizing a discovery platform that focuses on identifying genetic markers that are differentially expressed in certain types of cancers. OncoCyte is currently devoting substantially all of its efforts on developing its lung cancer diagnostic test DetermaVu</w:t>
      </w:r>
      <w:r>
        <w:rPr>
          <w:rFonts w:ascii="Arial" w:cs="Arial" w:eastAsia="Arial" w:hAnsi="Arial"/>
          <w:sz w:val="28"/>
          <w:szCs w:val="28"/>
          <w:color w:val="auto"/>
          <w:vertAlign w:val="superscript"/>
        </w:rPr>
        <w:t>TM</w:t>
      </w:r>
      <w:r>
        <w:rPr>
          <w:rFonts w:ascii="Arial" w:cs="Arial" w:eastAsia="Arial" w:hAnsi="Arial"/>
          <w:sz w:val="17"/>
          <w:szCs w:val="17"/>
          <w:color w:val="auto"/>
        </w:rPr>
        <w:t>.</w:t>
      </w:r>
    </w:p>
    <w:p>
      <w:pPr>
        <w:spacing w:after="0" w:line="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OncoCyte was incorporated in 2009 in the state of California and was formerly a majority-owned subsidiary of BioTime, Inc. (“BioTime”), a publicly traded, clinical-stage, biotechnology company targeting degenerative diseases, primarily in the fields of ophthalmology, cell therapy for acute spinal cord injury and cancer immunotherapy. Beginning on February 17, 2017, OncoCyte ceased to be a subsidiary of BioTime for financial reporting purposes when BioTime’s percentage ownership of outstanding OncoCyte common stock declined below 50% as a result of the issuance of additional OncoCyte common stock to certain investors who exercised OncoCyte stock purchase warrants (see Note 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all periods presented, OncoCyte generated no revenues. Since inception, OncoCyte has financed its operations through the sale of common stock and warrants, warrant exercises, a bank loan, and sales of BioTime common shares that OncoCyte holds as marketable equity securities. BioTime also provided OncoCyte with the use of BioTime facilities and services under a Shared Facilities and Services Agreement as described in Note 4 (the “Shared Facilities Agreement”). OncoCyte has incurred operating losses and negative cash flows since inception and had an accumulated deficit of $71.3 million as of December 31, 2018. OncoCyte expects to continue to incur operating losses and negative cash flows for the near future.</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December 31, 2018, OncoCyte had $8.0 million of cash and cash equivalents and held BioTime and AgeX Therapeutics, Inc. (“AgeX”) common stock as marketable equity securities valued at $0.4 million. During February 2019 OncoCyte raised an additional $37.4 million in net proceeds, after the payment of underwriting fees and estimated offering expenses, through a public offering and sale of 10,733,334 shares of its common stock (see Note 10). OncoCyte believes that its current cash, cash equivalents and marketable equity securities is sufficient to carry out current operations through at least twelve months from the issuance date of the financial statements included herein.</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OncoCyte will need to raise additional capital to finance its operations, including the development of its cancer diagnostic tests, until such time as it is able to complete development and commercialize one or more diagnostic tests and generate sufficient revenues to cover its operating expenses. Presently, OncoCyte is devoting substantially all of its research and development resources to the completion of the development of DetermaVu™. OncoCyte may also explore a range of other commercialization options in order to reduce capital needs and the risks associated with the timelines and uncertainty for attaining the Medicare and commercial reimbursement approvals that will be essential for the successful commercialization of DetermaVu™ and any other diagnostic tests that OncoCyte may develop. Those alternative arrangements could include marketing arrangements with other diagnostic companies through which OncoCyte might receive a royalty on sales, or through which it might form a joint venture to market DetermaVu™ and share in net revenues.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Delays in the development of DetermaVu™ could prevent OncoCyte from raising sufficient additional capital to finance the completion of development and commercial launch of DetermaVu™ or other cancer diagnostic tests. Even if OncoCyte is successful in completing the development of DetermaVu™, investors may be reluctant to provide OncoCyte with capital until DetermaVu™ is approved for reimbursement by Medicare. The unavailability or inadequacy of financing or revenues to meet future capital needs could force OncoCyte to modify, curtail, delay, or suspend some or all aspects of planned operations. Sales of additional equity securities could result in the dilution of the interests of its shareholders. OncoCyte cannot assure that adequate financing will be available on favorable terms, if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financial statements presented herein have been prepared on a separate, stand-alone basis. The financial statements are presented in accordance with U.S. generally accepted accounting principles (“GAAP”). Prior to February 17, 2017, BioTime consolidated the results of OncoCyte into BioTime’s consolidated results based on BioTime’s ability to control OncoCyte’s operating and financial decisions and policies through its majority ownership of OncoCyte common stock. BioTime owned 51.1% of the outstanding common stock of OncoCyte at December 31, 2016. Beginning on February 17, 2017, BioTime’s percentage ownership of the outstanding OncoCyte common stock declined below 50%, resulting in a loss of “control” of OncoCyte under GAAP and, as a result, BioTime deconsolidated OncoCyte’s financial statements from BioTime’s consolidated financial statements. As a result of this deconsolidation, OncoCyte is no longer considered a subsidiary of BioTime under GAAP with effect from February 17, 2017. OncoCyte remains an affiliate of BioTime based on BioTime’s retained share ownership in OncoCyte, which is sufficient to allow BioTime to exert significant influence over the operations and management of OncoCyte.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To the extent OncoCyte does not have its own employees or human resources for its operations, BioTime or BioTime subsidiaries provide certain employees for administrative or operational services, as necessary, for the benefit of OncoCyte (see Note 4). Accordingly, BioTime allocates expenses such as salaries and payroll related expenses incurred and paid on behalf of OncoCyte based on the amount of time that particular employees devote to OncoCyte affairs. Other expenses such as legal, accounting, human resources, marketing, travel, and entertainment expenses are allocated to OncoCyte to the extent that those expenses are incurred by or on behalf of OncoCyte. BioTime also allocates certain overhead expenses such as facilities rent and utilities, property taxes, insurance, internet and telephone expenses based on a percentage determined by management. These allocations are made based upon activity-based allocation drivers such as time spent, percentage of square feet of office or laboratory space used, and percentage of personnel devoted to OncoCyte’s operations or management. Management evaluates the appropriateness of the percentage allocations on a periodic basis and believes that this basis for allocation is reasonable.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an ongoing basis, management evaluates estimates which are subject to significant judgment, including those related to the going concern assessments of OncoCyte financial statements, allocation of direct and indirect expenses, useful lives associated with long-lived intangible assets, equipment and furniture, loss contingencies, valuation allowances related to deferred income taxes, and assumptions used to value stock-based awards, debt or other equity instruments. Actual results could differ materially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 assessment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the implementation of FASB’s standard on going concern, Accounting Standard Update, or ASU No. 2014-15, OncoCyte assesses going concern uncertainty in its financial statements to determine if it has sufficient cash, cash equivalents and working capital on hand, including marketable equity securities, and any available borrowings on loans, to operate for a period of at least one year from the date the financial statements are issued, which is referred to as the “look-forward period” as defined by ASU No. 2014-15. As part of this assessment, based on conditions that are known and reasonably knowable to OncoCyte, it will consider various scenarios, forecasts, projections, estimates and will make certain key assumptions, including the timing and nature of projected cash expenditures or programs, and its ability to delay or curtail expenditures or programs, if necessary, among other factors. Based on this assessment, as necessary or applicable, OncoCyte makes certain assumptions around implementing curtailments or delays in the nature and timing of programs and expenditures to the extent OncoCyte deems probable those implementations can be achieved and it has the proper authority to execute them within the look-forward period in accordance with ASU No. 2014-15.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OncoCyte accounts for fair value measurements in accordance with Financial Accounting Standards Board (“FASB”) Accounting Standards Codification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(“ASC 820”). ASC 820 establishes a single authoritative definition of fair value, sets out a framework for measuring fair value and expands on required disclosures about fair value measurement.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ASC 820 describes a fair value hierarchy based on three levels of inputs, of which the first two are considered observable and the last unobservable, that may be used to measure fair value, which are the following:</w:t>
      </w:r>
    </w:p>
    <w:p>
      <w:pPr>
        <w:spacing w:after="0" w:line="17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225" w:lineRule="exact"/>
        <w:rPr>
          <w:rFonts w:ascii="Arial" w:cs="Arial" w:eastAsia="Arial" w:hAnsi="Arial"/>
          <w:sz w:val="18"/>
          <w:szCs w:val="18"/>
          <w:i w:val="1"/>
          <w:iCs w:val="1"/>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market prices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i w:val="1"/>
          <w:iCs w:val="1"/>
          <w:color w:val="auto"/>
        </w:rPr>
      </w:pPr>
    </w:p>
    <w:p>
      <w:pPr>
        <w:ind w:left="5660" w:right="20" w:hanging="5004"/>
        <w:spacing w:after="0" w:line="528" w:lineRule="auto"/>
        <w:tabs>
          <w:tab w:leader="none" w:pos="971"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In determining fair value, OncoCyte utilizes valuation techniques that maximize the use of observable inputs and minimize the use of unobservable inputs to the extent possible, and also considers counterparty credit risk in its assessment of fair value. For the periods presented, OncoCyte has no financial assets or liabilities recorded at fair value on a recurring basis, except for cash and cash equivalents consisting of money market funds and marketable equity securities of BioTime and AgeX common stock held by OncoCyte described below. These assets are measured at fair value using the period-end quoted market prices as a Level 1 input.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amounts of cash equivalents, prepaid expenses and other current assets, amounts due to BioTime and other affiliates, accounts payable, accrued expenses and other current liabilities approximate fair values because of the short-term nature of these items.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the Loan Payable to Silicon Valley Bank approximates fair value because the loan bears interest at a floating market rate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equivalents typically consisted of highly liquid investments, with maturities of three months or less when purchased. At December 31, 2018 and 2017, OncoCyte’s cash balances totaled $8.0 million and $7.6 million,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OncoCyte to credit risk consist principally of cash and cash equivalents. OncoCyte maintains cash and cash equivalent balances at financial institutions in excess of amounts insured by United States government agencies. OncoCyte places its cash and cash equivalents with high credit quality financial institutions.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BioTime and AgeX shares of common stock</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OncoCyte accounts for the BioTime shares it holds, including the AgeX shares of common stock received as a dividend-in-kind on November 28, 2018, as marketable equity securities in accordance with ASC 320-10-25,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xml:space="preserve">, as amended by Accounting Standards Update (“ASU”) 2016-01, </w:t>
      </w:r>
      <w:r>
        <w:rPr>
          <w:rFonts w:ascii="Arial" w:cs="Arial" w:eastAsia="Arial" w:hAnsi="Arial"/>
          <w:sz w:val="16"/>
          <w:szCs w:val="16"/>
          <w:i w:val="1"/>
          <w:iCs w:val="1"/>
          <w:color w:val="auto"/>
        </w:rPr>
        <w:t>Financial Instruments–Overall: Recognition and Measurement of Financial Assets and Financial Liabilities</w:t>
      </w:r>
      <w:r>
        <w:rPr>
          <w:rFonts w:ascii="Arial" w:cs="Arial" w:eastAsia="Arial" w:hAnsi="Arial"/>
          <w:sz w:val="16"/>
          <w:szCs w:val="16"/>
          <w:color w:val="auto"/>
        </w:rPr>
        <w:t>, as the shares have a readily determinable fair value quoted on the NYSE American and are held principally to meet future working capital purposes, as necessary. The securities are measured at fair value and reported as current assets on the balance sheet based on the closing trading price of the security as of the date being presented.</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Beginning on January 1, 2018, with the adoption of ASU 2016-01 discussed below, these securities are now called “marketable equity securities” and unrealized holding gains and losses on these securities are reported in the statements of operations in other income and expenses, net. Prior to January 1, 2018 and the adoption of ASU 2016-01, the BioTime shares held were called “available-for-sale securities” and unrealized holding gains and losses were reported in other comprehensive income or loss, net of tax, and were a component of the accumulated other comprehensive income or loss on the balance sheet. Realized gains and losses are included in other income and expenses, net, in the statements of operations.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 2018, in accordance with the adoption of ASU 2016-01, OncoCyte recorded a cumulative-effect adjustment for the BioTime shares as available-for-sale-securities to reclassify the unrealized loss of $888,000 included in accumulated other comprehensive loss to the accumulated deficit balance.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2018, BioTime distributed shares of AgeX common stock owned by BioTime to holders of BioTime common shares, on a pro rata basis, in the ratio of one share of AgeX common stock for every ten BioTime common shares owned. As a shareholder of BioTime common stock, OncoCyte received 35,326 shares of AgeX common stock as its pro rata share and recorded a $96,000 dividend in other income and expenses for the year ended December 31, 2018.</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2018, OncoCyte recorded an unrealized loss of $427,000, included in other income and expenses, net, due to the decrease in fair market value of the BioTime shares from January 1, 2018 to December 31, 2018, and the decrease in the fair market value of the AgeX shares from November 28, 2018 to December 31,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2017, OncoCyte sold 266,442 shares of BioTime common stock for net proceeds of $934,000 and recognized a $309,000 loss from the sale of the BioTime shares included in other income and expenses, net. The proceeds were used to pay down amounts owed to BioTime and affiliates (see Note 4). OncoCyte did not sell any shares of BioTime stock during the year ended December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48"/>
        <w:spacing w:after="0" w:line="264" w:lineRule="auto"/>
        <w:rPr>
          <w:sz w:val="20"/>
          <w:szCs w:val="20"/>
          <w:color w:val="auto"/>
        </w:rPr>
      </w:pPr>
      <w:r>
        <w:rPr>
          <w:rFonts w:ascii="Arial" w:cs="Arial" w:eastAsia="Arial" w:hAnsi="Arial"/>
          <w:sz w:val="18"/>
          <w:szCs w:val="18"/>
          <w:color w:val="auto"/>
        </w:rPr>
        <w:t>As of December 31, 2018, OncoCyte held 353,264 and 35,326 shares of common stock of BioTime and AgeX, respectively, as marketable equity securities with a combined fair market value of $428,000. Any proceeds from the sale of BioTime shares may be used by OncoCyte to pay amounts owed to BioTime and its affiliates or for working capital purposes (see Notes 4 and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Long-lived intangible assets, primarily consisting of acquired patents, patent applications, and licenses to use certain patents are stated at acquired cost, less accumulated amortization (see Note 3). Amortization expense is computed using the straight-line method over the estimated useful lives of the assets over a period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Machinery and equipment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Machinery and equipment are stated at cost, less accumulated depreciation. Depreciation is computed using the straight-line method over the estimated useful lives of the assets, generally over a period of 3 to 10 years. For equipment purchased under capital leases, OncoCyte depreciates the equipment based on the shorter of the useful life of the equipment or the term of the lease, ranging from 3 to 5 years, depending on the nature and classification of the capital lease. Maintenance and repairs are expensed as incurred whereas significant renewals and betterments are capitalized. When assets are retired or otherwise disposed of, the cost and the related accumulated depreciation are removed from the respective accounts and any resulting gain or loss is reflected in OncoCyte’s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OncoCyte assesses the impairment of long-lived assets, which consist primarily of long-lived intangible assets, machinery and equipment, whenever events or changes in circumstances indicate that such assets might be impaired and the carrying value may not be recoverable. If events or changes in circumstances indicate that the carrying amount of an asset may not be recoverable and the expected undiscounted future cash flows attributable to the asset are less than the carrying amount of the asset, an impairment loss equal to the excess of the asset’s carrying value over its fair value is recorded. As part of OncoCyte’s impairment assessment of its intangible assets, OncoCyte determined that certain intangible assets, mainly comprised of patents and patent rights for therapeutic uses that OncoCyte no longer plans to develop or commercialize, were impaired as of June 30, 2018 and, accordingly, OncoCyte recorded a noncash charge of $625,000 representing the net book value of those assets as of that date, and included that charge in research and development expenses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warrants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OncoCyte determines the accounting classification of warrants it issues, as either liability or equity classified, by first assessing whether the warrants meet liability classification in accordance with ASC 480-10, </w:t>
      </w:r>
      <w:r>
        <w:rPr>
          <w:rFonts w:ascii="Arial" w:cs="Arial" w:eastAsia="Arial" w:hAnsi="Arial"/>
          <w:sz w:val="17"/>
          <w:szCs w:val="17"/>
          <w:i w:val="1"/>
          <w:iCs w:val="1"/>
          <w:color w:val="auto"/>
        </w:rPr>
        <w:t>Accounting for Certain Financial Instruments with Characteristics of both Liabilities and</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then in accordance with ASC 815-40,</w:t>
      </w:r>
      <w:r>
        <w:rPr>
          <w:rFonts w:ascii="Arial" w:cs="Arial" w:eastAsia="Arial" w:hAnsi="Arial"/>
          <w:sz w:val="17"/>
          <w:szCs w:val="17"/>
          <w:i w:val="1"/>
          <w:iCs w:val="1"/>
          <w:color w:val="auto"/>
        </w:rPr>
        <w:t xml:space="preserve"> Accounting for Derivative Financial Instruments Indexed to, and Potentially Settled in, a Company’s Own Stock</w:t>
      </w:r>
      <w:r>
        <w:rPr>
          <w:rFonts w:ascii="Arial" w:cs="Arial" w:eastAsia="Arial" w:hAnsi="Arial"/>
          <w:sz w:val="17"/>
          <w:szCs w:val="17"/>
          <w:color w:val="auto"/>
        </w:rPr>
        <w:t>. Under ASC 480, warrants are considered liability classified if the warrants are mandatorily redeemable, obligate OncoCyte to settle the warrants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shares by paying cash or other assets, or warrants that must or may require settlement by issuing variable number of shares. If warrants do not meet liability classification under ASC 480-10, OncoCyte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and in order to conclude equity classification, OncoCyte also assesses whether the warrants are indexed to its common stock and whether the warrants are classified as equity under ASC 815-40 or other applicable GAAP. After all relevant assessments, OncoCyte concludes whether the warrants are classified as liability or equity. Liability classified warrants require fair value accounting at issuance and subsequent to initial issuance with all changes in fair value after the issuance date recorded in the statements of operations. Equity classified warrants only require fair value accounting at issuance with no changes recognized subsequent to the issuance date. OncoCyte does not have any liability classified warrants as of any period presented (see Note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OncoCyte has filed a standalone U.S. federal income tax return since its inception. For California purposes, OncoCyte activity for 2016 and for the period from January 1, 2017 through February 16, 2017, the date immediately before BioTime owned less than 50% of OncoCyte outstanding common stock, was included in BioTime’s California combined tax return. For periods beginning on February 17, 2017 and thereafter, OncoCyte filed or will file a standalone California income tax return. The provision for state income taxes has been determined as if OncoCyte had filed separate tax returns for the periods presented. Accordingly, the effective tax rate of OncoCyte in future years could vary from its historical effective tax rates depending on the future legal structure of OncoCyte and related tax elections. The historical deferred tax assets, including the operating losses and credit carryforwards generated by OncoCyte, will remain with OncoCyte. OncoCyte accounts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prescribes the use of the asset and liability method, whereby deferred tax 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OncoCyte’s judgments regarding future taxable income may change over time due to changes in market conditions, changes in tax laws, tax planning strategies or other factors. If OncoCyte’s assumptions and consequently its estimates change in the future, the valuation allowance may be increased or decreased, which may have a material impact on OncoCyte’s statements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48"/>
        <w:spacing w:after="0" w:line="255" w:lineRule="auto"/>
        <w:rPr>
          <w:sz w:val="20"/>
          <w:szCs w:val="20"/>
          <w:color w:val="auto"/>
        </w:rPr>
      </w:pPr>
      <w:r>
        <w:rPr>
          <w:rFonts w:ascii="Arial" w:cs="Arial" w:eastAsia="Arial" w:hAnsi="Arial"/>
          <w:sz w:val="18"/>
          <w:szCs w:val="18"/>
          <w:color w:val="auto"/>
        </w:rPr>
        <w:t>The guidance also prescribes a recognition threshold and a measurement attribute for the financial statement recognition and measurement of tax positions taken or expected to be taken in a tax return. For those benefits to be recognized, a tax position must be more-likely-than-not sustainable upon examination by taxing authorities. OncoCyte will recognize accrued interest and penalties related to unrecognized tax benefits as income tax expense. No amounts were accrued for the payment of interest and penalties as of December 31, 2018 and 2017. OncoCyte is not aware of any uncertain tax positions that could result in significant additional payments, accruals, or other material deviation for the years ended December 31, 2018 and 2017. OncoCyte is currently unaware of any tax issues under review.</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22, 2017, the United States enacted major federal tax reform legislation, Public Law No. 115-97, commonly referred to as the 2017 Tax Cuts and Jobs Act (“2017 Tax Act”), which enacted a broad range of changes to the Internal Revenue Code. Changes to taxes on corporations impacted by the 2017 Tax Act include, but are not limited to, lowering the U.S. federal tax rates to a 21% flat tax rate, eliminating the corporate alternative minimum tax (“AMT”), imposing additional limitations on the deductibility of interest and net operating losses, allowing any net operating loss (“NOLs”) generated in tax years ending after December 31, 2017 to be carried forward indefinitely and generally repealing carrybacks, reducing the maximum deduction for NOL carryforwards arising in tax years beginning after 2017 to a percentage of the taxpayer’s taxable income, and allowing for additional expensing of certain capital expenditures. The 2017 Tax Act also puts into effect a number of changes impacting operations outside of the United States including, but not limited to, the imposition of a one-time tax “deemed repatriation” on accumulated offshore earnings not previously subject to U.S. tax, and shifts the U.S taxation of multinational corporations from a worldwide system of taxation to a territorial system. ASC 740 requires the effects of changes in tax rates and laws on deferred tax balances (including the effects of the one-time transition tax) to be recognized in the period in which the legislation is enacted (see Note 8).</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to provide guidance for companies that are not able to complete their accounting for the income tax effects of the 2017 Tax Act in the period of enactment. SAB 118 allows OncoCyte to record provisional amounts during a measurement period not to extend beyond one year of the enactment date (see Note 8). OncoCyte applied the guidance in SAB 118 when accounting for the enactment-date effects of the 2017 Tax Act during the years ended December 31, 2018 and 2017. As of December 31, 2018, OncoCyte completed its accounting for all the enactment-date income tax effects of the 2017 Tax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include both direct expenses incurred by OncoCyte and indirect overhead costs allocated by BioTime that benefit or support OncoCyte’s research and development functions. Direct research and development expenses consist primarily of personnel costs and related benefits, including stock-based compensation, outside consultants and suppliers. Indirect research and development expenses allocated by BioTime to OncoCyte under the Shared Facilities Agreement (see Note 4), are primarily based on headcount or space occupied, as applicable, and include laboratory supplies, laboratory expenses, rent and utilities, common area maintenance, telecommunications, property taxes and insurance. Research and development costs are expensed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include both direct expenses incurred by OncoCyte and indirect overhead costs allocated by BioTime that benefit or support OncoCyte’s general and administrative functions. Direct general and administrative expenses consist primarily of compensation and related benefits, including stock-based compensation, for executive and corporate personnel, and professional and consulting fees. Indirect general and administrative expenses allocated by BioTime to OncoCyte under the Shared Facilities Agreement (see Note 4) are primarily based on headcount or space occupied, as applicable, and include costs for financial reporting and compliance, rent and utilities, common area maintenance, telecommunications, property taxes and insurance.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consist primarily of personnel costs and related benefits, including stock-based compensation, trade shows and booths, branding and positioning, and outside consultants. Indirect sales and marketing expenses allocated by BioTime, primarily based on OncoCyte’s headcount or space occupied, as applicable, include costs for rent and utilities, common area maintenance, telecommunications, property taxes and insurance, incurred by BioTime and allocated to us under the Shared Facilities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OncoCyte recognizes compensation expense related to employee option grants and restricted stock grants, if any,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simplifies several aspects of the accounting for share-based payment transactions, including the income tax consequences,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OncoCyte adopted ASU 2016-09 beginning on January 1, 2017.</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connection with the adoption of ASU 2016-09, OncoCyte changed its accounting policies including how it accounts for excess tax benefits and deficiencies, if any, and forfeitures, as applicable. All excess tax benefits and tax deficiencies from stock-based compensation awards accounted for under ASC 718 are recognized as income tax benefit or expense, respectively, in the statements of operations. Prior to the adoption of ASU 2016-09, OncoCyte recognized excess tax benefits, if any, in additional paid-in capital only if the tax deduction reduced cash income taxes payable and, excess tax deficiencies were recognized either as an offset to accumulated excess tax benefits, if any, on OncoCyte’s statements of operations. An excess income tax benefit arises when the tax deduction of a share-based award for income tax purposes exceeds the compensation cost recognized for financial reporting purposes and, a tax deficiency arises when the compensation cost exceeds the tax deduction. Because OncoCyte has a full valuation allowance for all periods presented (see Note</w:t>
      </w:r>
    </w:p>
    <w:p>
      <w:pPr>
        <w:spacing w:after="0" w:line="3" w:lineRule="exact"/>
        <w:rPr>
          <w:sz w:val="20"/>
          <w:szCs w:val="20"/>
          <w:color w:val="auto"/>
        </w:rPr>
      </w:pPr>
    </w:p>
    <w:p>
      <w:pPr>
        <w:ind w:firstLine="8"/>
        <w:spacing w:after="0" w:line="261"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and an insignificant number of stock option exercises during the current quarter, there was no impact to OncoCyte statements of operations for any excess tax benefits or deficiencies, as any excess benefit or deficiency would be offset by the change in the valuation allowance.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Forfeitures are accounted for as they occur instead of based on the number of awards that were expected to vest. Based on the nature and timing of OncoCyte’s grants, straight line expense attribution of stock-based compensation for the entire award and the relatively low forfeiture rate on OncoCyte’s experience, the impact of the adoption of ASU 2016-09 pertaining to forfeitures was not significant to OncoCyte’s financial statements.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OncoCyte estimates the fair value of employee stock-based payment awards on the grant-date and recognizes the resulting fair value over the requisite service period. For stock-based awards that vest only upon the attainment of one or more performance goals set by OncoCyte at the time of the grant, compensation cost is recognized if and when OncoCyte determines that it is probable that the performance condition or conditions will be, or have been, achieved. OncoCyte uses the Black-Scholes option pricing model for estimating the fair value of options granted under OncoCyte’s equity plans. The fair value of each restricted stock grant, if any, is determined based on the value of the common stock granted or sold. OncoCyte has elected to treat stock-based payment awards with graded vesting schedules and time-based service conditions as a single award and recognizes stock-based compensation on a straight-line basis over the requisite service period.</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Compensation expense for non-employee stock-based awards is recognized in accordance with ASC 718 and FASB ASC 505-50, </w:t>
      </w:r>
      <w:r>
        <w:rPr>
          <w:rFonts w:ascii="Arial" w:cs="Arial" w:eastAsia="Arial" w:hAnsi="Arial"/>
          <w:sz w:val="17"/>
          <w:szCs w:val="17"/>
          <w:i w:val="1"/>
          <w:iCs w:val="1"/>
          <w:color w:val="auto"/>
        </w:rPr>
        <w:t>Equity-Based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 to Non-Employees</w:t>
      </w:r>
      <w:r>
        <w:rPr>
          <w:rFonts w:ascii="Arial" w:cs="Arial" w:eastAsia="Arial" w:hAnsi="Arial"/>
          <w:sz w:val="17"/>
          <w:szCs w:val="17"/>
          <w:color w:val="auto"/>
        </w:rPr>
        <w:t>. Stock option awards issued to non-employees, principally consultants and employees of BioTime or employees of BioTime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who perform services for OncoCyte, are accounted for at fair value using the Black-Scholes option pricing model. Management believes that the fair value of the stock options can more reliably be measured than the fair value of services received. OncoCyte records compensation expense based on the then-current fair values of the stock options at each financial reporting date. Compensation expense recorded during the service period is adjusted in subsequent periods for changes in the fair value of the stock options until the earlier of the date at which the non-employee’s performance is complete or a performance commitment is reached, which is generally when the stock option award vests. Compensation expense for non-employee grants is recorded on a straight-line basis in the statements of operations (see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section below).</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Black-Scholes option pricing model requires OncoCyte to make certain assumptions including the expected option term, the expected volatility, the risk-free interest rate and the dividend yield (see Note 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71" w:lineRule="auto"/>
        <w:rPr>
          <w:sz w:val="20"/>
          <w:szCs w:val="20"/>
          <w:color w:val="auto"/>
        </w:rPr>
      </w:pPr>
      <w:r>
        <w:rPr>
          <w:rFonts w:ascii="Arial" w:cs="Arial" w:eastAsia="Arial" w:hAnsi="Arial"/>
          <w:sz w:val="17"/>
          <w:szCs w:val="17"/>
          <w:color w:val="auto"/>
        </w:rPr>
        <w:t xml:space="preserve">The expected term of employee stock options represents the weighted-average period that the stock options are expected to remain outstanding. OncoCyte estimates the expected term of options granted based on its own experience and, in part, based on upon the “simplified method” provided under </w:t>
      </w:r>
      <w:r>
        <w:rPr>
          <w:rFonts w:ascii="Arial" w:cs="Arial" w:eastAsia="Arial" w:hAnsi="Arial"/>
          <w:sz w:val="17"/>
          <w:szCs w:val="17"/>
          <w:i w:val="1"/>
          <w:iCs w:val="1"/>
          <w:color w:val="auto"/>
        </w:rPr>
        <w:t>Staff Accounting Bulletin, Topic 14</w:t>
      </w:r>
      <w:r>
        <w:rPr>
          <w:rFonts w:ascii="Arial" w:cs="Arial" w:eastAsia="Arial" w:hAnsi="Arial"/>
          <w:sz w:val="17"/>
          <w:szCs w:val="17"/>
          <w:color w:val="auto"/>
        </w:rPr>
        <w:t>, or SAB Topic 14, as necessary. For the years ended December 31, 2018 and 2017, OncoCyte estimated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using its own stock price volatility to the extent applicable or a combination of its stock price volatility and the stock price volatility of stock of peer companies, for a period equal to the expected term of the options. The risk-free interest rate assumption is based upon observed interest rates on the United States government securities appropriate for the expected term of OncoCyte’s stock options. The dividend yield assumption is based on OncoCyte’s history and expectation of dividend payouts. OncoCyte has never declared or paid any cash dividends on its common stock, and OncoCyte does not anticipate paying any cash dividends in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computed by dividing net loss by the weighted-average number of shares of common stock outstanding for the period. Diluted net loss per share reflects the weighted-average number of shares of common stock outstanding plus the potential effect of dilutive securities or contracts which are exercisable to common stock, such as stock options and warrants (using the treasury stock method) and shares issuable in future periods, except in cases where the effect would be anti-dilutive. Because OncoCyte reported net losses for all periods presented, all potentially dilutive common stock are antidilutive for those periods.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common share of common stock for the years ended December 31, 2018 and 2017 because including them would have been antidilutive (in thousands):</w:t>
      </w:r>
    </w:p>
    <w:p>
      <w:pPr>
        <w:spacing w:after="0" w:line="18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5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60" w:type="dxa"/>
            <w:vAlign w:val="bottom"/>
          </w:tcPr>
          <w:p>
            <w:pPr>
              <w:jc w:val="right"/>
              <w:spacing w:after="0"/>
              <w:rPr>
                <w:sz w:val="20"/>
                <w:szCs w:val="20"/>
                <w:color w:val="auto"/>
              </w:rPr>
            </w:pPr>
            <w:r>
              <w:rPr>
                <w:rFonts w:ascii="Arial" w:cs="Arial" w:eastAsia="Arial" w:hAnsi="Arial"/>
                <w:sz w:val="18"/>
                <w:szCs w:val="18"/>
                <w:color w:val="auto"/>
              </w:rPr>
              <w:t>4,035</w:t>
            </w:r>
          </w:p>
        </w:tc>
        <w:tc>
          <w:tcPr>
            <w:tcW w:w="3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OncoCyte’s executive management team, as a group, represents the entity’s chief operating decision makers. To date, OncoCyte’s executive management team has viewed OncoCyte’s operations as one segment that includes, the research and development of diagnostic tests for the detection of cancer. As a result, the financial information disclosed materially represents all of the financial information related to OncoCyte’s sole operating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accounting standards, which are not yet effective, are presently being evaluated by OncoCyte to determine the impact that they might have on its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simplifies the accounting for non-employee share-based payment transactions. The new standard expands the scope of Topic 718</w:t>
      </w:r>
      <w:r>
        <w:rPr>
          <w:rFonts w:ascii="Arial" w:cs="Arial" w:eastAsia="Arial" w:hAnsi="Arial"/>
          <w:sz w:val="18"/>
          <w:szCs w:val="18"/>
          <w:i w:val="1"/>
          <w:iCs w:val="1"/>
          <w:color w:val="auto"/>
        </w:rPr>
        <w:t xml:space="preserve"> </w:t>
      </w:r>
      <w:r>
        <w:rPr>
          <w:rFonts w:ascii="Arial" w:cs="Arial" w:eastAsia="Arial" w:hAnsi="Arial"/>
          <w:sz w:val="18"/>
          <w:szCs w:val="18"/>
          <w:color w:val="auto"/>
        </w:rPr>
        <w:t>to include share-based payment transactions for acquiring goods and services from non-employees. ASU 2018-07 is effective for fiscal years beginning after December 15, 2018 (including interim periods within that fiscal year), with early adoption permitted. As OncoCyte does not have a significant number of nonemployee share-based awards, OncoCyte does not believe that the application of the new standard will have a material impact on its financial statements when it is adopted on January 1, 2019.</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lessees to recognize assets and liabilities for leases with lease terms greater than twelve months in the statement of financial position. Leases will be classified as either finance or operating, with classification affecting the pattern of expense recognition in the income statement. ASU 2016-02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In July 2018, the FASB issued ASU 2018-10 and ASU 2018-11. ASU 2018-10 provides certain areas for improvement in ASU 2016-02 and ASU 2018-11 provides an additional optional transition method by allowing entities to initially apply the new lease standard at the adoption date and recognize a cumulative-effect adjustment to the opening balance of retained earnings in the period of adoption. OncoCyte is completing its assessment of the impact the adoption of ASU 2016-02 will have on its financial statements, but because OncoCyte does not have significant operating leases that would meet the scope of ASU 2016-02, OncoCyte does not expect the adoption of ASU 2016-02 on January 1, 2019, including the use of the optional transition method allowed by ASU 2018-11, will have a material impact to its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3. Selected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accrued expenses and other current liabilities were comprised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Accrued vendors and other expenses</w:t>
            </w:r>
          </w:p>
        </w:tc>
        <w:tc>
          <w:tcPr>
            <w:tcW w:w="10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2011, OncoCyte, through its then parent, BioTime, acquired substantially all of the assets of Cell Targeting, Inc., a company that was engaged in cancer therapy. The assets acquired consist primarily of patents, patent applications, and licenses to use certain patents. OncoCyte amortizes intangible assets over their useful lives estimated to be 10 years at the date of the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w w:val="93"/>
              </w:rPr>
              <w:t>At December 31, 2018 and 2017, intangible assets were comprised of the following (in thousands):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0"/>
        </w:trPr>
        <w:tc>
          <w:tcPr>
            <w:tcW w:w="80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30"/>
                <w:szCs w:val="30"/>
                <w:b w:val="1"/>
                <w:bCs w:val="1"/>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(1,673)</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part of OncoCyte’s impairment assessment of certain intangible assets, OncoCyte determined that those assets were impaired as of June 30, 2018 and, accordingly, OncoCyte recorded a noncash charge of $625,000 representing the net book value of those assets as of that date, and included that charge in research and development expenses for the year ended December 31, 2018. The impairment was primarily due to OncoCyte’s decision to discontinue any further utilization of the underlying patents, patent applications and licenses since those assets are for therapeutic use and not for diagnostic use, as OncoCyte continues to devote all of its research and development resources and commercialization efforts to cancer diagnostic tests. Research and development expenses for the year ended December 31, 2018 include $121,000 in amortization expense related to those intangible assets recorded prior to the impairment charge. For the year ended December 31, 2017, research and development expenses include $242,000 of amortization of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Machinery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machinery and equipment were comprised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 net</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expense amounted to approximately $438,000 and $338,000 for the years ended December 31, 2018 and 2017, respectively. During the year ended December 31, 2018, OncoCyte wrote off $150,000 in fully depreciated machinery and equipment with a corresponding adjustment to accumulated depreciation. During the years ended December 31, 2018 and 2017, OncoCyte entered into capital leases for laboratory equipment totaling $209,000 and $381,000, respectively (see Note 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Facilities and Service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8, 2009, OncoCyte and BioTime executed the Shared Facilities Agreement. Under the terms of the Shared Facilities Agreement, BioTime will allow OncoCyte to use BioTime’s premises and equipment located in Alameda, California for the purpose of conducting business. BioTime provides accounting, billing, bookkeeping, payroll, treasury, payment of accounts payable, and other similar administrative services to OncoCyte. BioTime may also provide the services of attorneys, accountants, and other professionals who may also provide professional services to BioTime and its other subsidiaries. BioTime may also provide OncoCyte with the services of BioTime laboratory and research personnel, including BioTime employees and contractors, for the performance of research and development work for OncoCyte at the premises.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BioTime charges OncoCyte a Use Fee for services received and usage of facilities, equipment, and supplies. For each billing period, BioTime prorates and allocates costs incurred, as applicable, to OncoCyte. Such costs include services of Bio Time employees, equipment, insurance, lease, professional, software, supplies and utilities. Allocation depends on key cost drivers including actual documented use, square footage of facilities used, time spent, costs incurred by or for OncoCyte, or upon proportionate usage by BioTime and OncoCyte, as reasonably estimated by BioTime (collectively “Use Fees”). BioTime charges OncoCyte a 5% markup on such allocated costs as permitted by the Shared Facilities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140" w:gutter="0" w:footer="0" w:header="0"/>
        </w:sectPr>
      </w:pPr>
    </w:p>
    <w:bookmarkStart w:id="42" w:name="page43"/>
    <w:bookmarkEnd w:id="42"/>
    <w:p>
      <w:pPr>
        <w:jc w:val="both"/>
        <w:ind w:firstLine="648"/>
        <w:spacing w:after="0" w:line="255" w:lineRule="auto"/>
        <w:rPr>
          <w:sz w:val="20"/>
          <w:szCs w:val="20"/>
          <w:color w:val="auto"/>
        </w:rPr>
      </w:pPr>
      <w:r>
        <w:rPr>
          <w:rFonts w:ascii="Arial" w:cs="Arial" w:eastAsia="Arial" w:hAnsi="Arial"/>
          <w:sz w:val="18"/>
          <w:szCs w:val="18"/>
          <w:color w:val="auto"/>
        </w:rPr>
        <w:t>The Use Fee is determined and invoiced to OncoCyte on a regular basis, generally monthly or quarterly. If the Shared Facilities Agreement terminates prior to the last day of a billing period, the Use Fee will be determined for the number of days in the billing period elapsed prior to the termination of the Shared Facilities Agreement. Each invoice will be payable in full by OncoCyte within 30 days after receipt. Any invoice, or portion thereof, not paid in full when due will bear interest at the rate of 15% per annum until paid, unless the failure to make a payment is due to any inaction or delay in making a payment by BioTime employees from OncoCyte funds available for such purpose, rather than from the unavailability of sufficient funds legally available for payment or from an act, omission, or delay by any employee or agent of OncoCyte. Through December 31, 2018 BioTime has not charged OncoCyte any interest.</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Use Fees, OncoCyte will reimburse BioTime for any out of pocket costs incurred by BioTime for the purchase of office supplies, laboratory supplies, and other goods and materials and services for the account or use of OncoCyte, provided that invoices documenting such costs are delivered to OncoCyte with each invoice for the Use Fee. BioTime has no obligation to purchase or acquire any office supplies or other goods and materials or any services for OncoCyte, and if any such supplies, goods, materials or services are obtained for OncoCyte, BioTime may arrange for the suppliers thereof to invoice OncoCyte directly.</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Shared Facilities Agreement will remain in effect, unless either party gives the other party written notice stating that the Shared Facilities Agreement will terminate on December 31 of that year, or unless the agreement otherwise is terminated under another provision of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In the aggregate, BioTime charged Use Fees to OncoCyte as follows (in thousands):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00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80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1"/>
                <w:szCs w:val="21"/>
                <w:color w:val="auto"/>
              </w:rPr>
            </w:pPr>
          </w:p>
        </w:tc>
      </w:tr>
      <w:tr>
        <w:trPr>
          <w:trHeight w:val="21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use fees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and 2017, OncoCyte had $2.1 million outstanding and payable to BioTime and affiliates included in current liabilities in connection with the costs incurred under the Shared Facilities Agreement. Since these amounts are due and payable in 30 days of being invoiced, the payables are classified as current liabilities for all periods presented (see Note 10).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fixed payments due under the Shared Facilities Agreement are approximately $131,000 per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further discussed in Note 6, in March 2018, OncoCyte sold shares to two investors who beneficially owned more than 5% of OncoCyte’s outstanding common stock. The shares were sold under a securities purchase agreement that contains certain registration rights. OncoCyte agreed to register the shares sold to the investors for resale under the Securities Act of 1933, as amended (the “Securities Act”), not later than 60 days after the closing of the sale of the shares. OncoCyte also agreed to pay liquidated damages calculated in the manner provided in the securities purchase agreement if OncoCyte did not file the registration statement in a timely manner. Because the registration statement was not filed as required by the securities purchase agreement, during the year ended December 31, 2018, OncoCyte accrued $300,000 on account of liquidated damages owed.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Loan Payable to Silicon Valley Bank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21, 2017, OncoCyte entered into a Loan and Security Agreement (the “Loan Agreement”) with Silicon Valley Bank (the “Bank”) pursuant to which OncoCyte borrowed $2.0 million on March 23, 2017. Payments of interest only on the principal balance were due monthly from the draw date through October 31, 2017, and, beginning on November 1, 2017, monthly payments of principal of approximately $67,000 plus interest are due and payable. The outstanding principal balance of the loan bears interest at a stated floating annual interest rate equal to the greater of (i) three-quarters of one percent (0.75%) above the prime rate or (ii) four and one-quarter percent (4.25%). As of December 31, 2018, the latest published prime rate plus 0.75% was 6.25% per annum.</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outstanding principal amount plus accrued interest will be due and payable to the Bank at maturity on April 1, 2020. At maturity, OncoCyte will also pay the Bank an additional final payment fee of 5.8% of the original principal borrowed. OncoCyte accrued the $116,000 final payment fee included in the loan payable as a deferred financing cost on March 23, 2017 draw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OncoCyte may prepay in full the outstanding principal balance at any time, subject to a prepayment fee equal to 1.0% of the outstanding principal balance if prepaid after February 21, 2019. Any amounts borrowed and repaid may not be reborrowed. There are no amounts available to be borrowed on the Loan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principal amount of the loan, with interest accrued, the final payment fee, and the prepayment fee may become due and payable prior to the applicable maturity date if an “Event of Default” as defined in the Loan Agreement occurs and is not cured within any applicable cure period. Upon the occurrence and during the continuance of an Event of Default, all obligations due to the Bank will bear interest at a rate per annum which is 5% above the then applicable interest rate. An Event of Default includes, among other events, failure to pay interest and principal when due, material adverse changes, which include a material adverse change in OncoCyte’s business, operations, or condition (financial or otherwise), failure to provide the bank with timely financial statements and copies of filings with the Securities and Exchange Commission (the “SEC”), as required, legal judgments or pending or threatened legal actions of $50,000 or more, insolvency, and delisting from the NYSE American. OncoCyte’s obligations under the Loan Agreement are collateralized by substantially all of its assets other than intellectual property such as patents and trade secrets that OncoCyte owns. Accordingly, if an Event of Default were to occur and not be cured, the Bank could foreclose on its security interest in the collateral. OncoCyte was in compliance with the Loan Agreement as of the filing date of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316"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Bank Warrants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21, 2017 and in conjunction with the $2.0 million becoming available under the Loan Agreement, OncoCyte issued common stock purchase warrants to the Bank (the “Bank Warrants”) entitling the Bank to purchase shares of OncoCyte common stock in tranches related to the loan tranches under the Loan Agreement. In conjunction with the availability of the loan, the Bank was issued warrants to purchase 8,247 shares of OncoCyte common stock at an exercise price of $4.85 per share, through February 21, 2027. On March 23, 2017, in conjunction with borrowing $2.0 million, the Bank was issued warrants to purchase an additional 7,321 shares at an exercise price of $5.46 per share, through March 23, 2027. The Bank may elect to exercise the Bank Warrants on a “cashless exercise” basis and receive a number of shares determined by multiplying the number of shares for which the applicable tranche is being exercised by (A) the excess of the fair market value of the common stock over the applicable exercise price, divided by (B) the fair market value of the common stock. The fair market value of the common stock will be the last closing or sale price on a national securities exchange, interdealer quotation system, or over-the-counter market.</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Bank Warrants are classified as equity since, among other factors, they are not mandatorily redeemable, cannot be settled in cash or other assets and require settlement by issuing a fixed number of shares of common stock of OncoCyte. OncoCyte determined the fair value of the Bank Warrants using the Black-Scholes option pricing model to be approximately $62,000, which was recorded as a deferred financing cost against the loan payable balance. Aggregate deferred financing costs of $196,000, recorded against the loan payable balance, are amortized to interest expense over the term of the loan using the effective interest method. As of December 31, 2018, unamortized deferred financing costs were $36,000.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Cash Payments of Loan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2018, principal and interest payments due on the loan payable in each of the next two years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Loan Payments</w:t>
            </w:r>
          </w:p>
        </w:tc>
      </w:tr>
      <w:tr>
        <w:trPr>
          <w:trHeight w:val="216"/>
        </w:trPr>
        <w:tc>
          <w:tcPr>
            <w:tcW w:w="9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2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9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payments of principal and interest</w:t>
            </w: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48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9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payments of principal before deferred financing costs</w:t>
            </w: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48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2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9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loan payable, net of deferred financing costs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OncoCyte is authorized to issue up to 5,000,000 shares of no par value preferred stock. As of December 31, 2018, no preferred shares were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OncoCyte has up to 85,000,000 shares of no par value common stock authorized. The holders of OncoCyte’s common stock are entitled to receive ratably dividends when, as, and if declared by the Board of Directors out of funds legally available. Upon liquidation, dissolution, or winding up, the holders of OncoCyte common stock are entitled to receive ratably the net assets available after the payment of all debts and other liabilities and subject to the prior rights of OncoCyte outstanding preferred shares, if any.</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holders of common stock are entitled to one vote for each share held on all matters submitted to a vote of OncoCyte stockholders. The holders of common stock have no preemptive, subscription, or redemption rights. The outstanding shares of common stock are fully paid and non-assessable.</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28, 2018, OncoCyte entered into a securities purchase agreement with two accredited investors. The agreement provides for the private placement of 7,936,508 shares of OncoCyte’s common stock for $1.26 per share, for total gross proceeds of $10.0 million before deducting offering expenses, $8.0 million of which was received in March 2018 and $2.0 million in May 2018. The agreement contains certain registration rights. The investors were Broadwood Partners, L.P. and George Karfunkel, who beneficially owned more than 5% of OncoCyte’s outstanding common stock (see Note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648"/>
        <w:spacing w:after="0" w:line="255" w:lineRule="auto"/>
        <w:rPr>
          <w:sz w:val="20"/>
          <w:szCs w:val="20"/>
          <w:color w:val="auto"/>
        </w:rPr>
      </w:pPr>
      <w:r>
        <w:rPr>
          <w:rFonts w:ascii="Arial" w:cs="Arial" w:eastAsia="Arial" w:hAnsi="Arial"/>
          <w:sz w:val="18"/>
          <w:szCs w:val="18"/>
          <w:color w:val="auto"/>
        </w:rPr>
        <w:t>On July 31, 2018, OncoCyte raised approximately $3.3 million in net proceeds from the sale of 1,256,118 shares of its common stock and warrants, after offering expenses (the “July 2018 Offering”). The shares of common stock and warrants were sold in “Units” at a purchase price of $2.86 per Unit, with each Unit consisting of one share of common stock and one warrant to purchase one share of its common stock (“July 2018 Offering Warrants”). The Units of common stock and warrants were sold in a registered direct offering. OncoCyte’s Chief Executive Officer, the Chief Financial Officer, the Senior Vice President of Research and Development, and certain members of OncoCyte’s Board of Directors purchased Units in the July 2018 Offering on the same terms as other investors.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and 2017, OncoCyte had 40,664,496 and 31,451,558 issued and outstanding shares of common stock, respectively (see Note 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2018 Offering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July 2018 Offering Warrant has an initial exercise price of $3.00 per share, will become exercisable six months after the date of issuance and will expire five years from the date it becomes exercisable. Subject to limited exceptions, a holder of the warrants will not have the right to exercise any portion of such securities if the holder, together with its affiliates, would beneficially own in excess of 4.99% of the number of shares of OncoCyte’s common stock outstanding immediately after the exercise.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July 2018 Offering Warrants are not mandatorily redeemable, cannot be settled in cash or other assets and require settlement by issuing a fixed number of shares of common stock of OncoCyte. The July 2018 Offering Warrants may be exercised on a net “cashless exercise” basis, meaning that the value of a portion of warrant shares may be used to pay the exercise price (rather than payment in cash), if a registration statement for the July 2018 Offering Warrants and underlying shares of common stock is not effective under the Securities Act of 1933, as amended (the “Securities Act”) or a prospectus in the registration statement is not available for the issuance of shares upon the exercise of the July 2018 Offering Warrants. The exercise price and the number of warrant shares will be adjusted to account for certain transactions, including stock splits, dividends paid in common stock, combinations or reverse splits of common stock, or reclassifications of common stock.</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provisions of the July 2018 Offering Warrants, in the event of a Fundamental Transaction, as defined in the July 2018 Offering Warrants, OncoCyte will use reasonable best efforts for the acquirer, or any successor entity other than OncoCyte, to assume the July 2018 Offering Warrants. If the acquirer does not assume the OncoCyte July 2018 Offering Warrants, and provided that the Fundamental Transaction is not within OncoCyte’s control, including not approved by OncoCyte’s Board of Directors, then the holders of the July 2018 Offering Warrants shall solely be entitled to receive, at a defined Black Scholes value, the same type or form of consideration, and in the same proportion, that is being offered and paid to all the holders of OncoCyte common stock in connection with the Fundamental Transaction.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OncoCyte considered the guidance in ASC 815-40, which states that contracts that require or may require the issuer to settle the contract for cash are liabilities recorded at fair value, irrespective of the likelihood of the transaction occurring that triggers the net cash settlement feature. This liability classification guidance also applies to financial instruments that may require cash or other form of settlement for transactions outside of the company’s control and, in which the form of consideration to the warrant holder may not be the same as to all other shareholders in connection with the transaction. However, if a transaction is not within the company’s control but the holder of the financial instrument can solely receive the same type or form of consideration as is being offered to all the shareholders in the transaction, then equity classification of the financial instrument is not precluded, if all other applicable equity classification criteria are met.</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on the above guidance, OncoCyte has met all the equity classification criteria for the July 2018 Offering Warrants and has classified those warrants as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and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29, 2016, OncoCyte sold an aggregate of 3,246,153 immediately separable units, with each unit consisting of one share of OncoCyte common stock and one warrant to purchase one share of OncoCyte common stock (the “2016 Warrants”), at a price of $3.25 per unit (the “Offering”). The sales were made pursuant to the terms and conditions of certain Purchase Agreements between OncoCyte and the purchasers in the Offering. OncoCyte received $9.8 million in net proceeds after discounts, commissions and expenses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Warrants and New Warrants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2016 Warrants have an exercise price of $3.25 per Warrant Share, and may be exercised until the close of business on October 16, 2021. The 2016 Warrants may be exercised on a net “cashless exercise” basis, meaning that the value of a portion of Warrant Shares may be used to pay the exercise price (rather than payment in cash), in certain circumstances. The exercise price and the number of Warrant Shares will be adjusted to account for certain transactions, including stock splits, dividends paid in common stock, combinations or reverse splits of common stock, or reclassifications of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57" w:lineRule="auto"/>
        <w:rPr>
          <w:sz w:val="20"/>
          <w:szCs w:val="20"/>
          <w:color w:val="auto"/>
        </w:rPr>
      </w:pPr>
      <w:r>
        <w:rPr>
          <w:rFonts w:ascii="Arial" w:cs="Arial" w:eastAsia="Arial" w:hAnsi="Arial"/>
          <w:sz w:val="18"/>
          <w:szCs w:val="18"/>
          <w:color w:val="auto"/>
        </w:rPr>
        <w:t>Under certain provisions of the 2016 Warrants, in the event of a Fundamental Transaction, as defined in the 2016 Warrants, OncoCyte will use reasonable best efforts for the acquirer, or any successor entity other than OncoCyte, to assume the 2016 Warrants. If the acquirer does not assume the OncoCyte 2016 Warrant obligations, then the acquirer shall pay the holders of 2016 Warrants an amount equal to the aggregate value equal to the Black Scholes Value, as defined in the 2016 Warrants. The payment of the Black Scholes Value shall be made in cash or such other consideration as the acquirer paid to the other OncoCyte shareholders in the Fundamental Transaction.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OncoCyte is not required to net cash settle the 2016 Warrants under any circumstance. OncoCyte considered the guidance in ASC 815-40, which states that contracts that require or may require the issuer to settle the contract for cash are liabilities recorded at fair value, irrespective of the likelihood of the transaction occurring that triggers the net cash settlement feature. Since solely an acquirer, and not OncoCyte itself, may be required to net cash settle the 2016 Warrants in the event of a Fundamental Transaction, the 2016 Warrants are classified as equity.</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17, 2017, certain OncoCyte investors exercised 2016 Warrants to acquire 625,000 shares of common stock at an exercise price of $3.25 per warrant for total exercise cash proceeds of $2.0 million (the “Warrant exercise”). In order to induce the investors to complete the Warrant exercise and, in conjunction with the Warrant exercise, OncoCyte issued new warrants to those investors (the “New Warrants”). Certain investors received New Warrants to purchase 200,000 shares of common stock at an exercise price of $5.50 per share and one investor received New Warrants to purchase 212,500 shares of common stock at an exercise of $3.25 per share. The New Warrants are exercisable at any time for five years from February 17, 2017.</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New Warrants are classified as equity as their terms are consistent with the 2016 Warrants. For financial reporting purposes, the issuance of the New Warrants was treated as an inducement offer to certain shareholders to exercise their 2016 Warrants. Accordingly, the fair value of the New Warrants, determined using the Black-Scholes option pricing model, approximating $1.1 million was recognized by OncoCyte as a noncash charge to shareholder expense included in general and administrative expenses and a corresponding increase to equity on February 17, 2017, the issuance date.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July 21, 2017, OncoCyte entered into three forms of Warrant Exercise Agreements (each, an “Exercise Agreement”) with certain holders of the 2016 Warrants providing for the cash exercise of their 2016 Warrants and the issuance of new warrants (the “July 2017 Warrants”) to them.</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one form of Exercise Agreement, two investors exercised 2016 Warrants to purchase 226,923 shares of OncoCyte’s common stock at the exercise price of $3.25 per share, and OncoCyte issued to them July 2017 Warrants expiring five years from the date of issue, to purchase 226,923 shares of common stock at an exercise price of $5.50 per share.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a second form of Exercise Agreement, one investor exercised 2016 Warrants to purchase 540,000 shares of common stock at the exercise price of $3.25 per share, and OncoCyte issued to the investor a July 2017 Warrant, expiring five years from the date of issue, to purchase 270,000 shares of common stock at an exercise price of $3.25 per share. In this alternative form of Exercise Agreement, OncoCyte also agreed to use commercially reasonable efforts to file with the SEC a registration statement covering the resale of the shares of common stock issuable upon exercise of the July 2017 Warrant and to keep it continuously effective for up to five years, subject to conditions set forth in the Exercise Agreement.</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 third form of Exercise Agreement, one investor exercised 2016 Warrants to purchase 1,000,000 shares of common stock at the exercise price of $3.25 per share, and OncoCyte issued to the investor (i) a July 2017 Warrant, expiring two years from the date of issue, to purchase 500,000 shares of common stock at an exercise price of $5.50 per share, and (ii) a July 2017 Warrant, expiring two years from the date of issue, to purchase 500,000 shares of common stock at an exercise price of $3.25 per share. In this alternative form of Exercise Agreement, OncoCyte also agreed to use commercially reasonable efforts to file with the SEC a registration statement covering the resale of the shares of common stock issuable upon exercise of the July 2017 Warrant and to keep it continuously effective for up to five years, subject to conditions set forth in the Exercise Agreement.</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aggregate, upon the exercise of 2016 Warrants under the Exercise Agreements, OncoCyte received gross proceeds of approximately $5.74 million and issued July 2017 Warrants to purchase 1,496,923 shares of common stock at a weighted average price of $4.34 per share.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July 2017 Warrants are classified as equity as their terms are consistent with the 2016 Warrants. For financial reporting purposes, the issuance of the July 2017 Warrants is treated as an inducement offer to certain investors to exercise their 2016 Warrants. Accordingly, the fair value of the July 2017 Warrants, determined to be approximately $3.0 million using the Black-Scholes option pricing model, was recorded as a noncash charge to shareholder expense included in general and administrative expenses, and a corresponding increase was recorded to equity on July 21, 2017, the issuance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As of December 31, 2018, OncoCyte has an aggregate of 4,035,339 warrants issued and outstanding at exercise prices ranging from $3.00 and $5.50 per warrant.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Exercises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2018 and 2017, 20,312 and 323,019 shares of common stock were issued upon the exercise of stock options, from which OncoCyte received $58,000 and $610,000 in cash proceeds,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OncoCyte had a 2010 Stock Option Plan (the “2010 Plan”) under which 5,200,000 shares of common stock were authorized for the grant of stock options or the sale of restricted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27, 2018, OncoCyte shareholders approved a new Equity Incentive Plan (the “2018 Incentive Plan”) to replace the 2010 Plan. In adopting the 2018 Incentive Plan, OncoCyte terminated the 2010 Plan and will not grant any additional stock options or sell any stock under restricted stock purchase agreements under the 2010 Plan; however, stock options issued under the 2010 Plan will continue in effect in accordance with their terms and the terms of the 2010 Plan until the exercise or expiration of the individual options.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2018 Incentive Plan reserved 5,000,000 shares of common stock for the grant of stock options or the sale of restricted stock (“Restricted Stock”) or for the settlement of hypothetical units issued with reference to common stock (“Restricted Stock Units”). OncoCyte may also grant stock appreciation rights (“SARs”) under the 2018 Incentive Plan. The 2018 Incentive Plan also permits OncoCyte to issue such other securities as its Board of Directors (the “Board”) or the Compensation Committee (the “Committee”) administering the 2018 Incentive Plan may determine. Awards of stock options, Restricted Stock, SARs, and Restricted Stock Units (“Awards”) may be granted under the 2018 Incentive Plan to OncoCyte employees, directors, and consultants.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Awards may vest and thereby become exercisable or have restrictions on forfeiture lapse on the date of grant or in periodic installments or upon the attainment of performance goals, or upon the occurrence of specified events. Awards may not vest, in whole or in part, earlier than one year from the date of grant. Vesting of an Award after the date of grant may be accelerated only in the limited circumstances specified in the 2018 Incentive Plan. In the case of the acceleration of vesting of any performance-based Award, acceleration of vesting shall be limited to actual performance achieved, pro rata achievement of the performance goal(s) on the basis for the elapsed portion of the performance period, or a combination of actual and pro rata achievement of performance goals.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person shall be granted, during any one year period, options to purchase, or SARs with respect to, more than 1,000,000 shares in the aggregate, or any Awards of Restricted Stock or Restricted Stock Units with respect to more than 500,000 shares in the aggregate. If an Award is to be settled in cash, the number of shares on which the Award is based shall not count toward the individual share limit.</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 Awards may be granted under the 2018 Incentive Plan more than ten years after the date upon which the 2018 Incentive Plan was adopted by the Board, and no options or SARS granted under the 2018 Incentive Plan may be exercised after the expiration of ten years from the date of grant.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Options granted under the 2018 Incentive Plan may be either “incentive stock options” within the meaning of Section 422(b) of the Internal Revenue Code of 1986, as amended (the “Code”), or “non-qualified” stock options that do not qualify incentive stock options. Incentive stock options may be granted only to OncoCyte employees and employees of subsidiaries. The exercise price of stock options granted under the 2018 Incentive Plan must be equal to the fair market of OncoCyte common stock on the date the option is granted. In the case of an optionee who, at the time of grant, owns more than 10% of the combined voting power of all classes of OncoCyte stock, the exercise price of any incentive stock option must be at least 110% of the fair market value of the common stock on the grant date, and the term of the option may be no longer than five years. The aggregate fair market value of common stock (determined as of the grant date of the option) with respect to which incentive stock options become exercisable for the first time by an optionee in any calendar year may not exceed $100,000.</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exercise price of an option may be payable in cash or in common stock having a fair market value equal to the exercise price, or in a combination of cash and common stock, or other legal consideration for the issuance of stock as the Board or Committee may approve.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Generally, options will be exercisable only while the optionee remains an employee, director or consultant, or during a specific period thereafter, but in the case of the termination of an employee, director, or consultant’s services due to death or disability, the period for exercising a vested option shall be extended to the earlier of 12 months after termination or the expiration date of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lieu of granting options, OncoCyte may enter into purchase agreements with employees under which they may purchase or otherwise acquire Restricted Stock or Restricted Stock Units subject to such vesting, transfer, and repurchase terms, and other restrictions. The price at which Restricted Stock may be issued or sold will be not less than 100% of fair market value. Employees or consultants, but not executive officers or directors, who purchase Restricted Stock may be permitted to pay for their shares by delivering a promissory note or an installment payment agreement that may be secured by a pledge of their Restricted Stock. Restricted Stock may also be issued for services actually performed by the recipient prior to the issuance of the Restricted Stock. Unvested Restricted Stock for which OncoCyte has not received payment may be forfeited, or OncoCyte may have the right to repurchase unvested shares upon the occurrence of specified events, such as termination of employment.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restrictions set with respect to the particular Award, a recipient of Restricted Stock generally shall have the rights and privileges of a shareholder, including the right to vote the Restricted Stock and the right to receive dividends; provided that, any cash dividends and stock dividends with respect to the Restricted Stock shall be withheld for the recipient’s account, and interest may be credited on the amount of the cash dividends withheld. The cash dividends or stock dividends so withheld and attributable to any particular share of Restricted Stock (and earnings thereon, if applicable) shall be distributed to the recipient in cash or, at the discretion of the Board or Committee, in shares of common stock having a fair market value equal to the amount of such dividends, if applicable, upon the release of restrictions on the Restricted Stock and, if the Restricted Stock is forfeited, the recipient shall have no right to the dividends.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terms and conditions of a grant of Restricted Stock Units shall be determined by the Board or Committee. No shares of common stock shall be issued at the time a Restricted Stock Unit is granted. A recipient of Restricted Stock Units shall have no voting rights with respect to the Restricted Stock Units. Upon the expiration of the restrictions applicable to a Restricted Stock Unit, OncoCyte will either issue to the recipient, without charge, one share of common stock per Restricted Stock Unit or cash in an amount equal to the fair market value of one share of common stock.</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discretion of the Board or Committee, each Restricted Stock Unit (representing one share of common stock) may be credited with cash and stock dividends paid in respect of one share (“Dividend Equivalents”). Dividend Equivalents shall be withheld for the recipient’s account, and interest may be credited on the amount of cash Dividend Equivalents withheld. Dividend Equivalents credited to a recipient’s account and attributable to any particular Restricted Stock Unit (and earnings thereon, if applicable) shall be distributed in cash or in shares of common stock having a fair market value equal to the amount of the Dividend Equivalents and earnings, if applicable, upon settlement of the Restricted Stock Unit. If a Restricted Stock Unit is forfeited, the recipient shall have no right to the related Dividend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SAR is the right to receive, upon exercise, an amount payable in cash or shares, or a combination of shares and cash, equal to the number of shares subject to the SAR that is being exercised, multiplied by the excess of (a) the fair market value of a common share on the date the SAR is exercised, over (b) the exercise price specified in the SAR Award agreement. SARs may be granted either as free standing SARs or in tandem with options. No SAR may be exercised later than 10 years after the date of grant.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exercise price of an SAR shall not be less than 100% of the fair market value of one share of common stock on the date of grant. An SAR granted in conjunction with an option shall have the same exercise price as the related option, shall be transferable only upon the same terms and conditions as the related option, and shall be exercisable only to the same extent as the related option; provided, however, that the SAR by its terms shall be exercisable only when the fair market value per share exceeds the exercise price per share of the SAR or related option. Upon any exercise of an SAR granted in tandem with an option, the number of shares for which the related option shall be exercisable shall be reduced by the number of shares for which the SAR has been exercised. The number of shares for which an SAR issued in tandem with an option shall be exercisable shall be reduced by the number of shares for which the related option has been exercised.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Options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OncoCyte stock option activity under the 2010 Plan and related information follows (in thousands except weighted average exercise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Shares</w:t>
            </w: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Available</w:t>
            </w: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of 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Options</w:t>
            </w: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for Grant</w:t>
            </w: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3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Increase in pool</w:t>
            </w:r>
          </w:p>
        </w:tc>
        <w:tc>
          <w:tcPr>
            <w:tcW w:w="1480" w:type="dxa"/>
            <w:vAlign w:val="bottom"/>
          </w:tcPr>
          <w:p>
            <w:pPr>
              <w:jc w:val="right"/>
              <w:spacing w:after="0"/>
              <w:rPr>
                <w:sz w:val="20"/>
                <w:szCs w:val="20"/>
                <w:color w:val="auto"/>
              </w:rPr>
            </w:pPr>
            <w:r>
              <w:rPr>
                <w:rFonts w:ascii="Arial" w:cs="Arial" w:eastAsia="Arial" w:hAnsi="Arial"/>
                <w:sz w:val="18"/>
                <w:szCs w:val="18"/>
                <w:color w:val="auto"/>
              </w:rPr>
              <w:t>1,200</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Options 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forfeited, cancelled or expired</w:t>
            </w: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1,384</w:t>
            </w:r>
          </w:p>
        </w:tc>
        <w:tc>
          <w:tcPr>
            <w:tcW w:w="36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3,390</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(1,446)</w:t>
            </w: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Options 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forfeited, cancelled or expired</w:t>
            </w: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gridSpan w:val="3"/>
          </w:tcPr>
          <w:p>
            <w:pPr>
              <w:spacing w:after="0"/>
              <w:rPr>
                <w:sz w:val="20"/>
                <w:szCs w:val="20"/>
                <w:color w:val="auto"/>
              </w:rPr>
            </w:pPr>
            <w:r>
              <w:rPr>
                <w:rFonts w:ascii="Arial" w:cs="Arial" w:eastAsia="Arial" w:hAnsi="Arial"/>
                <w:sz w:val="18"/>
                <w:szCs w:val="18"/>
                <w:color w:val="auto"/>
              </w:rPr>
              <w:t>Termination of the 2010 Plan</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2018</w:t>
            </w: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gridSpan w:val="3"/>
            <w:vMerge w:val="continue"/>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2,348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Of the stock options granted under the 2010 Plan during the year ended December 31, 2018, OncoCyte granted 1,318,948 stock options to employees and consultants, with exercise prices ranging from $2.30 per share to $3.15 per share, that will vest in increments upon the attainment of specified performance conditions related to the development of DetermaVu™ and obtaining Medicare reimbursement coverage for that test (“Performance-Based Options”). As of December 31, 2018, there were 1,066,800 Performance-Based Options outstanding and none of the performance conditions required for vesting had been met, and, accordingly, no stock-based compensation expense was recorded during the year ended December 31, 2018 with regard to the Performance-Based Options.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2018 and 2017, OncoCyte had approximately $2.7 million and $1.6 million, respectively, of total unrecognized compensation expense related to the 2010 Plan and 2018 Incentive Plan that will be recognized over a weighted-average period of approximately 3.3 and 2.5 years,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2018 Incentive Plan activity and related information follows (in thousands except weighted average exercise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Available</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Options</w:t>
            </w:r>
          </w:p>
        </w:tc>
        <w:tc>
          <w:tcPr>
            <w:tcW w:w="1080" w:type="dxa"/>
            <w:vAlign w:val="bottom"/>
          </w:tcPr>
          <w:p>
            <w:pPr>
              <w:jc w:val="center"/>
              <w:ind w:left="210"/>
              <w:spacing w:after="0"/>
              <w:rPr>
                <w:sz w:val="20"/>
                <w:szCs w:val="20"/>
                <w:color w:val="auto"/>
              </w:rPr>
            </w:pPr>
            <w:r>
              <w:rPr>
                <w:rFonts w:ascii="Arial" w:cs="Arial" w:eastAsia="Arial" w:hAnsi="Arial"/>
                <w:sz w:val="18"/>
                <w:szCs w:val="18"/>
                <w:b w:val="1"/>
                <w:bCs w:val="1"/>
                <w:color w:val="auto"/>
                <w:w w:val="96"/>
              </w:rPr>
              <w:t>for Grant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Approval of 2018 Incentive Plan</w:t>
            </w: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5,000</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Options exercised</w:t>
            </w: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forfeited, cancelled or expired</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57"/>
        </w:trPr>
        <w:tc>
          <w:tcPr>
            <w:tcW w:w="596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4,639</w:t>
            </w:r>
          </w:p>
        </w:tc>
        <w:tc>
          <w:tcPr>
            <w:tcW w:w="360" w:type="dxa"/>
            <w:vAlign w:val="bottom"/>
            <w:tcBorders>
              <w:top w:val="single" w:sz="8" w:color="CCEEFF"/>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tcPr>
          <w:p>
            <w:pPr>
              <w:spacing w:after="0"/>
              <w:rPr>
                <w:sz w:val="22"/>
                <w:szCs w:val="22"/>
                <w:color w:val="auto"/>
              </w:rPr>
            </w:pPr>
          </w:p>
        </w:tc>
      </w:tr>
      <w:tr>
        <w:trPr>
          <w:trHeight w:val="224"/>
        </w:trPr>
        <w:tc>
          <w:tcPr>
            <w:tcW w:w="59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2018</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information regarding the Company’s outstanding stock options and vested and exercisable stock options is summarized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As of December 31, 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Options Outstanding</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5840" w:type="dxa"/>
            <w:vAlign w:val="bottom"/>
            <w:gridSpan w:val="2"/>
          </w:tcPr>
          <w:p>
            <w:pPr>
              <w:spacing w:after="0"/>
              <w:rPr>
                <w:sz w:val="20"/>
                <w:szCs w:val="20"/>
                <w:color w:val="auto"/>
              </w:rPr>
            </w:pPr>
            <w:r>
              <w:rPr>
                <w:rFonts w:ascii="Arial" w:cs="Arial" w:eastAsia="Arial" w:hAnsi="Arial"/>
                <w:sz w:val="18"/>
                <w:szCs w:val="18"/>
                <w:color w:val="auto"/>
              </w:rPr>
              <w:t>Exercise Prices</w:t>
            </w:r>
          </w:p>
        </w:tc>
        <w:tc>
          <w:tcPr>
            <w:tcW w:w="1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Life (Years)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$1.34 - $1.95</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2.76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$2.01 - $2.85</w:t>
            </w:r>
          </w:p>
        </w:tc>
        <w:tc>
          <w:tcPr>
            <w:tcW w:w="2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18"/>
                <w:szCs w:val="18"/>
                <w:color w:val="auto"/>
              </w:rPr>
            </w:pPr>
          </w:p>
        </w:tc>
        <w:tc>
          <w:tcPr>
            <w:tcW w:w="2180" w:type="dxa"/>
            <w:vAlign w:val="bottom"/>
            <w:gridSpan w:val="3"/>
          </w:tcPr>
          <w:p>
            <w:pPr>
              <w:ind w:left="1540"/>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$3.06 - $7.25</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21"/>
                <w:szCs w:val="21"/>
                <w:color w:val="auto"/>
              </w:rPr>
            </w:pPr>
          </w:p>
        </w:tc>
        <w:tc>
          <w:tcPr>
            <w:tcW w:w="21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21"/>
                <w:szCs w:val="21"/>
                <w:color w:val="auto"/>
              </w:rPr>
            </w:pPr>
          </w:p>
        </w:tc>
      </w:tr>
      <w:tr>
        <w:trPr>
          <w:trHeight w:val="217"/>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$1.34 - $7.25</w:t>
            </w: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4,532</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w w:val="79"/>
              </w:rPr>
              <w:t>6.80</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OncoCyte recorded stock-based compensation expense in the following categories on the accompanying statements of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1"/>
                <w:szCs w:val="21"/>
                <w:color w:val="auto"/>
              </w:rPr>
            </w:pPr>
          </w:p>
        </w:tc>
      </w:tr>
      <w:tr>
        <w:trPr>
          <w:trHeight w:val="21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weighted-average estimated fair value of stock options with service-conditions granted during the years ended December 31, 2018 and 2017 was $1.46 and $3.24 per share, respectively, using the Black-Scholes option pricing model with the following weighted-average assumptions:</w:t>
      </w:r>
    </w:p>
    <w:p>
      <w:pPr>
        <w:sectPr>
          <w:pgSz w:w="11900" w:h="16838" w:orient="portrait"/>
          <w:cols w:equalWidth="0" w:num="1">
            <w:col w:w="11420"/>
          </w:cols>
          <w:pgMar w:left="240" w:top="665"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1"/>
        </w:trPr>
        <w:tc>
          <w:tcPr>
            <w:tcW w:w="8920" w:type="dxa"/>
            <w:vAlign w:val="bottom"/>
            <w:gridSpan w:val="2"/>
          </w:tcPr>
          <w:p>
            <w:pPr>
              <w:ind w:left="8500"/>
              <w:spacing w:after="0"/>
              <w:rPr>
                <w:sz w:val="20"/>
                <w:szCs w:val="20"/>
                <w:color w:val="auto"/>
              </w:rPr>
            </w:pPr>
            <w:r>
              <w:rPr>
                <w:rFonts w:ascii="Arial" w:cs="Arial" w:eastAsia="Arial" w:hAnsi="Arial"/>
                <w:sz w:val="18"/>
                <w:szCs w:val="18"/>
                <w:b w:val="1"/>
                <w:bCs w:val="1"/>
                <w:color w:val="auto"/>
                <w:w w:val="99"/>
              </w:rPr>
              <w:t>2018</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6"/>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66.01%</w:t>
            </w: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25"/>
        </w:trPr>
        <w:tc>
          <w:tcPr>
            <w:tcW w:w="79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21</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0" w:name="page51"/>
    <w:bookmarkEnd w:id="50"/>
    <w:p>
      <w:pPr>
        <w:jc w:val="both"/>
        <w:ind w:right="20" w:firstLine="648"/>
        <w:spacing w:after="0" w:line="277" w:lineRule="auto"/>
        <w:rPr>
          <w:sz w:val="20"/>
          <w:szCs w:val="20"/>
          <w:color w:val="auto"/>
        </w:rPr>
      </w:pPr>
      <w:r>
        <w:rPr>
          <w:rFonts w:ascii="Arial" w:cs="Arial" w:eastAsia="Arial" w:hAnsi="Arial"/>
          <w:sz w:val="18"/>
          <w:szCs w:val="18"/>
          <w:color w:val="auto"/>
        </w:rPr>
        <w:t>With the adoption of ASU 2016-09, effectively January 1, 2017, forfeitures are accounted for as they occur instead of based on the number of awards that were expected to vest.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determination of stock-based compensation is inherently uncertain and subjective and involves the application of valuation models and assumptions requiring the use of judgment. If OncoCyte had made different assumptions, its stock-based compensation expense, and net loss for years ended December 31, 2018 and 2017, may have been significantly different.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OncoCyte does not recognize deferred income taxes for incentive stock option compensation expense and records a tax deduction only when a disqualified disposition has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Reform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in response to the enactment of the 2017 Tax Act (see Note 2), the SEC staff issued SAB 118 that allows OncoCyte to record provisional amounts during a measurement period not to extend beyond one year of the enactment date. OncoCyte applied the guidance in SAB 118 when accounting for the enactment-date effects of the 2017 Tax Act during the years ended December 31, 2018 and 2017. As of December 31, 2018, OncoCyte completed its accounting for all the enactment-date income tax effects of the 2017 Tax Act discussed below.</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year ended December 31, 2017 OncoCyte remeasured certain deferred tax assets and liabilities based on the enacted tax rate at which they are expected to reverse in the future. The estimated tax affected amount related to the remeasurement of these balances was a reduction of OncoCyte’s net deferred tax assets by $6.8 million with a corresponding decrease in the valuation allowance by the same amount, recognized as of December 31, 2017.</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OncoCyte has filed standalone U.S. federal income tax returns since its inception. For California purposes, OncoCyte’s activity for 2016 was included in BioTime’s California Combined tax return. As a result of OncoCyte’s deconsolidation from BioTime on February 17, 2017, (see Note 1), OncoCyte has filed a separate California return for tax year 2017 and will continue do so for subsequent years. The provision for state income taxes has been determined as if OncoCyte had filed separate tax returns for the periods presented. Accordingly, the effective tax rate of OncoCyte in 2018 and future years could vary from its historical effective tax rates depending on the future legal structure of OncoCyte and related tax elections. The deferred tax assets, including the operating loss and credit carryforwards, generated by OncoCyte, will remain with OncoCyte.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As of December 31, 2017, the federal portion of the deferred tax assets and liabilities were re-rated from 34% to 21% percent pursuant to the 2017 Tax Act. Accordingly, the federal portion of the deferred tax assets and liabilities for all periods presented are rated at 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components of the deferred tax assets and liabilities at December 31, 2018 and 2017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operating loss carryforwards and capital loss carryforwards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15,204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Patents and fixed assets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Stock-based and other compensation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19,890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(19,890)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(15,083)</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losses incurred for all periods presented, OncoCyte did not record any provision or benefit for income taxes.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color w:val="auto"/>
        </w:rPr>
        <w:t>Income taxes differed from the amounts computed by applying the applicable U.S. federal income tax rates indicated to pretax losses from operations as a result of the following:</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0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Computed tax benefit at federal statutory rate</w:t>
            </w:r>
          </w:p>
        </w:tc>
        <w:tc>
          <w:tcPr>
            <w:tcW w:w="1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Re-rate of federal net deferred tax assets</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State tax benefit</w:t>
            </w:r>
          </w:p>
        </w:tc>
        <w:tc>
          <w:tcPr>
            <w:tcW w:w="1740" w:type="dxa"/>
            <w:vAlign w:val="bottom"/>
            <w:gridSpan w:val="2"/>
          </w:tcPr>
          <w:p>
            <w:pPr>
              <w:jc w:val="right"/>
              <w:ind w:right="19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 basis for available-for-sale-securities</w:t>
            </w:r>
          </w:p>
        </w:tc>
        <w:tc>
          <w:tcPr>
            <w:tcW w:w="1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OncoCyte had net operating loss carryforwards of approximately $59.0 million for U.S. federal income tax purposes and $28.0 million for state income tax purposes. Federal net operating losses generated on or prior to December 31, 2017 expire in varying amounts between 2030 and 2037, while federal net operating losses generated after December 31, 2017 carryforward indefinitely. The state net operating losses expire in varying amounts between 2029 and 2037. OncoCyte also has capital loss carryforwards for federal and state income tax purposes of $1.3 million each which expire between 2020 and 2023.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OncoCyte has research and development credit carryforwards for federal and state purposes of $1.2 million each. The federal credits will expire between 2030 and 2038, while the state credits have no expiration.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2018, BioTime distributed shares of AgeX common stock to its shareholders, including to OncoCyte, on a pro-rata basis as a taxable dividend-in-kind. As part of the distribution of AgeX common stock, OncoCyte received 35,326 shares of AgeX common stock, resulting in a taxable gain to OncoCyte of $0.1 million. OncoCyte has sufficient current year losses from operations to offset the entire taxable gain, resulting in no income taxes due.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valuation allowance is provided when it is more likely than not that some portion of the deferred tax assets will not be realized. OncoCyte established a full valuation allowance for all periods presented due to the uncertainty of realizing future tax benefits from its net operating loss carryforwards and other deferred tax assets. The change in the valuation allowance was $4.8 million and $1.1 million for the years ended December 31,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Tax Matters</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Internal Revenue Code Section 382 places a limitation (“Section 382 Limitation”) on the amount of taxable income that can be offset by NOL carryforwards after a change in control (generally greater than 50% change in ownership within a three-year period) of a loss corporation. California has similar rules. Generally, after a change in control, a loss corporation cannot deduct NOL carryforwards in excess of the Section 382 Limitation. Due to these “change in ownership” provisions, utilization of the NOL and tax credit carryforwards may be subject to an annual limitation regarding their utilization against taxable income in future periods.</w:t>
      </w:r>
    </w:p>
    <w:p>
      <w:pPr>
        <w:spacing w:after="0" w:line="188"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In general, OncoCyte is no longer subject to tax examination by the Internal Revenue Service or state taxing authorities for years before 2014. Although the federal and state statutes are closed for purposes of assessing additional income tax in those prior years, the taxing authorities may still make adjustments to the NOL and credit carryforwards used in open years. Therefore, the tax statutes should be considered open as it relates to the NOL and credit carryforwards used in open years. For tax years that remain open to examination, potential examinations may include questioning of the timing and amount of deductions, the nexus of income among various tax jurisdictions and compliance with the Internal Revenue Code or state tax laws. OncoCyte’s management does not expect that the total amount of unrecognized tax benefits will materially change over the next twelve months.</w:t>
      </w:r>
    </w:p>
    <w:p>
      <w:pPr>
        <w:spacing w:after="0" w:line="178"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OncoCyte’s practice is to recognize interest and penalties related to income tax matters in tax expense. As of December 31, 2018 and 2017, OncoCyte has no accrued interest and penalties.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OncoCyte has certain commitments other than those under the Shared Facilities Agreement described in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 Line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7, 2016, OncoCyte entered into a Master Lease Line Agreement (“Lease Agreement No. 1”) with an unrelated financing company for the purchase and financing of certain equipment. OncoCyte may use up to $881,000, as amended, for purchases of equipment financed under the Lease Agreement No. 1 through April 2017. Each lease schedule OncoCyte enters into under Lease Agreement No. 1 must be in minimum increments of $50,000 each with a 36-month lease term, collateralized by the equipment financed under the lease schedule. Each lease schedule requires a deposit for the first and last payment under that schedule. Monthly payments will be determined using a lease factor approximating an interest rate of 10% per annum. At the end of each lease schedule under Lease Agreement No. 1, assuming no default has occurred, OncoCyte may either return the equipment financed under the schedule for a restocking fee of 7.5% of the original cost of the equipment or purchase the equipment from the financing company at a fair value not less than 12.5% of the original cost of the equipment.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7, 2016, OncoCyte entered into a lease schedule (“Lease Schedule No. 1”) under the Lease Agreement No. 1 for certain equipment costing approximately $435,000 applied against the lease line, requiring payments of $14,442 per month over 36 months. In December 2016, OncoCyte entered into another lease schedule (“Lease Schedule No. 2”) for certain equipment costing approximately $161,000, requiring payments of $5,342 per month over 36 months. In April 2017, OncoCyte entered into a third and final lease schedule (“Lease Schedule No. 3”) for certain equipment costing approximately $285,000, requiring payments of $9,462 per month over 36 months. After this last tranche, the Lease Agreement No. 1 was closed and has no remaining financing available.</w:t>
      </w:r>
    </w:p>
    <w:p>
      <w:pPr>
        <w:spacing w:after="0" w:line="19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May 11, 2017, OncoCyte entered into another Master Lease Line Agreement (“Lease Agreement No. 2”) with the same finance company above and similar terms. OncoCyte may use up to $900,000 for purchases of equipment financed under Lease Agreement No. 2 through October 28, 2018.</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 2018, OncoCyte entered into a lease schedule under the Lease Agreement No. 2 for certain equipment costing approximately $209,000, requiring payments of $6,709 per month over 36 months, and a $116,000 prepaid maintenance contract for the duration of the lease of the equipment requiring 12 monthly payments of $10,238, including imputed interest. After the financing of this equipment and the prepaid maintenance contract, there was approximately $502,000 of remaining financing available under Lease Agreement No. 2 as of December 31, 2018.</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OncoCyte accounts for these leases as capital leases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due to the net present value of the payments under the leases approximating the fair value of the equipment at inception of the leases. The payments under the lease schedules will be amortized to capital lease obligations and interest expense using the interest method at an imputed rate of approximately 10% per annum.</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Future minimum annual lease payments under Lease Agreement No.’s 1 and 2 above for the years ending after December 31, 2018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 Lease</w:t>
            </w: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Payments</w:t>
            </w:r>
          </w:p>
        </w:tc>
        <w:tc>
          <w:tcPr>
            <w:tcW w:w="0" w:type="dxa"/>
            <w:vAlign w:val="bottom"/>
          </w:tcPr>
          <w:p>
            <w:pPr>
              <w:spacing w:after="0"/>
              <w:rPr>
                <w:sz w:val="1"/>
                <w:szCs w:val="1"/>
                <w:color w:val="auto"/>
              </w:rPr>
            </w:pP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2020</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4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4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4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net minimum lease payments</w:t>
            </w:r>
          </w:p>
        </w:tc>
        <w:tc>
          <w:tcPr>
            <w:tcW w:w="4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680" w:type="dxa"/>
            <w:vAlign w:val="bottom"/>
            <w:vMerge w:val="restart"/>
          </w:tcPr>
          <w:p>
            <w:pPr>
              <w:jc w:val="right"/>
              <w:ind w:right="327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Wistar License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OncoCyte has entered into a License Agreement with The Wistar Institute of Anatomy and Biology (“Wistar”) that entitles OncoCyte to use certain patents, know-how and data belonging to Wistar.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License Agreement, OncoCyte has obtained an exclusive, worldwide license under certain patents, and under certain know-how and data (“Technical Information”) belonging to Wistar, for use in the field of molecular diagnostics for lung cancer, including, but not limited to confirmatory, companion and recurrence diagnostics for any type of lung cancer with detection through whole blood, fractionated blood, plasma, serum and/or other biological samples. OncoCyte has the right to grant sublicenses of the licensed patents and Technical Information subject to certain conditions.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OncoCyte paid Wistar an initial license fee and will pay Wistar royalties on “net sales” of “licensed products,” as such terms are defined in the License Agreement. The royalty rates will range from 3% to 5% depending upon the amount of cumulative net sales. The amount of royalties payable to Wistar will be reduced by the amount of any royalties that OncoCyte must pay to any third parties on the sale of the licensed products, but subject to a maximum reduction of 50%. The obligation to pay royalties to Wistar will terminate on a licensed product by-licensed product and country-by-country basis until the later of (i) the date a valid claim of a licensed patent covering the licensed product no longer exists, or (ii) the tenth (10th) anniversary of the first commercial sale of the licensed product in each country.</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OncoCyte will pay Wistar a minimum annual royalty each year, which in each case will be credited against total royalties due during the year in which the minimum royalty is paid. OncoCyte will also be obligated to pay Wistar an annual license maintenance fee in the mid-five figures.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OncoCyte will also pay Wistar a portion of any non-royalty sublicensing income that OncoCyte may receive from any sub-licensee. Non-royalty sublicensing income will include any consideration received from a sub-licensee for granting the sublicense, but excluding royalties, the fair market value of any equity or debt securities sold to a sub-licensee, and any payments received from a sub-licensee for any related research conducted by OncoCyte for the sub-licensee.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OncoCyte also will pay Wistar (a) milestone payments upon the occurrence of certain milestone events in the development and commercialization of a licensed product, and (b) all past or ongoing costs incurred or to be incurred by Wistar, including government fees and attorneys’ fees, in the course of prosecuting the licensed patents.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OncoCyte has agreed to use commercially reasonable diligent efforts, directly or through sub-licensees, to develop and commercialize licensed products. OncoCyte has agreed that it or a sub-licensee will commence commercial sale of a licensed product by a specified date. If sales of a licensed product do not commence by the specified date, OncoCyte may purchase up to three one-year extensions of the deadline by paying Wistar a designated fee for the applicable extension. OncoCyte has agreed to purchase additional extensions.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OncoCyte has agreed to indemnify Wistar and its trustees, managers, officers, agents, employees, faculty, affiliated investigators, personnel and staff from and against certain claims and liabilities related to the License Agreement and development, manufacture and sale of licensed products, excluding liabilities that result from or arise out of an indemnified party’s gross negligence or willful misconduct.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Wistar has the right to terminate the License Agreement, subject to certain notice and cure periods and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delays in certain cases, if any of the following occur: (a) OncoCyte fails to pay any amount payable to Wistar; (b) OncoCyte materially breaches any covenant or agreement or any continuing representation or warranty contained in the License Agreement; (c) OncoCyte becomes subject to certain bankruptcy or insolvency events, (d) OncoCyte dissolves or ceases operations, (e) OncoCyte or any of its affiliates or sub-licensees or affiliates of any our sub-licensees challenges the validity, patentability, scope, construction, enforceability, non-infringement, or Wistar’s ownership of any issued patent comprising the licensed patents, or assists any third party in any such challenge; or (f) OncoCyte fails to fulfill its product development and commercialization diligence obligations and related performance milestones.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OncoCyte may terminate the License Agreement, with or without cause, upon the passage of a specified period of time after giving Wistar written notice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 General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OncoCyte will be subject to various claims and contingencies in the ordinary course of its business, including those related to litigation, business transactions, employee-related matters, and other matters. When OncoCyte is aware of a claim or potential claim, it assesses the likelihood of any loss or exposure. If it is probable that a loss will result and the amount of the loss can be reasonably estimated, OncoCyte will record a liability for the loss. If the loss is not probable or the amount of the loss cannot be reasonably estimated, OncoCyte discloses the claim if the likelihood of a potential loss is reasonably possible and the amount involved could be material (see Note 10).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Tax Filings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OncoCyte tax filings are subject to audit by taxing authorities in jurisdictions where it conducts business. These audits may result in assessments of additional taxes that are subsequently resolved with the authorities or potentially through the courts. Management believes OncoCyte has adequately provided for any ultimate amounts that are likely to result from these audits; however, final assessments, if any, could be significantly different than the amounts recorded in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OncoCyte has entered into employment contracts with certain executive officers. Under the provisions of the contracts, OncoCyte may be required to incur severance obligations for matters relating to changes in control, as defined, and involuntary terminations.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normal course of business, OncoCyte may provide indemnification of varying scope under OncoCyte’s agreements with other companies or consultants, typically OncoCyte’s clinical research organizations, investigators, clinical sites, suppliers and others. Pursuant to these agreements, OncoCyte will generally agree to indemnify, hold harmless, and reimburse the indemnified parties for losses and expenses suffered or incurred by the indemnified parties arising from claims of third parties in connection with the use or testing of OncoCyte’s diagnostic tests. Indemnification provisions could also cover third party infringement claims with respect to patent rights, copyrights, or other intellectual property pertaining to OncoCyte’s diagnostic tests. The term of these indemnification agreements will generally continue in effect after the termination or expiration of the particular research, development, services, or license agreement to which they relate. The potential future payments OncoCyte could be required to make under these indemnification agreements will generally not be subject to any specified maximum amounts. Historically, OncoCyte has not been subject to any claims or demands for indemnification. OncoCyte also maintains various liability insurance policies that limit OncoCyte’s financial exposure. As a result, OncoCyte management believes that the fair value of these indemnification agreements is minimal. Accordingly, OncoCyte has not recorded any liabilities for these agreements as of December 31, 2018 and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February 2019, OncoCyte sold 10,733,334 shares of its common stock, for $37.4 million of net proceeds after the payment of underwriting fees and estimated offering expenses, through an underwritten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February 2019, OncoCyte received $0.9 million in proceeds from exercise of stock options to purchase 575,000 shares of OncoCyte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15, 2019, OncoCyte paid the $2.1 million owed to BioTime for prior services provided under the Shared Facilities Agreement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2019, following the announcement of OncoCyte’s public offering, OncoCyte received a letter from Chardan Capital Markets, LLC (“Chardan”) claiming entitlement to certain fees pursuant to an engagement letter unrelated to the public offering. OncoCyte believes Chardan’s claims are without merit and intends to vigorously defend all claims asserted. It is not possible at this time to assess whether the outcome of this matter will have a material adverse effect on OncoCyte’s results of operations, cash flows or financial position.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amp;"/>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lvl w:ilvl="1">
      <w:lvlJc w:val="left"/>
      <w:lvlText w:val="(%2)"/>
      <w:numFmt w:val="decimal"/>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8"/>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2019-12-28T13:34:18Z</dcterms:created>
  <dcterms:modified xsi:type="dcterms:W3CDTF">2019-12-28T13:34:18Z</dcterms:modified>
</cp:coreProperties>
</file>