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Lineage Cell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001-12830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94-3127919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2173 Salk Avenue, Suite 200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Carlsbad,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92008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(442) 287-8990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shares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LCTX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11, 2026, Lineage Cell Therapeutics, Inc. (the “Company”) filed with the U.S. Securities and Exchange Commission (the “SEC”) a prospectus supplement dated March 11, 2026 (the “Prospectus Supplement”) to the prospectus dated May 14, 2024 (the “Base Prospectus”) that forms a part of the Company’s shelf registration statement on Form S-3 (File No. 333-277758) filed by the Company with the SEC on March 7, 2024 and declared effective by the SEC on May 14, 2024 (the “Registration Statement”), as supplemented, modified and superseded by the prospectus supplements dated November 12, 2025 and May 14, 2024 (the “Prior Supplements”), relating to the offer and sale of the Company’s common shares from time to time through or to B. Riley Securities, Inc. (“B. Riley”), pursuant to the sales agreement the Company entered into with B. Riley dated March 22, 2024 (the “Sales Agreement”).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Prospectus Supplement relates to the offer and sale of the Company’s common shares under the Sales Agreement having an aggregate offering price of up to $60,000,000 (the “ATM Shares”), excluding the $22,583,663.82 in aggregate gross sales price of the Company’s common shares sold pursuant to the Prior Supplements and Base Prospectus to date. The ATM Shares are being offered and sold pursuant to the Registration Statement, the Base Prospectus, the Prior Supplements and the Prospectus Supplement.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shall not constitute an offer to sell or the solicitation of an offer to buy the ATM Shares, nor shall there be any sale of the ATM Shares in any state or jurisdiction in which such offer, solicitation or sale would be unlawful prior to registration or qualification under the securities laws of any such state or jurisdiction.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opinion of Sheppard, Mullin, Richter &amp; Hampton LLP relating to the legality of the ATM Shares covered by the Prospectus Supplement is attached hereto as Exhibit 5.1 and is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Pr>
          <w:p>
            <w:pPr>
              <w:spacing w:after="0"/>
              <w:rPr>
                <w:sz w:val="21"/>
                <w:szCs w:val="21"/>
                <w:color w:val="auto"/>
              </w:rPr>
            </w:pPr>
          </w:p>
        </w:tc>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5"/>
                <w:szCs w:val="15"/>
                <w:color w:val="auto"/>
              </w:rPr>
            </w:pPr>
          </w:p>
        </w:tc>
        <w:tc>
          <w:tcPr>
            <w:tcW w:w="1018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FF"/>
              </w:rPr>
              <w:t>Opinion of Sheppard, Mullin, Richter &amp; Hampton LLP</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98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7"/>
                <w:szCs w:val="17"/>
                <w:color w:val="auto"/>
              </w:rPr>
            </w:pPr>
          </w:p>
        </w:tc>
        <w:tc>
          <w:tcPr>
            <w:tcW w:w="10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Consent of Sheppard, Mullin, Richter &amp; Hampton LLP (included in Exhibit 5.1)</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780" w:type="dxa"/>
            <w:vAlign w:val="bottom"/>
            <w:gridSpan w:val="2"/>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Lineage Cell Therapeutics, Inc.</w:t>
            </w:r>
          </w:p>
        </w:tc>
      </w:tr>
      <w:tr>
        <w:trPr>
          <w:trHeight w:val="5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11, 2026</w:t>
            </w:r>
          </w:p>
        </w:tc>
        <w:tc>
          <w:tcPr>
            <w:tcW w:w="24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George A. Samuel III</w:t>
            </w:r>
          </w:p>
        </w:tc>
      </w:tr>
      <w:tr>
        <w:trPr>
          <w:trHeight w:val="191"/>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60" w:type="dxa"/>
            <w:vAlign w:val="bottom"/>
          </w:tcPr>
          <w:p>
            <w:pPr>
              <w:ind w:left="17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A. Samuel III</w:t>
            </w:r>
          </w:p>
        </w:tc>
      </w:tr>
      <w:tr>
        <w:trPr>
          <w:trHeight w:val="248"/>
        </w:trPr>
        <w:tc>
          <w:tcPr>
            <w:tcW w:w="5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4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1182"/>
        </w:trPr>
        <w:tc>
          <w:tcPr>
            <w:tcW w:w="5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125"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28587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5875" cy="514350"/>
                    </a:xfrm>
                    <a:prstGeom prst="rect">
                      <a:avLst/>
                    </a:prstGeom>
                    <a:noFill/>
                  </pic:spPr>
                </pic:pic>
              </a:graphicData>
            </a:graphic>
          </wp:anchor>
        </w:drawing>
      </w:r>
    </w:p>
    <w:p>
      <w:pPr>
        <w:spacing w:after="0" w:line="1"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12275 El Camino Real, Suite 100</w:t>
      </w:r>
    </w:p>
    <w:p>
      <w:pPr>
        <w:spacing w:after="0" w:line="5"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San Diego, CA 92130</w:t>
      </w:r>
    </w:p>
    <w:p>
      <w:pPr>
        <w:spacing w:after="0" w:line="5"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www.sheppard.com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March 11,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ELECTRONIC 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Lineage Cell Therapeutics, Inc.</w:t>
      </w:r>
    </w:p>
    <w:p>
      <w:pPr>
        <w:spacing w:after="0" w:line="234" w:lineRule="auto"/>
        <w:rPr>
          <w:sz w:val="20"/>
          <w:szCs w:val="20"/>
          <w:color w:val="auto"/>
        </w:rPr>
      </w:pPr>
      <w:r>
        <w:rPr>
          <w:rFonts w:ascii="Arial" w:cs="Arial" w:eastAsia="Arial" w:hAnsi="Arial"/>
          <w:sz w:val="18"/>
          <w:szCs w:val="18"/>
          <w:color w:val="auto"/>
        </w:rPr>
        <w:t>2173 Salk Avenue, Suite 200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 92008</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b w:val="1"/>
          <w:bCs w:val="1"/>
          <w:color w:val="auto"/>
        </w:rPr>
        <w:t>Re:</w:t>
        <w:tab/>
        <w:t>At-The-Market Offering pursuant to Registration Statement on Form S-3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acted as counsel to Lineage Cell Therapeutics, Inc., a California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with respect to certain matters in connection with the offering by the Company of up to $60,000,000 (the “</w:t>
      </w:r>
      <w:r>
        <w:rPr>
          <w:rFonts w:ascii="Arial" w:cs="Arial" w:eastAsia="Arial" w:hAnsi="Arial"/>
          <w:sz w:val="18"/>
          <w:szCs w:val="18"/>
          <w:b w:val="1"/>
          <w:bCs w:val="1"/>
          <w:color w:val="auto"/>
        </w:rPr>
        <w:t>Shares</w:t>
      </w:r>
      <w:r>
        <w:rPr>
          <w:rFonts w:ascii="Arial" w:cs="Arial" w:eastAsia="Arial" w:hAnsi="Arial"/>
          <w:sz w:val="18"/>
          <w:szCs w:val="18"/>
          <w:color w:val="auto"/>
        </w:rPr>
        <w:t>”) of its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pursuant to the Company’s Registration Statement on Form S-3 (No. 333-277758)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the prospectus included in the Registration Statement (the “</w:t>
      </w:r>
      <w:r>
        <w:rPr>
          <w:rFonts w:ascii="Arial" w:cs="Arial" w:eastAsia="Arial" w:hAnsi="Arial"/>
          <w:sz w:val="18"/>
          <w:szCs w:val="18"/>
          <w:b w:val="1"/>
          <w:bCs w:val="1"/>
          <w:color w:val="auto"/>
        </w:rPr>
        <w:t>Base Prospectus</w:t>
      </w:r>
      <w:r>
        <w:rPr>
          <w:rFonts w:ascii="Arial" w:cs="Arial" w:eastAsia="Arial" w:hAnsi="Arial"/>
          <w:sz w:val="18"/>
          <w:szCs w:val="18"/>
          <w:color w:val="auto"/>
        </w:rPr>
        <w:t>”), and the prospectus supplements dated May 14, 2024, November 12, 2025, and March 11, 2026, in each case, filed with the Commission pursuant to Rule 424(b) under the Act supplementing the Base Prospectus (together with the Base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The Shares are to be sold by the Company in accordance with the Sales Agreement, dated March 22, 2024, by and between the Company and B. Riley Securities, Inc. (the “</w:t>
      </w:r>
      <w:r>
        <w:rPr>
          <w:rFonts w:ascii="Arial" w:cs="Arial" w:eastAsia="Arial" w:hAnsi="Arial"/>
          <w:sz w:val="18"/>
          <w:szCs w:val="18"/>
          <w:b w:val="1"/>
          <w:bCs w:val="1"/>
          <w:color w:val="auto"/>
        </w:rPr>
        <w:t>Agreement</w:t>
      </w:r>
      <w:r>
        <w:rPr>
          <w:rFonts w:ascii="Arial" w:cs="Arial" w:eastAsia="Arial" w:hAnsi="Arial"/>
          <w:sz w:val="18"/>
          <w:szCs w:val="18"/>
          <w:color w:val="auto"/>
        </w:rPr>
        <w:t>”), as described in the Prospectus.</w:t>
      </w:r>
    </w:p>
    <w:p>
      <w:pPr>
        <w:spacing w:after="0" w:line="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 It is understood that this opinion is to be used only in connection with the offer and sale of the Shares while the Registration Statement is effective under the Act.</w:t>
      </w:r>
    </w:p>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this opinion letter, we have examined and relied upon originals or copies, certified or otherwise identified to our satisfaction, of the Registration Statement and the Prospectus, the Company’s articles of incorporation and bylaws, each as currently in effect, the Agreement, and such records, documents, certificates, memoranda and other instruments as in our judgment are necessary or appropriate to enable us to render the opinion expressed below. We have assumed: the genuineness of all signatures, including endorsements; the legal capacity and competency of all natural persons; the authenticity of all documents submitted to us as originals; the conformity to originals of all documents submitted to us as copies, including facsimile, electronic, certified or photostatic copies; the authenticity of the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any facts relevant to the opinions stated herein that we did not independently establish or verify, we relied upon statements and representations of officers and other representatives of the Company and others and of public officials and have not independently verified such facts.</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express no opinion to the extent that future issuances of securities of the Company and/or anti-dilution adjustments to outstanding securities of the Company cause the number of Common Shares outstanding or issuable upon conversion or exercise of outstanding securities of the Company to exceed the number of Shares then issuable under the Agreement.</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 when the Shares are delivered to and paid for in accordance with the terms of the Agreement,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both"/>
        <w:spacing w:after="0" w:line="271" w:lineRule="auto"/>
        <w:rPr>
          <w:sz w:val="20"/>
          <w:szCs w:val="20"/>
          <w:color w:val="auto"/>
        </w:rPr>
      </w:pPr>
      <w:r>
        <w:rPr>
          <w:rFonts w:ascii="Arial" w:cs="Arial" w:eastAsia="Arial" w:hAnsi="Arial"/>
          <w:sz w:val="18"/>
          <w:szCs w:val="18"/>
          <w:color w:val="auto"/>
        </w:rPr>
        <w:t>the Registration Statement and the Prospectus, and when evidence of the issuance thereof is duly recorded in the Company’s books and records, the Shares will be validly issued, fully paid and non-assessable.</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rendering the foregoing opinion, we assumed that (i) the Company will comply with all applicable notice requirements regarding uncertificated shares provided in the California Corporations Code, (ii) each sale of the Shares will be duly authorized by the Company’s board of directors or a duly authorized committee thereof in accordance with the California Corporations Code and (iii) upon the issue of any of the Shares, the total number of Common Shares issued and outstanding will not exceed the total number of Common Shares the Company is then authorized to issue under its articles of incorporation.</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opinion which we render herein is expressly limited solely with respect to the laws of the State of California and is based on these laws as in effect on the date hereof. We express no opinion to the extent that any other laws are applicable to the subject matter hereof and express no opinion and provide no assurance with respect to any other laws or as to compliance with any federal or state securities law, rule or regulation.</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hereby consent to the filing of this opinion with the Commission as an exhibit to the Company’s Current Report on Form 8-K being filed on or about the date hereof and incorporated by reference into the Registration Statement. We also hereby consent to the reference to our firm in the “Legal Matters” section in the Registration Statement. In giving this consent, we do not thereby admit that we are within the category of persons whose consent is required under Section 7 of the Act or the General Rules and Regulations under the Act.</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Shares or any other agreements or transactions that may be related thereto or contemplated thereby. We are expressing no opinion as to any obligations that parties other than the Company may have under or in respect of the Shares, or as to the effect that their performance of such obligations may have upon any of the matters referred to above. No opinion may be implied or inferred beyond the opinion expressly stated above.</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Sincerely,</w:t>
      </w:r>
    </w:p>
    <w:p>
      <w:pPr>
        <w:spacing w:after="0" w:line="10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Sheppard, Mullin, Richter &amp; Hampton LLP</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2026-03-11T08:04:52Z</dcterms:created>
  <dcterms:modified xsi:type="dcterms:W3CDTF">2026-03-11T08:04:52Z</dcterms:modified>
</cp:coreProperties>
</file>