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4"/>
          <w:szCs w:val="14"/>
          <w:b w:val="1"/>
          <w:bCs w:val="1"/>
          <w:color w:val="auto"/>
        </w:rPr>
        <w:t>As filed with the Securities and Exchange Commission on March 11, 2026</w:t>
      </w:r>
    </w:p>
    <w:p>
      <w:pPr>
        <w:spacing w:after="0" w:line="16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Registration No. 333-</w:t>
      </w:r>
    </w:p>
    <w:p>
      <w:pPr>
        <w:spacing w:after="0" w:line="3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S-3</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REGISTRATION STATEMENT</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UNDER</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SECURITIES ACT OF 1933</w:t>
      </w:r>
    </w:p>
    <w:p>
      <w:pPr>
        <w:spacing w:after="0" w:line="2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Lineage Cell Therapeutics, Inc.</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49" w:lineRule="exact"/>
        <w:rPr>
          <w:sz w:val="24"/>
          <w:szCs w:val="24"/>
          <w:color w:val="auto"/>
        </w:rPr>
      </w:pPr>
    </w:p>
    <w:tbl>
      <w:tblPr>
        <w:tblLayout w:type="fixed"/>
        <w:tblInd w:w="1860" w:type="dxa"/>
        <w:tblCellMar>
          <w:top w:w="0" w:type="dxa"/>
          <w:left w:w="0" w:type="dxa"/>
          <w:bottom w:w="0" w:type="dxa"/>
          <w:right w:w="0" w:type="dxa"/>
        </w:tblCellMar>
      </w:tblPr>
      <w:tr>
        <w:trPr>
          <w:trHeight w:val="168"/>
        </w:trPr>
        <w:tc>
          <w:tcPr>
            <w:tcW w:w="3920" w:type="dxa"/>
            <w:vAlign w:val="bottom"/>
          </w:tcPr>
          <w:p>
            <w:pPr>
              <w:jc w:val="center"/>
              <w:ind w:right="2052"/>
              <w:spacing w:after="0"/>
              <w:rPr>
                <w:sz w:val="20"/>
                <w:szCs w:val="20"/>
                <w:color w:val="auto"/>
              </w:rPr>
            </w:pPr>
            <w:r>
              <w:rPr>
                <w:rFonts w:ascii="Times New Roman" w:cs="Times New Roman" w:eastAsia="Times New Roman" w:hAnsi="Times New Roman"/>
                <w:sz w:val="14"/>
                <w:szCs w:val="14"/>
                <w:b w:val="1"/>
                <w:bCs w:val="1"/>
                <w:color w:val="auto"/>
                <w:w w:val="97"/>
              </w:rPr>
              <w:t>California</w:t>
            </w:r>
          </w:p>
        </w:tc>
        <w:tc>
          <w:tcPr>
            <w:tcW w:w="338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94-3127919</w:t>
            </w:r>
          </w:p>
        </w:tc>
      </w:tr>
      <w:tr>
        <w:trPr>
          <w:trHeight w:val="164"/>
        </w:trPr>
        <w:tc>
          <w:tcPr>
            <w:tcW w:w="39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(State or other jurisdiction</w:t>
            </w:r>
          </w:p>
        </w:tc>
        <w:tc>
          <w:tcPr>
            <w:tcW w:w="3380" w:type="dxa"/>
            <w:vAlign w:val="bottom"/>
          </w:tcPr>
          <w:p>
            <w:pPr>
              <w:jc w:val="center"/>
              <w:ind w:left="2012"/>
              <w:spacing w:after="0"/>
              <w:rPr>
                <w:sz w:val="20"/>
                <w:szCs w:val="20"/>
                <w:color w:val="auto"/>
              </w:rPr>
            </w:pPr>
            <w:r>
              <w:rPr>
                <w:rFonts w:ascii="Times New Roman" w:cs="Times New Roman" w:eastAsia="Times New Roman" w:hAnsi="Times New Roman"/>
                <w:sz w:val="14"/>
                <w:szCs w:val="14"/>
                <w:color w:val="auto"/>
                <w:w w:val="98"/>
              </w:rPr>
              <w:t>(I.R.S. Employer</w:t>
            </w:r>
          </w:p>
        </w:tc>
      </w:tr>
      <w:tr>
        <w:trPr>
          <w:trHeight w:val="176"/>
        </w:trPr>
        <w:tc>
          <w:tcPr>
            <w:tcW w:w="3920" w:type="dxa"/>
            <w:vAlign w:val="bottom"/>
          </w:tcPr>
          <w:p>
            <w:pPr>
              <w:jc w:val="center"/>
              <w:ind w:right="2052"/>
              <w:spacing w:after="0"/>
              <w:rPr>
                <w:sz w:val="20"/>
                <w:szCs w:val="20"/>
                <w:color w:val="auto"/>
              </w:rPr>
            </w:pPr>
            <w:r>
              <w:rPr>
                <w:rFonts w:ascii="Times New Roman" w:cs="Times New Roman" w:eastAsia="Times New Roman" w:hAnsi="Times New Roman"/>
                <w:sz w:val="14"/>
                <w:szCs w:val="14"/>
                <w:color w:val="auto"/>
                <w:w w:val="97"/>
              </w:rPr>
              <w:t>of incorporation or organization)</w:t>
            </w:r>
          </w:p>
        </w:tc>
        <w:tc>
          <w:tcPr>
            <w:tcW w:w="3380" w:type="dxa"/>
            <w:vAlign w:val="bottom"/>
          </w:tcPr>
          <w:p>
            <w:pPr>
              <w:jc w:val="center"/>
              <w:ind w:left="2052"/>
              <w:spacing w:after="0"/>
              <w:rPr>
                <w:sz w:val="20"/>
                <w:szCs w:val="20"/>
                <w:color w:val="auto"/>
              </w:rPr>
            </w:pPr>
            <w:r>
              <w:rPr>
                <w:rFonts w:ascii="Times New Roman" w:cs="Times New Roman" w:eastAsia="Times New Roman" w:hAnsi="Times New Roman"/>
                <w:sz w:val="14"/>
                <w:szCs w:val="14"/>
                <w:color w:val="auto"/>
                <w:w w:val="97"/>
              </w:rPr>
              <w:t>Identification Number)</w:t>
            </w:r>
          </w:p>
        </w:tc>
      </w:tr>
    </w:tbl>
    <w:p>
      <w:pPr>
        <w:spacing w:after="0" w:line="1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2173 Salk Avenue, Suite 200</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Carlsbad, California 92008</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(Address, including zip code, and telephone number, including area code, of registrant’s principal executive offices)</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Brian M. Culley</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Chief Executive Officer</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Lineage Cell Therapeutics, Inc.</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2173 Salk Avenue, Suite 200</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Carlsbad, CA 92008</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(442) 287-8990</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(Name, address, including zip code, and telephone number, including area code, of agent for service)</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Copies to:</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George A. Samuel III, Esq.</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Lineage Cell Therapeutics, Inc.</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2173 Salk Avenue, Suite 200</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Carlsbad, CA 92008</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(442) 287-8990</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From time to time after the effective date of this Registration Statement.</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(Approximate date of commencement of proposed sale to the public)</w:t>
      </w:r>
    </w:p>
    <w:p>
      <w:pPr>
        <w:spacing w:after="0" w:line="125"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4"/>
          <w:szCs w:val="14"/>
          <w:color w:val="auto"/>
        </w:rPr>
        <w:t>☐</w:t>
      </w:r>
    </w:p>
    <w:p>
      <w:pPr>
        <w:spacing w:after="0" w:line="198" w:lineRule="exact"/>
        <w:rPr>
          <w:sz w:val="24"/>
          <w:szCs w:val="24"/>
          <w:color w:val="auto"/>
        </w:rPr>
      </w:pPr>
    </w:p>
    <w:p>
      <w:pPr>
        <w:spacing w:after="0" w:line="181"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4"/>
          <w:szCs w:val="14"/>
          <w:color w:val="auto"/>
        </w:rPr>
        <w:t>☒</w:t>
      </w:r>
    </w:p>
    <w:p>
      <w:pPr>
        <w:spacing w:after="0" w:line="132" w:lineRule="exact"/>
        <w:rPr>
          <w:sz w:val="24"/>
          <w:szCs w:val="24"/>
          <w:color w:val="auto"/>
        </w:rPr>
      </w:pPr>
    </w:p>
    <w:p>
      <w:pPr>
        <w:spacing w:after="0" w:line="181"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32" w:lineRule="exact"/>
        <w:rPr>
          <w:sz w:val="24"/>
          <w:szCs w:val="24"/>
          <w:color w:val="auto"/>
        </w:rPr>
      </w:pPr>
    </w:p>
    <w:p>
      <w:pPr>
        <w:spacing w:after="0" w:line="181"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wp:posOffset>
            </wp:positionH>
            <wp:positionV relativeFrom="paragraph">
              <wp:posOffset>339725</wp:posOffset>
            </wp:positionV>
            <wp:extent cx="719074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697" w:right="319" w:bottom="1440" w:gutter="0" w:footer="0" w:header="0"/>
        </w:sectPr>
      </w:pPr>
    </w:p>
    <w:bookmarkStart w:id="1" w:name="page2"/>
    <w:bookmarkEnd w:id="1"/>
    <w:p>
      <w:pPr>
        <w:spacing w:after="0" w:line="181" w:lineRule="exact"/>
        <w:rPr>
          <w:sz w:val="20"/>
          <w:szCs w:val="20"/>
          <w:color w:val="auto"/>
        </w:rPr>
      </w:pPr>
      <w:r>
        <w:rPr>
          <w:rFonts w:ascii="Times New Roman" w:cs="Times New Roman" w:eastAsia="Times New Roman" w:hAnsi="Times New Roman"/>
          <w:sz w:val="14"/>
          <w:szCs w:val="14"/>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4"/>
          <w:szCs w:val="14"/>
          <w:color w:val="auto"/>
        </w:rPr>
        <w:t>☐</w:t>
      </w:r>
    </w:p>
    <w:p>
      <w:pPr>
        <w:spacing w:after="0" w:line="132" w:lineRule="exact"/>
        <w:rPr>
          <w:sz w:val="20"/>
          <w:szCs w:val="20"/>
          <w:color w:val="auto"/>
        </w:rPr>
      </w:pPr>
    </w:p>
    <w:p>
      <w:pPr>
        <w:spacing w:after="0" w:line="181"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4"/>
          <w:szCs w:val="14"/>
          <w:color w:val="auto"/>
        </w:rPr>
        <w:t>☐</w:t>
      </w:r>
    </w:p>
    <w:p>
      <w:pPr>
        <w:spacing w:after="0" w:line="13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80"/>
          </w:cols>
          <w:pgMar w:left="300" w:top="783" w:right="319" w:bottom="1440" w:gutter="0" w:footer="0" w:header="0"/>
        </w:sectPr>
      </w:pPr>
    </w:p>
    <w:p>
      <w:pPr>
        <w:spacing w:after="0" w:line="104" w:lineRule="exact"/>
        <w:rPr>
          <w:sz w:val="20"/>
          <w:szCs w:val="20"/>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Large accelerated filer </w:t>
      </w:r>
      <w:r>
        <w:rPr>
          <w:rFonts w:ascii="MS PGothic" w:cs="MS PGothic" w:eastAsia="MS PGothic" w:hAnsi="MS PGothic"/>
          <w:sz w:val="13"/>
          <w:szCs w:val="13"/>
          <w:color w:val="auto"/>
        </w:rPr>
        <w:t>☐</w:t>
      </w:r>
    </w:p>
    <w:p>
      <w:pPr>
        <w:spacing w:after="0" w:line="60" w:lineRule="exact"/>
        <w:rPr>
          <w:sz w:val="20"/>
          <w:szCs w:val="20"/>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p>
    <w:p>
      <w:pPr>
        <w:spacing w:after="0" w:line="48" w:lineRule="exact"/>
        <w:rPr>
          <w:sz w:val="20"/>
          <w:szCs w:val="20"/>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Smaller reporting company </w:t>
      </w:r>
      <w:r>
        <w:rPr>
          <w:rFonts w:ascii="MS PGothic" w:cs="MS PGothic" w:eastAsia="MS PGothic" w:hAnsi="MS PGothic"/>
          <w:sz w:val="13"/>
          <w:szCs w:val="13"/>
          <w:color w:val="auto"/>
        </w:rPr>
        <w:t>☒</w:t>
      </w:r>
    </w:p>
    <w:p>
      <w:pPr>
        <w:spacing w:after="0" w:line="15" w:lineRule="exact"/>
        <w:rPr>
          <w:sz w:val="20"/>
          <w:szCs w:val="20"/>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165" w:lineRule="exact"/>
        <w:rPr>
          <w:sz w:val="20"/>
          <w:szCs w:val="20"/>
          <w:color w:val="auto"/>
        </w:rPr>
      </w:pPr>
    </w:p>
    <w:p>
      <w:pPr>
        <w:sectPr>
          <w:pgSz w:w="11900" w:h="16838" w:orient="portrait"/>
          <w:cols w:equalWidth="0" w:num="2">
            <w:col w:w="5060" w:space="720"/>
            <w:col w:w="5500"/>
          </w:cols>
          <w:pgMar w:left="300" w:top="783" w:right="319" w:bottom="1440" w:gutter="0" w:footer="0" w:header="0"/>
          <w:type w:val="continuous"/>
        </w:sectPr>
      </w:pPr>
    </w:p>
    <w:p>
      <w:pPr>
        <w:jc w:val="both"/>
        <w:spacing w:after="0" w:line="181"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12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345440</wp:posOffset>
            </wp:positionV>
            <wp:extent cx="719074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783" w:right="319" w:bottom="1440" w:gutter="0" w:footer="0" w:header="0"/>
          <w:type w:val="continuous"/>
        </w:sectPr>
      </w:pPr>
    </w:p>
    <w:bookmarkStart w:id="2" w:name="page3"/>
    <w:bookmarkEnd w:id="2"/>
    <w:p>
      <w:pPr>
        <w:jc w:val="both"/>
        <w:spacing w:after="0" w:line="258" w:lineRule="auto"/>
        <w:rPr>
          <w:sz w:val="20"/>
          <w:szCs w:val="20"/>
          <w:color w:val="auto"/>
        </w:rPr>
      </w:pPr>
      <w:r>
        <w:rPr>
          <w:rFonts w:ascii="Times New Roman" w:cs="Times New Roman" w:eastAsia="Times New Roman" w:hAnsi="Times New Roman"/>
          <w:sz w:val="14"/>
          <w:szCs w:val="14"/>
          <w:b w:val="1"/>
          <w:bCs w:val="1"/>
          <w:color w:val="FF0000"/>
        </w:rPr>
        <w:t>The information in this prospectus is not complete and may be changed. We may not sell these securities or accept an offer to buy these securities until the registration statement filed with the Securities and Exchange Commission is effective. This prospectus is not an offer to sell these securities, and it is not soliciting offers to buy these securities in any state where such offer or sale is not permitted.</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FF0000"/>
        </w:rPr>
        <w:t>SUBJECT TO COMPLETION, DATED MARCH 11, 2026</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2587625</wp:posOffset>
            </wp:positionH>
            <wp:positionV relativeFrom="paragraph">
              <wp:posOffset>116840</wp:posOffset>
            </wp:positionV>
            <wp:extent cx="1999615" cy="410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99615" cy="410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$100,000,000</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Common Shares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Preferred Shares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Debt Securities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Warrants</w:t>
      </w:r>
    </w:p>
    <w:p>
      <w:pPr>
        <w:spacing w:after="0" w:line="1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From time to time, we may offer up to $100,000,000 of any combination of the securities described in this prospectus in one or more offerings. We may also offer securities as may be issuable upon conversion, redemption, repurchase, exchange or exercise of any securities registered hereunder, including pursuant to any applicable antidilution provisions.</w:t>
      </w:r>
    </w:p>
    <w:p>
      <w:pPr>
        <w:spacing w:after="0" w:line="5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4"/>
          <w:szCs w:val="14"/>
          <w:color w:val="auto"/>
        </w:rPr>
        <w:t>This prospectus provides a general description of the securities we may offer. Each time we offer securities, we will provide specific terms of the securities offered in a supplement to this prospectus. We may also authorize one or more free writing prospectuses to be provided to you in connection with these offerings. The prospectus supplement and any related free writing prospectus may also add, update or change information contained in this prospectus. You should carefully read this prospectus, the applicable prospectus supplement and any related free writing prospectus, as well as any documents incorporated by reference into any of the foregoing, before you invest in any of the securities being offered.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This prospectus may not be used to consummate a sale of any securities unless accompanied by a prospectus supplement.</w:t>
      </w:r>
    </w:p>
    <w:p>
      <w:pPr>
        <w:spacing w:after="0" w:line="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Our common shares trade on the NYSE American and the Tel Aviv Stock Exchange (“TASE”) under the symbol “LCTX.” On March 9, 2026, the last reported sale price of our common shares on the NYSE American was $1.77 per share. The applicable prospectus supplement will contain information, where applicable, as to any other listing on the NYSE American, TASE, or any securities market or other exchange of the securities, if any, covered by such prospectus supplement.</w:t>
      </w:r>
    </w:p>
    <w:p>
      <w:pPr>
        <w:spacing w:after="0" w:line="6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3"/>
          <w:szCs w:val="13"/>
          <w:color w:val="auto"/>
        </w:rPr>
        <w:t>We may sell these securities directly to investors, through agents designated from time to time or to or through underwriters or dealers, on a continuous or delayed basis. For additional information on the methods of sale, you should refer to the section titled “Plan of Distribution” in this prospectus and in the prospectus supplement for the applicable offering. If any agents or underwriters are involved in the sale of any securities with respect to which this prospectus is being delivered, the names of such agents or underwriters and any applicable fees, commissions, discounts or over-allotment options will be set forth in a prospectus supplement. The price to the public of such securities and the net proceeds we expect to receive from such sale will also be set forth in a prospectus supplement.</w:t>
      </w:r>
    </w:p>
    <w:p>
      <w:pPr>
        <w:spacing w:after="0" w:line="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b w:val="1"/>
          <w:bCs w:val="1"/>
          <w:color w:val="auto"/>
        </w:rPr>
        <w:t>Investing in our securities involves a high degree of risk. You should carefully review the risks and uncertainties described under the heading “Risk Factors” on page 4 of this prospectus as well as those described in the applicable prospectus supplement and any related free writing prospectus, and under similar headings in the other documents that are incorporated by reference into this prospectus.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Neither the Securities and Exchange Commission nor any state securities commission has approved or disapproved of these securities or determined if this prospectus is truthful or complete.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Any representation to the contrary is a criminal offense.</w:t>
      </w:r>
    </w:p>
    <w:p>
      <w:pPr>
        <w:spacing w:after="0" w:line="74" w:lineRule="exact"/>
        <w:rPr>
          <w:sz w:val="20"/>
          <w:szCs w:val="20"/>
          <w:color w:val="auto"/>
        </w:rPr>
      </w:pPr>
    </w:p>
    <w:p>
      <w:pPr>
        <w:jc w:val="center"/>
        <w:spacing w:after="0"/>
        <w:tabs>
          <w:tab w:leader="none" w:pos="120" w:val="left"/>
        </w:tabs>
        <w:rPr>
          <w:sz w:val="20"/>
          <w:szCs w:val="20"/>
          <w:color w:val="auto"/>
        </w:rPr>
      </w:pPr>
      <w:r>
        <w:rPr>
          <w:rFonts w:ascii="Times New Roman" w:cs="Times New Roman" w:eastAsia="Times New Roman" w:hAnsi="Times New Roman"/>
          <w:sz w:val="14"/>
          <w:szCs w:val="14"/>
          <w:color w:val="auto"/>
        </w:rPr>
        <w:t>The date of this prospectus is</w:t>
      </w:r>
      <w:r>
        <w:rPr>
          <w:sz w:val="20"/>
          <w:szCs w:val="20"/>
          <w:color w:val="auto"/>
        </w:rPr>
        <w:tab/>
      </w:r>
      <w:r>
        <w:rPr>
          <w:rFonts w:ascii="Times New Roman" w:cs="Times New Roman" w:eastAsia="Times New Roman" w:hAnsi="Times New Roman"/>
          <w:sz w:val="13"/>
          <w:szCs w:val="13"/>
          <w:color w:val="auto"/>
        </w:rPr>
        <w: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479425</wp:posOffset>
            </wp:positionV>
            <wp:extent cx="719074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779" w:right="3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78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1680" w:type="dxa"/>
            <w:vAlign w:val="bottom"/>
            <w:tcBorders>
              <w:bottom w:val="single" w:sz="8" w:color="0000FF"/>
            </w:tcBorders>
            <w:gridSpan w:val="7"/>
            <w:shd w:val="clear" w:color="auto" w:fill="CCEEFF"/>
          </w:tcPr>
          <w:p>
            <w:pPr>
              <w:spacing w:after="0" w:line="133" w:lineRule="exact"/>
              <w:rPr>
                <w:sz w:val="20"/>
                <w:szCs w:val="20"/>
                <w:color w:val="auto"/>
              </w:rPr>
            </w:pPr>
            <w:r>
              <w:rPr>
                <w:rFonts w:ascii="Times New Roman" w:cs="Times New Roman" w:eastAsia="Times New Roman" w:hAnsi="Times New Roman"/>
                <w:sz w:val="14"/>
                <w:szCs w:val="14"/>
                <w:color w:val="0000FF"/>
                <w:w w:val="95"/>
              </w:rPr>
              <w:t>ABOUT THIS PROSPECTUS</w:t>
            </w:r>
          </w:p>
        </w:tc>
        <w:tc>
          <w:tcPr>
            <w:tcW w:w="2800" w:type="dxa"/>
            <w:vAlign w:val="bottom"/>
            <w:tcBorders>
              <w:bottom w:val="single" w:sz="8" w:color="CCEEFF"/>
            </w:tcBorders>
            <w:gridSpan w:val="7"/>
            <w:shd w:val="clear" w:color="auto" w:fill="CCEEFF"/>
          </w:tcPr>
          <w:p>
            <w:pPr>
              <w:spacing w:after="0"/>
              <w:rPr>
                <w:sz w:val="12"/>
                <w:szCs w:val="12"/>
                <w:color w:val="auto"/>
              </w:rPr>
            </w:pPr>
          </w:p>
        </w:tc>
        <w:tc>
          <w:tcPr>
            <w:tcW w:w="6780" w:type="dxa"/>
            <w:vAlign w:val="bottom"/>
            <w:tcBorders>
              <w:bottom w:val="single" w:sz="8" w:color="CCEEFF"/>
            </w:tcBorders>
            <w:shd w:val="clear" w:color="auto" w:fill="CCEEFF"/>
          </w:tcPr>
          <w:p>
            <w:pPr>
              <w:ind w:left="4740"/>
              <w:spacing w:after="0" w:line="133" w:lineRule="exact"/>
              <w:rPr>
                <w:sz w:val="20"/>
                <w:szCs w:val="20"/>
                <w:color w:val="auto"/>
              </w:rPr>
            </w:pPr>
            <w:r>
              <w:rPr>
                <w:rFonts w:ascii="Times New Roman" w:cs="Times New Roman" w:eastAsia="Times New Roman" w:hAnsi="Times New Roman"/>
                <w:sz w:val="14"/>
                <w:szCs w:val="14"/>
                <w:color w:val="auto"/>
              </w:rPr>
              <w:t>i</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580" w:type="dxa"/>
            <w:vAlign w:val="bottom"/>
            <w:tcBorders>
              <w:bottom w:val="single" w:sz="8" w:color="0000FF"/>
            </w:tcBorders>
            <w:gridSpan w:val="6"/>
          </w:tcPr>
          <w:p>
            <w:pPr>
              <w:spacing w:after="0" w:line="133" w:lineRule="exact"/>
              <w:rPr>
                <w:sz w:val="20"/>
                <w:szCs w:val="20"/>
                <w:color w:val="auto"/>
              </w:rPr>
            </w:pPr>
            <w:r>
              <w:rPr>
                <w:rFonts w:ascii="Times New Roman" w:cs="Times New Roman" w:eastAsia="Times New Roman" w:hAnsi="Times New Roman"/>
                <w:sz w:val="14"/>
                <w:szCs w:val="14"/>
                <w:color w:val="0000FF"/>
                <w:w w:val="95"/>
              </w:rPr>
              <w:t>PROSPECTUS SUMMARY</w:t>
            </w:r>
          </w:p>
        </w:tc>
        <w:tc>
          <w:tcPr>
            <w:tcW w:w="2900" w:type="dxa"/>
            <w:vAlign w:val="bottom"/>
            <w:gridSpan w:val="8"/>
          </w:tcPr>
          <w:p>
            <w:pPr>
              <w:spacing w:after="0"/>
              <w:rPr>
                <w:sz w:val="11"/>
                <w:szCs w:val="11"/>
                <w:color w:val="auto"/>
              </w:rPr>
            </w:pPr>
          </w:p>
        </w:tc>
        <w:tc>
          <w:tcPr>
            <w:tcW w:w="6780" w:type="dxa"/>
            <w:vAlign w:val="bottom"/>
          </w:tcPr>
          <w:p>
            <w:pPr>
              <w:jc w:val="center"/>
              <w:ind w:left="2652"/>
              <w:spacing w:after="0" w:line="133"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480" w:type="dxa"/>
            <w:vAlign w:val="bottom"/>
            <w:gridSpan w:val="14"/>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0000FF"/>
              </w:rPr>
              <w:t>RISK FACTORS</w:t>
            </w:r>
          </w:p>
        </w:tc>
        <w:tc>
          <w:tcPr>
            <w:tcW w:w="6780" w:type="dxa"/>
            <w:vAlign w:val="bottom"/>
            <w:shd w:val="clear" w:color="auto" w:fill="CCEEFF"/>
          </w:tcPr>
          <w:p>
            <w:pPr>
              <w:jc w:val="center"/>
              <w:ind w:left="2652"/>
              <w:spacing w:after="0" w:line="144" w:lineRule="exact"/>
              <w:rPr>
                <w:sz w:val="20"/>
                <w:szCs w:val="20"/>
                <w:color w:val="auto"/>
              </w:rPr>
            </w:pPr>
            <w:r>
              <w:rPr>
                <w:rFonts w:ascii="Times New Roman" w:cs="Times New Roman" w:eastAsia="Times New Roman" w:hAnsi="Times New Roman"/>
                <w:sz w:val="14"/>
                <w:szCs w:val="14"/>
                <w:color w:val="auto"/>
                <w:w w:val="85"/>
              </w:rPr>
              <w:t>4</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67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4480" w:type="dxa"/>
            <w:vAlign w:val="bottom"/>
            <w:gridSpan w:val="14"/>
          </w:tcPr>
          <w:p>
            <w:pPr>
              <w:spacing w:after="0" w:line="133" w:lineRule="exact"/>
              <w:rPr>
                <w:sz w:val="20"/>
                <w:szCs w:val="20"/>
                <w:color w:val="auto"/>
              </w:rPr>
            </w:pPr>
            <w:r>
              <w:rPr>
                <w:rFonts w:ascii="Times New Roman" w:cs="Times New Roman" w:eastAsia="Times New Roman" w:hAnsi="Times New Roman"/>
                <w:sz w:val="14"/>
                <w:szCs w:val="14"/>
                <w:color w:val="0000FF"/>
              </w:rPr>
              <w:t>SPECIAL NOTE REGARDING FORWARD-LOOKING STATEMENTS</w:t>
            </w:r>
          </w:p>
        </w:tc>
        <w:tc>
          <w:tcPr>
            <w:tcW w:w="6780" w:type="dxa"/>
            <w:vAlign w:val="bottom"/>
          </w:tcPr>
          <w:p>
            <w:pPr>
              <w:jc w:val="center"/>
              <w:ind w:left="2652"/>
              <w:spacing w:after="0" w:line="133" w:lineRule="exact"/>
              <w:rPr>
                <w:sz w:val="20"/>
                <w:szCs w:val="20"/>
                <w:color w:val="auto"/>
              </w:rPr>
            </w:pPr>
            <w:r>
              <w:rPr>
                <w:rFonts w:ascii="Times New Roman" w:cs="Times New Roman" w:eastAsia="Times New Roman" w:hAnsi="Times New Roman"/>
                <w:sz w:val="14"/>
                <w:szCs w:val="14"/>
                <w:color w:val="auto"/>
                <w:w w:val="85"/>
              </w:rPr>
              <w:t>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80" w:type="dxa"/>
            <w:vAlign w:val="bottom"/>
            <w:tcBorders>
              <w:top w:val="single" w:sz="8" w:color="0000FF"/>
            </w:tcBorders>
            <w:gridSpan w:val="13"/>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0000FF"/>
              </w:rPr>
              <w:t>USE OF PROCEEDS</w:t>
            </w:r>
          </w:p>
        </w:tc>
        <w:tc>
          <w:tcPr>
            <w:tcW w:w="400" w:type="dxa"/>
            <w:vAlign w:val="bottom"/>
            <w:shd w:val="clear" w:color="auto" w:fill="CCEEFF"/>
          </w:tcPr>
          <w:p>
            <w:pPr>
              <w:spacing w:after="0"/>
              <w:rPr>
                <w:sz w:val="12"/>
                <w:szCs w:val="12"/>
                <w:color w:val="auto"/>
              </w:rPr>
            </w:pPr>
          </w:p>
        </w:tc>
        <w:tc>
          <w:tcPr>
            <w:tcW w:w="6780" w:type="dxa"/>
            <w:vAlign w:val="bottom"/>
            <w:shd w:val="clear" w:color="auto" w:fill="CCEEFF"/>
          </w:tcPr>
          <w:p>
            <w:pPr>
              <w:jc w:val="center"/>
              <w:ind w:left="2652"/>
              <w:spacing w:after="0" w:line="144" w:lineRule="exact"/>
              <w:rPr>
                <w:sz w:val="20"/>
                <w:szCs w:val="20"/>
                <w:color w:val="auto"/>
              </w:rPr>
            </w:pPr>
            <w:r>
              <w:rPr>
                <w:rFonts w:ascii="Times New Roman" w:cs="Times New Roman" w:eastAsia="Times New Roman" w:hAnsi="Times New Roman"/>
                <w:sz w:val="14"/>
                <w:szCs w:val="14"/>
                <w:color w:val="auto"/>
                <w:w w:val="85"/>
              </w:rPr>
              <w:t>5</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67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180" w:type="dxa"/>
            <w:vAlign w:val="bottom"/>
            <w:tcBorders>
              <w:bottom w:val="single" w:sz="8" w:color="0000FF"/>
            </w:tcBorders>
            <w:gridSpan w:val="9"/>
          </w:tcPr>
          <w:p>
            <w:pPr>
              <w:spacing w:after="0" w:line="133" w:lineRule="exact"/>
              <w:rPr>
                <w:sz w:val="20"/>
                <w:szCs w:val="20"/>
                <w:color w:val="auto"/>
              </w:rPr>
            </w:pPr>
            <w:r>
              <w:rPr>
                <w:rFonts w:ascii="Times New Roman" w:cs="Times New Roman" w:eastAsia="Times New Roman" w:hAnsi="Times New Roman"/>
                <w:sz w:val="14"/>
                <w:szCs w:val="14"/>
                <w:color w:val="0000FF"/>
                <w:w w:val="96"/>
              </w:rPr>
              <w:t>DESCRIPTION OF CAPITAL STOCK</w:t>
            </w:r>
          </w:p>
        </w:tc>
        <w:tc>
          <w:tcPr>
            <w:tcW w:w="2300" w:type="dxa"/>
            <w:vAlign w:val="bottom"/>
            <w:gridSpan w:val="5"/>
          </w:tcPr>
          <w:p>
            <w:pPr>
              <w:spacing w:after="0"/>
              <w:rPr>
                <w:sz w:val="11"/>
                <w:szCs w:val="11"/>
                <w:color w:val="auto"/>
              </w:rPr>
            </w:pPr>
          </w:p>
        </w:tc>
        <w:tc>
          <w:tcPr>
            <w:tcW w:w="6780" w:type="dxa"/>
            <w:vAlign w:val="bottom"/>
          </w:tcPr>
          <w:p>
            <w:pPr>
              <w:jc w:val="center"/>
              <w:ind w:left="2652"/>
              <w:spacing w:after="0" w:line="133" w:lineRule="exact"/>
              <w:rPr>
                <w:sz w:val="20"/>
                <w:szCs w:val="20"/>
                <w:color w:val="auto"/>
              </w:rPr>
            </w:pPr>
            <w:r>
              <w:rPr>
                <w:rFonts w:ascii="Times New Roman" w:cs="Times New Roman" w:eastAsia="Times New Roman" w:hAnsi="Times New Roman"/>
                <w:sz w:val="14"/>
                <w:szCs w:val="14"/>
                <w:color w:val="auto"/>
                <w:w w:val="85"/>
              </w:rPr>
              <w:t>5</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280" w:type="dxa"/>
            <w:vAlign w:val="bottom"/>
            <w:tcBorders>
              <w:bottom w:val="single" w:sz="8" w:color="0000FF"/>
            </w:tcBorders>
            <w:gridSpan w:val="10"/>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0000FF"/>
                <w:w w:val="96"/>
              </w:rPr>
              <w:t>DESCRIPTION OF DEBT SECURITIES</w:t>
            </w:r>
          </w:p>
        </w:tc>
        <w:tc>
          <w:tcPr>
            <w:tcW w:w="2200" w:type="dxa"/>
            <w:vAlign w:val="bottom"/>
            <w:tcBorders>
              <w:bottom w:val="single" w:sz="8" w:color="CCEEFF"/>
            </w:tcBorders>
            <w:gridSpan w:val="4"/>
            <w:shd w:val="clear" w:color="auto" w:fill="CCEEFF"/>
          </w:tcPr>
          <w:p>
            <w:pPr>
              <w:spacing w:after="0"/>
              <w:rPr>
                <w:sz w:val="13"/>
                <w:szCs w:val="13"/>
                <w:color w:val="auto"/>
              </w:rPr>
            </w:pPr>
          </w:p>
        </w:tc>
        <w:tc>
          <w:tcPr>
            <w:tcW w:w="6780" w:type="dxa"/>
            <w:vAlign w:val="bottom"/>
            <w:tcBorders>
              <w:bottom w:val="single" w:sz="8" w:color="CCEEFF"/>
            </w:tcBorders>
            <w:shd w:val="clear" w:color="auto" w:fill="CCEEFF"/>
          </w:tcPr>
          <w:p>
            <w:pPr>
              <w:jc w:val="center"/>
              <w:ind w:left="2652"/>
              <w:spacing w:after="0" w:line="144" w:lineRule="exact"/>
              <w:rPr>
                <w:sz w:val="20"/>
                <w:szCs w:val="20"/>
                <w:color w:val="auto"/>
              </w:rPr>
            </w:pPr>
            <w:r>
              <w:rPr>
                <w:rFonts w:ascii="Times New Roman" w:cs="Times New Roman" w:eastAsia="Times New Roman" w:hAnsi="Times New Roman"/>
                <w:sz w:val="14"/>
                <w:szCs w:val="14"/>
                <w:color w:val="auto"/>
                <w:w w:val="85"/>
              </w:rPr>
              <w:t>7</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480" w:type="dxa"/>
            <w:vAlign w:val="bottom"/>
            <w:gridSpan w:val="14"/>
          </w:tcPr>
          <w:p>
            <w:pPr>
              <w:spacing w:after="0" w:line="133" w:lineRule="exact"/>
              <w:rPr>
                <w:sz w:val="20"/>
                <w:szCs w:val="20"/>
                <w:color w:val="auto"/>
              </w:rPr>
            </w:pPr>
            <w:r>
              <w:rPr>
                <w:rFonts w:ascii="Times New Roman" w:cs="Times New Roman" w:eastAsia="Times New Roman" w:hAnsi="Times New Roman"/>
                <w:sz w:val="14"/>
                <w:szCs w:val="14"/>
                <w:color w:val="0000FF"/>
              </w:rPr>
              <w:t>DESCRIPTION OF WARRANTS</w:t>
            </w:r>
          </w:p>
        </w:tc>
        <w:tc>
          <w:tcPr>
            <w:tcW w:w="6780" w:type="dxa"/>
            <w:vAlign w:val="bottom"/>
          </w:tcPr>
          <w:p>
            <w:pPr>
              <w:jc w:val="center"/>
              <w:ind w:left="2652"/>
              <w:spacing w:after="0" w:line="133" w:lineRule="exact"/>
              <w:rPr>
                <w:sz w:val="20"/>
                <w:szCs w:val="20"/>
                <w:color w:val="auto"/>
              </w:rPr>
            </w:pPr>
            <w:r>
              <w:rPr>
                <w:rFonts w:ascii="Times New Roman" w:cs="Times New Roman" w:eastAsia="Times New Roman" w:hAnsi="Times New Roman"/>
                <w:sz w:val="14"/>
                <w:szCs w:val="14"/>
                <w:color w:val="auto"/>
                <w:w w:val="99"/>
              </w:rPr>
              <w:t>12</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540" w:type="dxa"/>
            <w:vAlign w:val="bottom"/>
            <w:tcBorders>
              <w:top w:val="single" w:sz="8" w:color="0000FF"/>
              <w:bottom w:val="single" w:sz="8" w:color="0000FF"/>
            </w:tcBorders>
            <w:gridSpan w:val="5"/>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0000FF"/>
                <w:w w:val="95"/>
              </w:rPr>
              <w:t>PLAN OF DISTRIBUTION</w:t>
            </w:r>
          </w:p>
        </w:tc>
        <w:tc>
          <w:tcPr>
            <w:tcW w:w="340" w:type="dxa"/>
            <w:vAlign w:val="bottom"/>
            <w:tcBorders>
              <w:top w:val="single" w:sz="8" w:color="0000FF"/>
              <w:bottom w:val="single" w:sz="8" w:color="CCEEFF"/>
            </w:tcBorders>
            <w:gridSpan w:val="3"/>
            <w:shd w:val="clear" w:color="auto" w:fill="CCEEFF"/>
          </w:tcPr>
          <w:p>
            <w:pPr>
              <w:spacing w:after="0"/>
              <w:rPr>
                <w:sz w:val="13"/>
                <w:szCs w:val="13"/>
                <w:color w:val="auto"/>
              </w:rPr>
            </w:pPr>
          </w:p>
        </w:tc>
        <w:tc>
          <w:tcPr>
            <w:tcW w:w="2600" w:type="dxa"/>
            <w:vAlign w:val="bottom"/>
            <w:tcBorders>
              <w:bottom w:val="single" w:sz="8" w:color="CCEEFF"/>
            </w:tcBorders>
            <w:gridSpan w:val="6"/>
            <w:shd w:val="clear" w:color="auto" w:fill="CCEEFF"/>
          </w:tcPr>
          <w:p>
            <w:pPr>
              <w:spacing w:after="0"/>
              <w:rPr>
                <w:sz w:val="13"/>
                <w:szCs w:val="13"/>
                <w:color w:val="auto"/>
              </w:rPr>
            </w:pPr>
          </w:p>
        </w:tc>
        <w:tc>
          <w:tcPr>
            <w:tcW w:w="6780" w:type="dxa"/>
            <w:vAlign w:val="bottom"/>
            <w:tcBorders>
              <w:bottom w:val="single" w:sz="8" w:color="CCEEFF"/>
            </w:tcBorders>
            <w:shd w:val="clear" w:color="auto" w:fill="CCEEFF"/>
          </w:tcPr>
          <w:p>
            <w:pPr>
              <w:jc w:val="center"/>
              <w:ind w:left="2652"/>
              <w:spacing w:after="0" w:line="144" w:lineRule="exact"/>
              <w:rPr>
                <w:sz w:val="20"/>
                <w:szCs w:val="20"/>
                <w:color w:val="auto"/>
              </w:rPr>
            </w:pPr>
            <w:r>
              <w:rPr>
                <w:rFonts w:ascii="Times New Roman" w:cs="Times New Roman" w:eastAsia="Times New Roman" w:hAnsi="Times New Roman"/>
                <w:sz w:val="14"/>
                <w:szCs w:val="14"/>
                <w:color w:val="auto"/>
                <w:w w:val="99"/>
              </w:rPr>
              <w:t>16</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480" w:type="dxa"/>
            <w:vAlign w:val="bottom"/>
            <w:gridSpan w:val="14"/>
          </w:tcPr>
          <w:p>
            <w:pPr>
              <w:spacing w:after="0" w:line="133" w:lineRule="exact"/>
              <w:rPr>
                <w:sz w:val="20"/>
                <w:szCs w:val="20"/>
                <w:color w:val="auto"/>
              </w:rPr>
            </w:pPr>
            <w:r>
              <w:rPr>
                <w:rFonts w:ascii="Times New Roman" w:cs="Times New Roman" w:eastAsia="Times New Roman" w:hAnsi="Times New Roman"/>
                <w:sz w:val="14"/>
                <w:szCs w:val="14"/>
                <w:color w:val="0000FF"/>
              </w:rPr>
              <w:t>LEGAL MATTERS</w:t>
            </w:r>
          </w:p>
        </w:tc>
        <w:tc>
          <w:tcPr>
            <w:tcW w:w="6780" w:type="dxa"/>
            <w:vAlign w:val="bottom"/>
          </w:tcPr>
          <w:p>
            <w:pPr>
              <w:jc w:val="center"/>
              <w:ind w:left="2652"/>
              <w:spacing w:after="0" w:line="133" w:lineRule="exact"/>
              <w:rPr>
                <w:sz w:val="20"/>
                <w:szCs w:val="20"/>
                <w:color w:val="auto"/>
              </w:rPr>
            </w:pPr>
            <w:r>
              <w:rPr>
                <w:rFonts w:ascii="Times New Roman" w:cs="Times New Roman" w:eastAsia="Times New Roman" w:hAnsi="Times New Roman"/>
                <w:sz w:val="14"/>
                <w:szCs w:val="14"/>
                <w:color w:val="auto"/>
                <w:w w:val="99"/>
              </w:rPr>
              <w:t>18</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80" w:type="dxa"/>
            <w:vAlign w:val="bottom"/>
            <w:tcBorders>
              <w:top w:val="single" w:sz="8" w:color="0000FF"/>
              <w:bottom w:val="single" w:sz="8" w:color="0000FF"/>
            </w:tcBorders>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0000FF"/>
                <w:w w:val="92"/>
              </w:rPr>
              <w:t>EXPERTS</w:t>
            </w:r>
          </w:p>
        </w:tc>
        <w:tc>
          <w:tcPr>
            <w:tcW w:w="520" w:type="dxa"/>
            <w:vAlign w:val="bottom"/>
            <w:tcBorders>
              <w:top w:val="single" w:sz="8" w:color="0000FF"/>
              <w:bottom w:val="single" w:sz="8" w:color="CCEEFF"/>
            </w:tcBorders>
            <w:gridSpan w:val="2"/>
            <w:shd w:val="clear" w:color="auto" w:fill="CCEEFF"/>
          </w:tcPr>
          <w:p>
            <w:pPr>
              <w:spacing w:after="0"/>
              <w:rPr>
                <w:sz w:val="13"/>
                <w:szCs w:val="13"/>
                <w:color w:val="auto"/>
              </w:rPr>
            </w:pPr>
          </w:p>
        </w:tc>
        <w:tc>
          <w:tcPr>
            <w:tcW w:w="3380" w:type="dxa"/>
            <w:vAlign w:val="bottom"/>
            <w:tcBorders>
              <w:bottom w:val="single" w:sz="8" w:color="CCEEFF"/>
            </w:tcBorders>
            <w:gridSpan w:val="11"/>
            <w:shd w:val="clear" w:color="auto" w:fill="CCEEFF"/>
          </w:tcPr>
          <w:p>
            <w:pPr>
              <w:spacing w:after="0"/>
              <w:rPr>
                <w:sz w:val="13"/>
                <w:szCs w:val="13"/>
                <w:color w:val="auto"/>
              </w:rPr>
            </w:pPr>
          </w:p>
        </w:tc>
        <w:tc>
          <w:tcPr>
            <w:tcW w:w="6780" w:type="dxa"/>
            <w:vAlign w:val="bottom"/>
            <w:tcBorders>
              <w:bottom w:val="single" w:sz="8" w:color="CCEEFF"/>
            </w:tcBorders>
            <w:shd w:val="clear" w:color="auto" w:fill="CCEEFF"/>
          </w:tcPr>
          <w:p>
            <w:pPr>
              <w:jc w:val="center"/>
              <w:ind w:left="2652"/>
              <w:spacing w:after="0" w:line="144" w:lineRule="exact"/>
              <w:rPr>
                <w:sz w:val="20"/>
                <w:szCs w:val="20"/>
                <w:color w:val="auto"/>
              </w:rPr>
            </w:pPr>
            <w:r>
              <w:rPr>
                <w:rFonts w:ascii="Times New Roman" w:cs="Times New Roman" w:eastAsia="Times New Roman" w:hAnsi="Times New Roman"/>
                <w:sz w:val="14"/>
                <w:szCs w:val="14"/>
                <w:color w:val="auto"/>
                <w:w w:val="99"/>
              </w:rPr>
              <w:t>18</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900" w:type="dxa"/>
            <w:vAlign w:val="bottom"/>
            <w:tcBorders>
              <w:bottom w:val="single" w:sz="8" w:color="0000FF"/>
            </w:tcBorders>
            <w:gridSpan w:val="11"/>
          </w:tcPr>
          <w:p>
            <w:pPr>
              <w:spacing w:after="0" w:line="133" w:lineRule="exact"/>
              <w:rPr>
                <w:sz w:val="20"/>
                <w:szCs w:val="20"/>
                <w:color w:val="auto"/>
              </w:rPr>
            </w:pPr>
            <w:r>
              <w:rPr>
                <w:rFonts w:ascii="Times New Roman" w:cs="Times New Roman" w:eastAsia="Times New Roman" w:hAnsi="Times New Roman"/>
                <w:sz w:val="14"/>
                <w:szCs w:val="14"/>
                <w:color w:val="0000FF"/>
                <w:w w:val="96"/>
              </w:rPr>
              <w:t>WHERE YOU CAN FIND MORE INFORMATION</w:t>
            </w:r>
          </w:p>
        </w:tc>
        <w:tc>
          <w:tcPr>
            <w:tcW w:w="1580" w:type="dxa"/>
            <w:vAlign w:val="bottom"/>
            <w:gridSpan w:val="3"/>
          </w:tcPr>
          <w:p>
            <w:pPr>
              <w:spacing w:after="0"/>
              <w:rPr>
                <w:sz w:val="11"/>
                <w:szCs w:val="11"/>
                <w:color w:val="auto"/>
              </w:rPr>
            </w:pPr>
          </w:p>
        </w:tc>
        <w:tc>
          <w:tcPr>
            <w:tcW w:w="6780" w:type="dxa"/>
            <w:vAlign w:val="bottom"/>
          </w:tcPr>
          <w:p>
            <w:pPr>
              <w:jc w:val="center"/>
              <w:ind w:left="2652"/>
              <w:spacing w:after="0" w:line="133" w:lineRule="exact"/>
              <w:rPr>
                <w:sz w:val="20"/>
                <w:szCs w:val="20"/>
                <w:color w:val="auto"/>
              </w:rPr>
            </w:pPr>
            <w:r>
              <w:rPr>
                <w:rFonts w:ascii="Times New Roman" w:cs="Times New Roman" w:eastAsia="Times New Roman" w:hAnsi="Times New Roman"/>
                <w:sz w:val="14"/>
                <w:szCs w:val="14"/>
                <w:color w:val="auto"/>
                <w:w w:val="99"/>
              </w:rPr>
              <w:t>18</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480" w:type="dxa"/>
            <w:vAlign w:val="bottom"/>
            <w:gridSpan w:val="14"/>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0000FF"/>
              </w:rPr>
              <w:t>INCORPORATION OF CERTAIN INFORMATION BY REFERENCE</w:t>
            </w:r>
          </w:p>
        </w:tc>
        <w:tc>
          <w:tcPr>
            <w:tcW w:w="6780" w:type="dxa"/>
            <w:vAlign w:val="bottom"/>
            <w:shd w:val="clear" w:color="auto" w:fill="CCEEFF"/>
          </w:tcPr>
          <w:p>
            <w:pPr>
              <w:jc w:val="center"/>
              <w:ind w:left="2652"/>
              <w:spacing w:after="0" w:line="144" w:lineRule="exact"/>
              <w:rPr>
                <w:sz w:val="20"/>
                <w:szCs w:val="20"/>
                <w:color w:val="auto"/>
              </w:rPr>
            </w:pPr>
            <w:r>
              <w:rPr>
                <w:rFonts w:ascii="Times New Roman" w:cs="Times New Roman" w:eastAsia="Times New Roman" w:hAnsi="Times New Roman"/>
                <w:sz w:val="14"/>
                <w:szCs w:val="14"/>
                <w:color w:val="auto"/>
                <w:w w:val="99"/>
              </w:rPr>
              <w:t>18</w:t>
            </w:r>
          </w:p>
        </w:tc>
        <w:tc>
          <w:tcPr>
            <w:tcW w:w="0" w:type="dxa"/>
            <w:vAlign w:val="bottom"/>
          </w:tcPr>
          <w:p>
            <w:pPr>
              <w:spacing w:after="0"/>
              <w:rPr>
                <w:sz w:val="1"/>
                <w:szCs w:val="1"/>
                <w:color w:val="auto"/>
              </w:rPr>
            </w:pPr>
          </w:p>
        </w:tc>
      </w:tr>
      <w:tr>
        <w:trPr>
          <w:trHeight w:val="770"/>
        </w:trPr>
        <w:tc>
          <w:tcPr>
            <w:tcW w:w="20" w:type="dxa"/>
            <w:vAlign w:val="bottom"/>
            <w:tcBorders>
              <w:bottom w:val="single" w:sz="8" w:color="9A9A9A"/>
            </w:tcBorders>
          </w:tcPr>
          <w:p>
            <w:pPr>
              <w:spacing w:after="0"/>
              <w:rPr>
                <w:sz w:val="24"/>
                <w:szCs w:val="24"/>
                <w:color w:val="auto"/>
              </w:rPr>
            </w:pPr>
          </w:p>
        </w:tc>
        <w:tc>
          <w:tcPr>
            <w:tcW w:w="580" w:type="dxa"/>
            <w:vAlign w:val="bottom"/>
            <w:tcBorders>
              <w:top w:val="single" w:sz="8" w:color="0000FF"/>
              <w:bottom w:val="single" w:sz="8" w:color="9A9A9A"/>
            </w:tcBorders>
          </w:tcPr>
          <w:p>
            <w:pPr>
              <w:spacing w:after="0"/>
              <w:rPr>
                <w:sz w:val="24"/>
                <w:szCs w:val="24"/>
                <w:color w:val="auto"/>
              </w:rPr>
            </w:pPr>
          </w:p>
        </w:tc>
        <w:tc>
          <w:tcPr>
            <w:tcW w:w="36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36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3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620" w:type="dxa"/>
            <w:vAlign w:val="bottom"/>
            <w:tcBorders>
              <w:top w:val="single" w:sz="8" w:color="0000FF"/>
              <w:bottom w:val="single" w:sz="8" w:color="9A9A9A"/>
            </w:tcBorders>
          </w:tcPr>
          <w:p>
            <w:pPr>
              <w:spacing w:after="0"/>
              <w:rPr>
                <w:sz w:val="24"/>
                <w:szCs w:val="24"/>
                <w:color w:val="auto"/>
              </w:rPr>
            </w:pPr>
          </w:p>
        </w:tc>
        <w:tc>
          <w:tcPr>
            <w:tcW w:w="106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CCEEFF"/>
              <w:bottom w:val="single" w:sz="8" w:color="9A9A9A"/>
            </w:tcBorders>
          </w:tcPr>
          <w:p>
            <w:pPr>
              <w:spacing w:after="0"/>
              <w:rPr>
                <w:sz w:val="24"/>
                <w:szCs w:val="24"/>
                <w:color w:val="auto"/>
              </w:rPr>
            </w:pPr>
          </w:p>
        </w:tc>
        <w:tc>
          <w:tcPr>
            <w:tcW w:w="400" w:type="dxa"/>
            <w:vAlign w:val="bottom"/>
            <w:tcBorders>
              <w:top w:val="single" w:sz="8" w:color="CCEEFF"/>
              <w:bottom w:val="single" w:sz="8" w:color="9A9A9A"/>
            </w:tcBorders>
          </w:tcPr>
          <w:p>
            <w:pPr>
              <w:spacing w:after="0"/>
              <w:rPr>
                <w:sz w:val="24"/>
                <w:szCs w:val="24"/>
                <w:color w:val="auto"/>
              </w:rPr>
            </w:pPr>
          </w:p>
        </w:tc>
        <w:tc>
          <w:tcPr>
            <w:tcW w:w="6780" w:type="dxa"/>
            <w:vAlign w:val="bottom"/>
            <w:tcBorders>
              <w:top w:val="single" w:sz="8" w:color="CCEEFF"/>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7147560</wp:posOffset>
            </wp:positionH>
            <wp:positionV relativeFrom="paragraph">
              <wp:posOffset>-25400</wp:posOffset>
            </wp:positionV>
            <wp:extent cx="3175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-25400</wp:posOffset>
            </wp:positionV>
            <wp:extent cx="3175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750" cy="38735"/>
                    </a:xfrm>
                    <a:prstGeom prst="rect">
                      <a:avLst/>
                    </a:prstGeom>
                    <a:noFill/>
                  </pic:spPr>
                </pic:pic>
              </a:graphicData>
            </a:graphic>
          </wp:anchor>
        </w:drawing>
      </w:r>
    </w:p>
    <w:p>
      <w:pPr>
        <w:sectPr>
          <w:pgSz w:w="11900" w:h="16838" w:orient="portrait"/>
          <w:cols w:equalWidth="0" w:num="1">
            <w:col w:w="11280"/>
          </w:cols>
          <w:pgMar w:left="300" w:top="779" w:right="31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This prospectus is a part of a registration statement on Form S-3 that we filed with the Securities and Exchange Commission (“SEC”) utilizing a “shelf” registration process. Under this shelf registration process, we may offer and sell any combination of the securities described in this prospectus in one or more offerings up to a total aggregate offering price of $100,000,000. This prospectus provides you with a general description of the securities we may offer.</w:t>
      </w:r>
    </w:p>
    <w:p>
      <w:pPr>
        <w:spacing w:after="0" w:line="14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Each time we offer and sell securities under this prospectus, we will provide a prospectus supplement that will contain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information contained in this prospectus or in any documents that we have incorporated by reference into this prospectus. If there is any inconsistency between the information in this prospectus and the applicable prospectus supplement or free writing prospectus, you should rely on the prospectus supplement or free writing prospectus, as applicable. You should read this prospectus, any applicable prospectus supplement and any related free writing prospectus, together with the information incorporated herein by reference as described under the heading “Incorporation of Certain Information by Reference,” before investing in any of the securities offered.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THIS PROSPECTUS MAY NOT BE USED TO CONSUMMATE A SALE OF SECURITIES UNLESS IT IS ACCOMPANIED BY A PROSPECTUS SUPPLEMENT.</w:t>
      </w:r>
    </w:p>
    <w:p>
      <w:pPr>
        <w:spacing w:after="0" w:line="17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Neither we, nor any agent, underwriter or dealer has authorized any person to give any information or to make any representation other than those contained or incorporated by reference into this prospectus, any applicable prospectus supplement or any related free writing prospectus prepared by or on behalf of us or to which we have referred you. This prospectus, any applicable supplement to this prospectus or any related free writing prospectus do not constitute an offer to sell or the solicitation of an offer to buy any securities other than the registered securities to which they relate, nor do this prospectus, any applicable supplement to this prospectus or any related free writing prospectus constitute an offer to sell or the solicitation of an offer to buy securities in any jurisdiction to any person to whom it is unlawful to make such offer or solicitation in such jurisdiction.</w:t>
      </w:r>
    </w:p>
    <w:p>
      <w:pPr>
        <w:spacing w:after="0" w:line="1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You should not assume that the information contained in this prospectus, any applicable prospectus supplement or any related free writing prospectus is accurate on any date subsequent to the date set forth on the front of such document or that any information we have incorporated by reference is correct on any date subsequent to the date of the document incorporated by reference, even though this prospectus, any applicable prospectus supplement or any related free writing prospectus is delivered, or securities are sold, on a later date.</w:t>
      </w:r>
    </w:p>
    <w:p>
      <w:pPr>
        <w:spacing w:after="0" w:line="14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This prospectus and the information incorporated herein by reference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“Where You Can Find More Information.”</w:t>
      </w:r>
    </w:p>
    <w:p>
      <w:pPr>
        <w:jc w:val="center"/>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354965</wp:posOffset>
            </wp:positionV>
            <wp:extent cx="719074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779" w:right="31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4"/>
          <w:szCs w:val="14"/>
          <w:b w:val="1"/>
          <w:bCs w:val="1"/>
          <w:color w:val="auto"/>
        </w:rPr>
        <w:t>PROSPECTUS SUMMARY</w:t>
      </w:r>
    </w:p>
    <w:p>
      <w:pPr>
        <w:spacing w:after="0" w:line="17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The following summary highlights selected information contained elsewhere in this prospectus. This summary is not complete and does not contain all of the information that you need to consider in making your investment decision. You should carefully read this entire prospectus, the applicable prospectus supplement and any related free writing prospectus, including the risks of investing in our securities discussed under the heading “Risk Factors” contained in the applicable prospectus supplement and any related free writing prospectus, and under similar headings in the other documents that are incorporated by reference into this prospectus, the applicable prospectus supplement and any related free writing prospectus. You should also carefully read the information incorporated by reference into this prospectus, including our financial statements, and the exhibits to the registration statement of which this prospectus is a part.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Unless the context otherwise requires, references in this prospectus to “Lineage,” “we,” “us,” “our” and similar terms refer to Lineage Cell Therapeutics, Inc. and its consolidated subsidiaries.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8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We are a clinical-stage biotechnology company developing cell replacement therapies to treat serious medical conditions. Certain diseases and medical events can arise from the loss of critical cellular activity and lead to devastating or difficult-to-treat conditions or impairments. Our work is grounded in the emerging evidence that replacing or supporting those cells that have become dysfunctional or “lost” (destroyed or dead) can restore or replenish normal function and improve treatment and recovery paradigms. We call this approach “Replace and Restore”. We believe cellular therapies aimed at entirely replacing dysfunctional or destroyed cells may have more durable, broader, or suitable applicability than traditional pharmaceutical products, which often seek to affect just a single molecular target or group of biological pathways. Transplantation of replacement cells represents an emerging branch of medicine, and we believe we are uniquely positioned to capitalize on its opportunities by demonstrating the value of administering mature, differentiated cells to patients. We are developing a portfolio of assets based on this mechanism and our most clinically-advanced program to date is OpRegen</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(RG6501), an allogeneic retinal pigmented epithelial (RPE) cell replacement therapy currently in Phase 2a development under a worldwide collaboration with F. Hoffman-La Roche Ltd. and Genentech, Inc., a member of the Roche Group (collectively or individually, “Roche” or “Genentech”), for the treatment of geographic atrophy (GA) secondary to dry-AMD.</w:t>
      </w:r>
    </w:p>
    <w:p>
      <w:pPr>
        <w:spacing w:after="0" w:line="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Our programs are based on our proprietary, in-house, cell-based manufacturing platform, which we call AlloSCOPE™ (Allogeneic, Scalable, Consistent, Off-the-shelf, Pluripotent Cell Engineering), and supported by our associated development, formulation, manufacturing, and delivery capabilities. To date, we have successfully completed a current cGMP production run from our two-tiered cell banking system for two of our product candidates, one of which was used in a clinical trial in 2025.</w:t>
      </w:r>
    </w:p>
    <w:p>
      <w:pPr>
        <w:spacing w:after="0" w:line="6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Our business strategy aims to efficiently leverage our AlloSCOPE platform and our development and manufacturing expertise to create a pipeline of related but discrete cell-based assets, some of which we may advance internally toward commercialization and some of which we may seek to partner during early or late development, if we believe doing so will enhance their value to us and probability of success and value to Lineage and our shareholders.</w:t>
      </w:r>
    </w:p>
    <w:p>
      <w:pPr>
        <w:spacing w:after="0" w:line="6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4"/>
          <w:szCs w:val="14"/>
          <w:color w:val="auto"/>
        </w:rPr>
        <w:t>Our second clinical-stage program, OPC1, is an allogeneic oligodendrocyte progenitor cell therapy designed to improve recovery following a spinal cord injury. One of our preclinical programs, ReSonance</w:t>
      </w:r>
      <w:r>
        <w:rPr>
          <w:rFonts w:ascii="Times New Roman" w:cs="Times New Roman" w:eastAsia="Times New Roman" w:hAnsi="Times New Roman"/>
          <w:sz w:val="18"/>
          <w:szCs w:val="18"/>
          <w:color w:val="auto"/>
          <w:vertAlign w:val="superscript"/>
        </w:rPr>
        <w:t>TM</w:t>
      </w:r>
      <w:r>
        <w:rPr>
          <w:rFonts w:ascii="Times New Roman" w:cs="Times New Roman" w:eastAsia="Times New Roman" w:hAnsi="Times New Roman"/>
          <w:sz w:val="14"/>
          <w:szCs w:val="14"/>
          <w:color w:val="auto"/>
        </w:rPr>
        <w:t xml:space="preserve"> (ANP1), is an allogeneic auditory neuron progenitor cell transplant therapy currently in preclinical development under collaboration with William Demant Invest 2 Aps (WDI) for the treatment of auditory neuropathy. We have received grants from governmental agencies that have supported the development of OpRegen and OPC1.</w:t>
      </w:r>
    </w:p>
    <w:p>
      <w:pPr>
        <w:spacing w:after="0" w:line="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In addition, we have a pipeline of allogeneic cell therapy research initiatives, and are evaluating a novel hypoimmune induced pluripotent stem cell line under a gene editing partnership with Factor Biosciences Limited.</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Implications of Being a Smaller Reporting Company</w:t>
      </w:r>
    </w:p>
    <w:p>
      <w:pPr>
        <w:spacing w:after="0" w:line="17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We are a “smaller reporting company” as defined in the Securities Exchange Act of 1934, as amended (the “Exchange Act”). To the extent that we continue to qualify as a smaller reporting company, we may take advantage of accommodations afforded to smaller reporting companies including: (i) not being required to comply with the auditor attestation requirements of Section 404(b) of the Sarbanes Oxley Act of 2002; (ii) scaled executive compensation disclosure requirements; and (iii) providing only two years of audited financial statements, instead of three years. We will qualify as a smaller reporting company: (i) until the fiscal year following the determination that the market value of our voting and non-voting common stock held by non-affiliates is more than $250 million measured on the last business day of our second fiscal quarter, or (ii) if our annual revenues are less than $100 million during the most recently completed fiscal year, until the fiscal year following the determination that the market value of our voting and non-voting common stock held by non-affiliates is more than $700 million measured on the last business day of our second fiscal quarter.</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1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We are incorporated in the State of California. Our common shares trade on the NYSE American and the Tel Aviv Stock Exchange under the symbol “LCTX.” Our principal executive offices are at 2173 Salk Avenue, Suite 200, Carlsbad, CA 92008, and our phone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374015</wp:posOffset>
            </wp:positionV>
            <wp:extent cx="719074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779"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color w:val="auto"/>
        </w:rPr>
        <w:t>number at that address is (442) 287-8990. Our website address is www.lineagecell.com. The information on, or that can be accessed through our website is not part of this prospectus.</w:t>
      </w:r>
    </w:p>
    <w:p>
      <w:pPr>
        <w:spacing w:after="0" w:line="1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All brand names or trademarks appearing in this prospectus are the property of their respective owners. Solely for convenience, the trademarks and trade names in this prospectus are referred to without the symbols ® and TM, but such references should not be construed as any indication that their respective owners will not assert, to the fullest extent under applicable law, their rights thereto.</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Securities We May Offer</w:t>
      </w:r>
    </w:p>
    <w:p>
      <w:pPr>
        <w:spacing w:after="0" w:line="17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4"/>
          <w:szCs w:val="14"/>
          <w:color w:val="auto"/>
        </w:rPr>
        <w:t>We may offer our common shares and preferred shares, various series of debt securities and warrants to purchase any of such securities, up to a total aggregate offering price of $100,000,000 from time to time in one or more offerings under this prospectus, the prospectus supplement for the applicable offering and any related free writing prospectus, at prices and on terms to be determined by market conditions at the time of the relevant offering. This prospectus provides you with a general description of the securities we may offer. Each time we offer a type or series of securities under this prospectus, we will provide a prospectus supplement that will describe the specific amounts, prices and other important terms of the securities, including, to the extent applicable:</w:t>
      </w:r>
    </w:p>
    <w:p>
      <w:pPr>
        <w:spacing w:after="0" w:line="145" w:lineRule="exact"/>
        <w:rPr>
          <w:sz w:val="20"/>
          <w:szCs w:val="20"/>
          <w:color w:val="auto"/>
        </w:rPr>
      </w:pPr>
    </w:p>
    <w:p>
      <w:pPr>
        <w:ind w:left="720" w:hanging="461"/>
        <w:spacing w:after="0"/>
        <w:tabs>
          <w:tab w:leader="none" w:pos="7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designation or classification;</w:t>
      </w:r>
    </w:p>
    <w:p>
      <w:pPr>
        <w:spacing w:after="0" w:line="14" w:lineRule="exact"/>
        <w:rPr>
          <w:rFonts w:ascii="Times New Roman" w:cs="Times New Roman" w:eastAsia="Times New Roman" w:hAnsi="Times New Roman"/>
          <w:sz w:val="14"/>
          <w:szCs w:val="14"/>
          <w:color w:val="auto"/>
        </w:rPr>
      </w:pPr>
    </w:p>
    <w:p>
      <w:pPr>
        <w:ind w:left="720" w:hanging="461"/>
        <w:spacing w:after="0"/>
        <w:tabs>
          <w:tab w:leader="none" w:pos="7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aggregate principal amount or aggregate offering price;</w:t>
      </w:r>
    </w:p>
    <w:p>
      <w:pPr>
        <w:spacing w:after="0" w:line="3" w:lineRule="exact"/>
        <w:rPr>
          <w:rFonts w:ascii="Times New Roman" w:cs="Times New Roman" w:eastAsia="Times New Roman" w:hAnsi="Times New Roman"/>
          <w:sz w:val="14"/>
          <w:szCs w:val="14"/>
          <w:color w:val="auto"/>
        </w:rPr>
      </w:pPr>
    </w:p>
    <w:p>
      <w:pPr>
        <w:ind w:left="720" w:hanging="461"/>
        <w:spacing w:after="0"/>
        <w:tabs>
          <w:tab w:leader="none" w:pos="7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maturity;</w:t>
      </w:r>
    </w:p>
    <w:p>
      <w:pPr>
        <w:spacing w:after="0" w:line="3" w:lineRule="exact"/>
        <w:rPr>
          <w:rFonts w:ascii="Times New Roman" w:cs="Times New Roman" w:eastAsia="Times New Roman" w:hAnsi="Times New Roman"/>
          <w:sz w:val="14"/>
          <w:szCs w:val="14"/>
          <w:color w:val="auto"/>
        </w:rPr>
      </w:pPr>
    </w:p>
    <w:p>
      <w:pPr>
        <w:ind w:left="720" w:hanging="461"/>
        <w:spacing w:after="0"/>
        <w:tabs>
          <w:tab w:leader="none" w:pos="7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original issue discount;</w:t>
      </w:r>
    </w:p>
    <w:p>
      <w:pPr>
        <w:spacing w:after="0" w:line="3" w:lineRule="exact"/>
        <w:rPr>
          <w:rFonts w:ascii="Times New Roman" w:cs="Times New Roman" w:eastAsia="Times New Roman" w:hAnsi="Times New Roman"/>
          <w:sz w:val="14"/>
          <w:szCs w:val="14"/>
          <w:color w:val="auto"/>
        </w:rPr>
      </w:pPr>
    </w:p>
    <w:p>
      <w:pPr>
        <w:ind w:left="720" w:hanging="461"/>
        <w:spacing w:after="0"/>
        <w:tabs>
          <w:tab w:leader="none" w:pos="7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rates and times of payment of interest or dividends;</w:t>
      </w:r>
    </w:p>
    <w:p>
      <w:pPr>
        <w:spacing w:after="0" w:line="3" w:lineRule="exact"/>
        <w:rPr>
          <w:rFonts w:ascii="Times New Roman" w:cs="Times New Roman" w:eastAsia="Times New Roman" w:hAnsi="Times New Roman"/>
          <w:sz w:val="14"/>
          <w:szCs w:val="14"/>
          <w:color w:val="auto"/>
        </w:rPr>
      </w:pPr>
    </w:p>
    <w:p>
      <w:pPr>
        <w:ind w:left="720" w:hanging="461"/>
        <w:spacing w:after="0"/>
        <w:tabs>
          <w:tab w:leader="none" w:pos="7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redemption, conversion, exchange or sinking fund terms;</w:t>
      </w:r>
    </w:p>
    <w:p>
      <w:pPr>
        <w:spacing w:after="0" w:line="3" w:lineRule="exact"/>
        <w:rPr>
          <w:rFonts w:ascii="Times New Roman" w:cs="Times New Roman" w:eastAsia="Times New Roman" w:hAnsi="Times New Roman"/>
          <w:sz w:val="14"/>
          <w:szCs w:val="14"/>
          <w:color w:val="auto"/>
        </w:rPr>
      </w:pPr>
    </w:p>
    <w:p>
      <w:pPr>
        <w:ind w:left="720" w:hanging="461"/>
        <w:spacing w:after="0"/>
        <w:tabs>
          <w:tab w:leader="none" w:pos="7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ranking;</w:t>
      </w:r>
    </w:p>
    <w:p>
      <w:pPr>
        <w:spacing w:after="0" w:line="3" w:lineRule="exact"/>
        <w:rPr>
          <w:rFonts w:ascii="Times New Roman" w:cs="Times New Roman" w:eastAsia="Times New Roman" w:hAnsi="Times New Roman"/>
          <w:sz w:val="14"/>
          <w:szCs w:val="14"/>
          <w:color w:val="auto"/>
        </w:rPr>
      </w:pPr>
    </w:p>
    <w:p>
      <w:pPr>
        <w:ind w:left="720" w:hanging="461"/>
        <w:spacing w:after="0"/>
        <w:tabs>
          <w:tab w:leader="none" w:pos="7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restrictive covenants;</w:t>
      </w:r>
    </w:p>
    <w:p>
      <w:pPr>
        <w:spacing w:after="0" w:line="3" w:lineRule="exact"/>
        <w:rPr>
          <w:rFonts w:ascii="Times New Roman" w:cs="Times New Roman" w:eastAsia="Times New Roman" w:hAnsi="Times New Roman"/>
          <w:sz w:val="14"/>
          <w:szCs w:val="14"/>
          <w:color w:val="auto"/>
        </w:rPr>
      </w:pPr>
    </w:p>
    <w:p>
      <w:pPr>
        <w:ind w:left="720" w:hanging="461"/>
        <w:spacing w:after="0"/>
        <w:tabs>
          <w:tab w:leader="none" w:pos="7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voting or other rights;</w:t>
      </w:r>
    </w:p>
    <w:p>
      <w:pPr>
        <w:spacing w:after="0" w:line="3" w:lineRule="exact"/>
        <w:rPr>
          <w:rFonts w:ascii="Times New Roman" w:cs="Times New Roman" w:eastAsia="Times New Roman" w:hAnsi="Times New Roman"/>
          <w:sz w:val="14"/>
          <w:szCs w:val="14"/>
          <w:color w:val="auto"/>
        </w:rPr>
      </w:pPr>
    </w:p>
    <w:p>
      <w:pPr>
        <w:ind w:left="720" w:hanging="461"/>
        <w:spacing w:after="0" w:line="244" w:lineRule="auto"/>
        <w:tabs>
          <w:tab w:leader="none" w:pos="7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conversion or exchange prices or rates and any provisions for changes to or adjustments in the conversion or exchange prices or rates and in the securities or other property receivable upon conversion or exchange; and</w:t>
      </w:r>
    </w:p>
    <w:p>
      <w:pPr>
        <w:ind w:left="720" w:hanging="461"/>
        <w:spacing w:after="0"/>
        <w:tabs>
          <w:tab w:leader="none" w:pos="7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important U.S. federal income tax considerations.</w:t>
      </w:r>
    </w:p>
    <w:p>
      <w:pPr>
        <w:spacing w:after="0" w:line="1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prospectus supplement and any related free writing prospectus that we may authorize to be provided to you may also add, update or change information contained in this prospectus or in documents we have incorporated by reference. However, no prospectus supplement or free writing prospectus will offer a security that is not registered and described in this prospectus at the time of the effectiveness of the registration statement of which this prospectus is a part.</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We may sell the securities directly to investors or through underwriters, dealers or agents. We, and our underwriters or agents, reserve the right to accept or reject all or part of any proposed purchase of securities. If we do offer securities through underwriters or agents, we will include in the applicable prospectus supplement:</w:t>
      </w:r>
    </w:p>
    <w:p>
      <w:pPr>
        <w:spacing w:after="0" w:line="136" w:lineRule="exact"/>
        <w:rPr>
          <w:sz w:val="20"/>
          <w:szCs w:val="20"/>
          <w:color w:val="auto"/>
        </w:rPr>
      </w:pPr>
    </w:p>
    <w:p>
      <w:pPr>
        <w:ind w:left="720" w:hanging="461"/>
        <w:spacing w:after="0"/>
        <w:tabs>
          <w:tab w:leader="none" w:pos="7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names of those underwriters or agents;</w:t>
      </w:r>
    </w:p>
    <w:p>
      <w:pPr>
        <w:spacing w:after="0" w:line="14" w:lineRule="exact"/>
        <w:rPr>
          <w:rFonts w:ascii="Times New Roman" w:cs="Times New Roman" w:eastAsia="Times New Roman" w:hAnsi="Times New Roman"/>
          <w:sz w:val="14"/>
          <w:szCs w:val="14"/>
          <w:color w:val="auto"/>
        </w:rPr>
      </w:pPr>
    </w:p>
    <w:p>
      <w:pPr>
        <w:ind w:left="720" w:hanging="461"/>
        <w:spacing w:after="0"/>
        <w:tabs>
          <w:tab w:leader="none" w:pos="7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applicable fees, discounts and commissions to be paid to them;</w:t>
      </w:r>
    </w:p>
    <w:p>
      <w:pPr>
        <w:spacing w:after="0" w:line="3" w:lineRule="exact"/>
        <w:rPr>
          <w:rFonts w:ascii="Times New Roman" w:cs="Times New Roman" w:eastAsia="Times New Roman" w:hAnsi="Times New Roman"/>
          <w:sz w:val="14"/>
          <w:szCs w:val="14"/>
          <w:color w:val="auto"/>
        </w:rPr>
      </w:pPr>
    </w:p>
    <w:p>
      <w:pPr>
        <w:ind w:left="720" w:hanging="461"/>
        <w:spacing w:after="0"/>
        <w:tabs>
          <w:tab w:leader="none" w:pos="7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details regarding over-allotment options, if any; and</w:t>
      </w:r>
    </w:p>
    <w:p>
      <w:pPr>
        <w:spacing w:after="0" w:line="3" w:lineRule="exact"/>
        <w:rPr>
          <w:rFonts w:ascii="Times New Roman" w:cs="Times New Roman" w:eastAsia="Times New Roman" w:hAnsi="Times New Roman"/>
          <w:sz w:val="14"/>
          <w:szCs w:val="14"/>
          <w:color w:val="auto"/>
        </w:rPr>
      </w:pPr>
    </w:p>
    <w:p>
      <w:pPr>
        <w:ind w:left="720" w:hanging="461"/>
        <w:spacing w:after="0"/>
        <w:tabs>
          <w:tab w:leader="none" w:pos="7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estimated net proceeds to us.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This prospectus may not be used to consummate a sale of securities unless it is accompanied by a prospectus supplement.</w:t>
      </w:r>
    </w:p>
    <w:p>
      <w:pPr>
        <w:spacing w:after="0" w:line="16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b w:val="1"/>
          <w:bCs w:val="1"/>
          <w:i w:val="1"/>
          <w:iCs w:val="1"/>
          <w:color w:val="auto"/>
        </w:rPr>
        <w:t>Common Shares</w:t>
      </w:r>
      <w:r>
        <w:rPr>
          <w:rFonts w:ascii="Times New Roman" w:cs="Times New Roman" w:eastAsia="Times New Roman" w:hAnsi="Times New Roman"/>
          <w:sz w:val="14"/>
          <w:szCs w:val="14"/>
          <w:color w:val="auto"/>
        </w:rPr>
        <w:t>. We may issue our common shares from time to time. Each holder of common shares is entitled to one vote for each share on all matters submitted to a vote of shareholders, and, subject to</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certain exceptions, does not have cumulative voting rights. Subject to preferences that may apply to any outstanding preferred shares, holders of our common shares are entitled to receive ratably any dividends that our board of directors may declare out of funds legally available for that purpose. In the event of our liquidation, dissolution or winding up, holders of our common shares are entitled to share ratably in all assets remaining after payment of liabilities and the liquidation preference of any outstanding preferred shares. Holders of our common shares have no preemptive, conversion, subscription or other rights, and there are no redemption or sinking fund provisions applicable to our common shares. The rights, preferences and privileges of the holders of our common shares are subject to and may be adversely affected by the rights of the holders of shares of any series of our preferred shares that we may designate in the future. In this prospectus, we have summarized certain general features of our common shares under the heading “Description of Capital Stock—Common Shares.” We urge you, however, to read the applicable prospectus supplement (and any related free writing prospectus that we may authorize to be provided to you) related to any common shares being offered.</w:t>
      </w:r>
    </w:p>
    <w:p>
      <w:pPr>
        <w:spacing w:after="0" w:line="1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b w:val="1"/>
          <w:bCs w:val="1"/>
          <w:i w:val="1"/>
          <w:iCs w:val="1"/>
          <w:color w:val="auto"/>
        </w:rPr>
        <w:t>Preferred Shares</w:t>
      </w:r>
      <w:r>
        <w:rPr>
          <w:rFonts w:ascii="Times New Roman" w:cs="Times New Roman" w:eastAsia="Times New Roman" w:hAnsi="Times New Roman"/>
          <w:sz w:val="14"/>
          <w:szCs w:val="14"/>
          <w:color w:val="auto"/>
        </w:rPr>
        <w:t>. We may issue preferred shares from time to time, in one or more series. Under our certificate of incorporation, our board of directors has the authority, without further action by our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shareholders (unless such shareholder action is required by applicable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374015</wp:posOffset>
            </wp:positionV>
            <wp:extent cx="719074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783" w:right="319" w:bottom="1440" w:gutter="0" w:footer="0" w:header="0"/>
        </w:sectPr>
      </w:pPr>
    </w:p>
    <w:bookmarkStart w:id="7" w:name="page8"/>
    <w:bookmarkEnd w:id="7"/>
    <w:p>
      <w:pPr>
        <w:jc w:val="both"/>
        <w:spacing w:after="0" w:line="252" w:lineRule="auto"/>
        <w:rPr>
          <w:sz w:val="20"/>
          <w:szCs w:val="20"/>
          <w:color w:val="auto"/>
        </w:rPr>
      </w:pPr>
      <w:r>
        <w:rPr>
          <w:rFonts w:ascii="Times New Roman" w:cs="Times New Roman" w:eastAsia="Times New Roman" w:hAnsi="Times New Roman"/>
          <w:sz w:val="14"/>
          <w:szCs w:val="14"/>
          <w:color w:val="auto"/>
        </w:rPr>
        <w:t>law or the rules of any stock exchange or market on which our securities are then traded), to issue up to 2,000,000 preferred shares in one or more series and to fix the number, rights, preferences, privileges and restrictions thereof. These rights, preferences and privileges could include dividend rights, conversion rights, voting rights, terms of redemption, liquidation preferences and sinking fund terms, and the number of shares constituting any series or the designation of such series, any or all of which may be greater than the rights of common shares. Any convertible preferred shares we may issue will be convertible into our common shares or exchangeable for our other securities. Conversion may be mandatory or at the holder’s option and would be at prescribed conversion rates.</w:t>
      </w:r>
    </w:p>
    <w:p>
      <w:pPr>
        <w:spacing w:after="0" w:line="16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If we sell any series of preferred shares under this prospectus, we will fix the designations, voting powers, preferences and rights of such series of preferred shares, as well as the qualifications, limitations or restrictions thereof, in the certificate of designation relating to that series. We will file as an exhibit to the registration statement of which this prospectus is a part, or will incorporate by reference from reports that we file with the SEC, the form of any certificate of designation that describes the terms of the series of preferred shares that we are offering before the issuance of the related series of preferred shares. In this prospectus, we have summarized certain general features of the preferred shares under the heading “Description of Capital Stock—Preferred Shares.” We urge you, however, to read the applicable prospectus supplement (and any free writing prospectus that we may authorize to be provided to you) related to the series of preferred shares being offered, as well as the complete certificate of designation that contains the terms of the applicable series of preferred shares.</w:t>
      </w:r>
    </w:p>
    <w:p>
      <w:pPr>
        <w:spacing w:after="0" w:line="1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b w:val="1"/>
          <w:bCs w:val="1"/>
          <w:i w:val="1"/>
          <w:iCs w:val="1"/>
          <w:color w:val="auto"/>
        </w:rPr>
        <w:t>Debt Securities</w:t>
      </w:r>
      <w:r>
        <w:rPr>
          <w:rFonts w:ascii="Times New Roman" w:cs="Times New Roman" w:eastAsia="Times New Roman" w:hAnsi="Times New Roman"/>
          <w:sz w:val="14"/>
          <w:szCs w:val="14"/>
          <w:color w:val="auto"/>
        </w:rPr>
        <w:t>. From time to time, we may issue debt securities in one or more series, as either senior or subordinated debt or as senior or subordinated convertible debt. The senior debt securities will rank</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equally with any other unsecured and unsubordinated debt. The subordinated debt securities will be subordinate and junior in right of payment, to the extent and in the manner described in the instrument governing the debt, to all of our senior indebtedness. Convertible debt securities will be convertible into or exchangeable for our common shares or other securities. Conversion may be mandatory or at the holder’s option and would be at prescribed conversion rates.</w:t>
      </w:r>
    </w:p>
    <w:p>
      <w:pPr>
        <w:spacing w:after="0" w:line="14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3"/>
          <w:szCs w:val="13"/>
          <w:color w:val="auto"/>
        </w:rPr>
        <w:t>Any debt securities will be issued under one or more documents called indentures, which are contracts between us and a national banking association or other eligible party, as trustee. In this prospectus, we have summarized certain general features of the debt securities under the heading “Description of Debt Securities.” We urge you, however, to read the applicable prospectus supplement (and any free writing prospectus that we may authorize to be provided to you) related to the series of debt securities being offered, as well as the complete indenture(s) and any supplemental indentures that contain the terms of the debt securities. We have filed a form of indenture as an exhibit to the registration statement of which this prospectus is a part. We will file as exhibits to the registration statement of which this prospectus is a part, or incorporate by reference from reports that we file with the SEC, supplemental indentures and forms of debt securities containing the terms of the debt securities being offered.</w:t>
      </w:r>
    </w:p>
    <w:p>
      <w:pPr>
        <w:spacing w:after="0" w:line="12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3"/>
          <w:szCs w:val="13"/>
          <w:b w:val="1"/>
          <w:bCs w:val="1"/>
          <w:i w:val="1"/>
          <w:iCs w:val="1"/>
          <w:color w:val="auto"/>
        </w:rPr>
        <w:t>Warrants</w:t>
      </w:r>
      <w:r>
        <w:rPr>
          <w:rFonts w:ascii="Times New Roman" w:cs="Times New Roman" w:eastAsia="Times New Roman" w:hAnsi="Times New Roman"/>
          <w:sz w:val="13"/>
          <w:szCs w:val="13"/>
          <w:color w:val="auto"/>
        </w:rPr>
        <w:t>. We may issue warrants to purchase common shares, preferred shares or debt securities, in one or more series, from time to time. We may issue warrants independently or in combination with</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common shares, preferred shares or debt securities, and the warrants may be attached to or separate from such common shares, preferred shares or debt securities. In this prospectus, we have summarized certain general features of the warrants under the heading “Description of Warrants.” We urge you, however, to read the applicable prospectus supplement (and any free writing prospectus that we may authorize to be provided to you) related to the particular series of warrants being offered, as well as the complete warrant agreements and warrant certificates, if any, that contain the terms of the warrants. We will file as exhibits to the registration statement of which this prospectus is a part, or incorporate by reference from reports that we file with the SEC, the form of warrant or the warrant agreement and warrant certificate, as applicable, that contain the terms of the particular series of warrants we are offering, and any supplemental agreements, before the issuance of such warrants.</w:t>
      </w:r>
    </w:p>
    <w:p>
      <w:pPr>
        <w:spacing w:after="0" w:line="1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Warrants may be evidenced by warrant certificates. Warrants may also be issued under a warrant agreement that we enter into with a warrant agent. We will indicate the name and address of the warrant agent, if applicable, in the prospectus supplement relating to the particular series of warrants being offered.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374015</wp:posOffset>
            </wp:positionV>
            <wp:extent cx="719074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783" w:right="31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7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Investing in our securities involves a high degree of risk. You should carefully review the risks and uncertainties described under the heading “Risk Factors” contained in the applicable prospectus supplement and any related free writing prospectus, and under similar headings in our most recent Annual Report on Form 10-K, as updated by our subsequent quarterly reports on Form 10-Q and other reports and documents that are incorporated by reference into this prospectus and the applicable prospectus supplement, before deciding whether to purchase any of the securities being registered pursuant to the registration statement of which this prospectus is a part. Each of the risk factors could adversely affect our business, results of operations, and financial condition, as well as adversely affect the value of an investment in our securities, and the occurrence of any of these risks might cause you to lose all or part of your investment. Additional risks not presently known to us or that we currently believe are immaterial may also significantly impair our business operations.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SPECIAL NOTE REGARDING FORWARD-LOOKING STATEMENTS</w:t>
      </w:r>
    </w:p>
    <w:p>
      <w:pPr>
        <w:spacing w:after="0" w:line="19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This prospectus, and the documents incorporated in this prospectus by reference, contain forward-looking statements within the meaning of Section 27A of the Securities Act of 1933, as amended (“Securities Act”), and Section 21E of the Exchange Act. These statements are based on our management’s current beliefs, expectations and assumptions about future events, conditions and results and on information currently available to us. Discussions containing these forward-looking statements may be found, among other places, in the sections titled “Business,” “Risk Factors” and “Management’s Discussion and Analysis of Financial Condition and Results of Operations” incorporated by reference from our most recent Annual Report on Form 10-K and in our subsequent Quarterly Reports on Form 10-Q, as well as any amendments thereto, filed with the SEC.</w:t>
      </w:r>
    </w:p>
    <w:p>
      <w:pPr>
        <w:spacing w:after="0" w:line="14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3"/>
          <w:szCs w:val="13"/>
          <w:color w:val="auto"/>
        </w:rPr>
        <w:t>In some cases, you can identify forward-looking statements by terminology such as “aim,” “anticipate,” “assume,” “believe,” “contemplate,” “continue,” “could,” “design,” “due,” “estimate,” “expect,” “goal,” “intend,” “may,” “might,” “ongoing,” “objective,” “plan,” “predict,” “project,” “positioned,” “potential,” “seek,” “should,” “target,” “will,” “would” or the negative or plural of those terms, and similar expressions intended to identify statements about the future, although not all forward-looking statements contain these words. These forward-looking statements involve known and unknown risks, uncertainties and other factors that may cause our actual results, levels of activity, performance or achievements to be materially different from the information expressed or implied by these statements.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Forward-looking statements include, but are not limited to, statements about:</w:t>
      </w:r>
    </w:p>
    <w:p>
      <w:pPr>
        <w:spacing w:after="0" w:line="85" w:lineRule="exact"/>
        <w:rPr>
          <w:sz w:val="20"/>
          <w:szCs w:val="20"/>
          <w:color w:val="auto"/>
        </w:rPr>
      </w:pPr>
    </w:p>
    <w:p>
      <w:pPr>
        <w:ind w:left="760" w:right="220" w:hanging="382"/>
        <w:spacing w:after="0" w:line="266" w:lineRule="auto"/>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to receive developmental, regulatory, and commercialization milestone and royalty payments under our Collaboration and License Agreement with F. Hoffmann-La Roche Ltd and Genentech, Inc.;</w:t>
      </w:r>
    </w:p>
    <w:p>
      <w:pPr>
        <w:spacing w:after="0" w:line="53" w:lineRule="exact"/>
        <w:rPr>
          <w:rFonts w:ascii="Times New Roman" w:cs="Times New Roman" w:eastAsia="Times New Roman" w:hAnsi="Times New Roman"/>
          <w:sz w:val="14"/>
          <w:szCs w:val="14"/>
          <w:color w:val="auto"/>
        </w:rPr>
      </w:pPr>
    </w:p>
    <w:p>
      <w:pPr>
        <w:ind w:left="760" w:hanging="382"/>
        <w:spacing w:after="0"/>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plans to research, develop and commercialize our product candidates;</w:t>
      </w:r>
    </w:p>
    <w:p>
      <w:pPr>
        <w:spacing w:after="0" w:line="85" w:lineRule="exact"/>
        <w:rPr>
          <w:rFonts w:ascii="Times New Roman" w:cs="Times New Roman" w:eastAsia="Times New Roman" w:hAnsi="Times New Roman"/>
          <w:sz w:val="14"/>
          <w:szCs w:val="14"/>
          <w:color w:val="auto"/>
        </w:rPr>
      </w:pPr>
    </w:p>
    <w:p>
      <w:pPr>
        <w:ind w:left="760" w:hanging="382"/>
        <w:spacing w:after="0"/>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initiation, progress, success, cost and timing of our clinical trials and other product development activities;</w:t>
      </w:r>
    </w:p>
    <w:p>
      <w:pPr>
        <w:spacing w:after="0" w:line="85" w:lineRule="exact"/>
        <w:rPr>
          <w:rFonts w:ascii="Times New Roman" w:cs="Times New Roman" w:eastAsia="Times New Roman" w:hAnsi="Times New Roman"/>
          <w:sz w:val="14"/>
          <w:szCs w:val="14"/>
          <w:color w:val="auto"/>
        </w:rPr>
      </w:pPr>
    </w:p>
    <w:p>
      <w:pPr>
        <w:ind w:left="760" w:hanging="382"/>
        <w:spacing w:after="0"/>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therapeutic potential of our product candidates, and the indications for which we intend to develop our product candidates;</w:t>
      </w:r>
    </w:p>
    <w:p>
      <w:pPr>
        <w:spacing w:after="0" w:line="88" w:lineRule="exact"/>
        <w:rPr>
          <w:rFonts w:ascii="Times New Roman" w:cs="Times New Roman" w:eastAsia="Times New Roman" w:hAnsi="Times New Roman"/>
          <w:sz w:val="14"/>
          <w:szCs w:val="14"/>
          <w:color w:val="auto"/>
        </w:rPr>
      </w:pPr>
    </w:p>
    <w:p>
      <w:pPr>
        <w:ind w:left="760" w:right="200" w:hanging="382"/>
        <w:spacing w:after="0" w:line="233" w:lineRule="auto"/>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AlloSCOPE</w:t>
      </w:r>
      <w:r>
        <w:rPr>
          <w:rFonts w:ascii="Times New Roman" w:cs="Times New Roman" w:eastAsia="Times New Roman" w:hAnsi="Times New Roman"/>
          <w:sz w:val="18"/>
          <w:szCs w:val="18"/>
          <w:color w:val="auto"/>
          <w:vertAlign w:val="superscript"/>
        </w:rPr>
        <w:t>TM</w:t>
      </w:r>
      <w:r>
        <w:rPr>
          <w:rFonts w:ascii="Times New Roman" w:cs="Times New Roman" w:eastAsia="Times New Roman" w:hAnsi="Times New Roman"/>
          <w:sz w:val="14"/>
          <w:szCs w:val="14"/>
          <w:color w:val="auto"/>
        </w:rPr>
        <w:t xml:space="preserve"> platform and our ability to successfully manufacture our product candidates for clinical development and, if approved, for commercialization, and the timing and costs of such manufacture;</w:t>
      </w:r>
    </w:p>
    <w:p>
      <w:pPr>
        <w:spacing w:after="0" w:line="70" w:lineRule="exact"/>
        <w:rPr>
          <w:rFonts w:ascii="Times New Roman" w:cs="Times New Roman" w:eastAsia="Times New Roman" w:hAnsi="Times New Roman"/>
          <w:sz w:val="14"/>
          <w:szCs w:val="14"/>
          <w:color w:val="auto"/>
        </w:rPr>
      </w:pPr>
    </w:p>
    <w:p>
      <w:pPr>
        <w:ind w:left="760" w:hanging="382"/>
        <w:spacing w:after="0"/>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and likelihood of regulatory filings and approvals;</w:t>
      </w:r>
    </w:p>
    <w:p>
      <w:pPr>
        <w:spacing w:after="0" w:line="85" w:lineRule="exact"/>
        <w:rPr>
          <w:rFonts w:ascii="Times New Roman" w:cs="Times New Roman" w:eastAsia="Times New Roman" w:hAnsi="Times New Roman"/>
          <w:sz w:val="14"/>
          <w:szCs w:val="14"/>
          <w:color w:val="auto"/>
        </w:rPr>
      </w:pPr>
    </w:p>
    <w:p>
      <w:pPr>
        <w:ind w:left="760" w:hanging="382"/>
        <w:spacing w:after="0"/>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expected regulatory pathways;</w:t>
      </w:r>
    </w:p>
    <w:p>
      <w:pPr>
        <w:spacing w:after="0" w:line="85" w:lineRule="exact"/>
        <w:rPr>
          <w:rFonts w:ascii="Times New Roman" w:cs="Times New Roman" w:eastAsia="Times New Roman" w:hAnsi="Times New Roman"/>
          <w:sz w:val="14"/>
          <w:szCs w:val="14"/>
          <w:color w:val="auto"/>
        </w:rPr>
      </w:pPr>
    </w:p>
    <w:p>
      <w:pPr>
        <w:ind w:left="760" w:hanging="382"/>
        <w:spacing w:after="0"/>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of our cell therapy platform;</w:t>
      </w:r>
    </w:p>
    <w:p>
      <w:pPr>
        <w:spacing w:after="0" w:line="85" w:lineRule="exact"/>
        <w:rPr>
          <w:rFonts w:ascii="Times New Roman" w:cs="Times New Roman" w:eastAsia="Times New Roman" w:hAnsi="Times New Roman"/>
          <w:sz w:val="14"/>
          <w:szCs w:val="14"/>
          <w:color w:val="auto"/>
        </w:rPr>
      </w:pPr>
    </w:p>
    <w:p>
      <w:pPr>
        <w:ind w:left="760" w:hanging="382"/>
        <w:spacing w:after="0"/>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additional capital to fund our operations;</w:t>
      </w:r>
    </w:p>
    <w:p>
      <w:pPr>
        <w:spacing w:after="0" w:line="85" w:lineRule="exact"/>
        <w:rPr>
          <w:rFonts w:ascii="Times New Roman" w:cs="Times New Roman" w:eastAsia="Times New Roman" w:hAnsi="Times New Roman"/>
          <w:sz w:val="14"/>
          <w:szCs w:val="14"/>
          <w:color w:val="auto"/>
        </w:rPr>
      </w:pPr>
    </w:p>
    <w:p>
      <w:pPr>
        <w:ind w:left="760" w:hanging="382"/>
        <w:spacing w:after="0"/>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that holders of outstanding warrants to purchase our common shares will exercise such warrants on a cash basis;</w:t>
      </w:r>
    </w:p>
    <w:p>
      <w:pPr>
        <w:spacing w:after="0" w:line="85" w:lineRule="exact"/>
        <w:rPr>
          <w:rFonts w:ascii="Times New Roman" w:cs="Times New Roman" w:eastAsia="Times New Roman" w:hAnsi="Times New Roman"/>
          <w:sz w:val="14"/>
          <w:szCs w:val="14"/>
          <w:color w:val="auto"/>
        </w:rPr>
      </w:pPr>
    </w:p>
    <w:p>
      <w:pPr>
        <w:ind w:left="760" w:right="380" w:hanging="382"/>
        <w:spacing w:after="0" w:line="266" w:lineRule="auto"/>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and plans regarding existing and potential future collaborations with third parties such as pharmaceutical and biotechnology companies, government agencies, academic laboratories, and research institutes for the discovery, development, and/or commercialization of novel cell therapy products;</w:t>
      </w:r>
    </w:p>
    <w:p>
      <w:pPr>
        <w:spacing w:after="0" w:line="53" w:lineRule="exact"/>
        <w:rPr>
          <w:rFonts w:ascii="Times New Roman" w:cs="Times New Roman" w:eastAsia="Times New Roman" w:hAnsi="Times New Roman"/>
          <w:sz w:val="14"/>
          <w:szCs w:val="14"/>
          <w:color w:val="auto"/>
        </w:rPr>
      </w:pPr>
    </w:p>
    <w:p>
      <w:pPr>
        <w:ind w:left="760" w:hanging="382"/>
        <w:spacing w:after="0"/>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size and growth of the potential markets for our product candidates and our ability to serve those markets;</w:t>
      </w:r>
    </w:p>
    <w:p>
      <w:pPr>
        <w:spacing w:after="0" w:line="85" w:lineRule="exact"/>
        <w:rPr>
          <w:rFonts w:ascii="Times New Roman" w:cs="Times New Roman" w:eastAsia="Times New Roman" w:hAnsi="Times New Roman"/>
          <w:sz w:val="14"/>
          <w:szCs w:val="14"/>
          <w:color w:val="auto"/>
        </w:rPr>
      </w:pPr>
    </w:p>
    <w:p>
      <w:pPr>
        <w:ind w:left="760" w:hanging="382"/>
        <w:spacing w:after="0"/>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scope and value of our intellectual property rights; and</w:t>
      </w:r>
    </w:p>
    <w:p>
      <w:pPr>
        <w:spacing w:after="0" w:line="85" w:lineRule="exact"/>
        <w:rPr>
          <w:rFonts w:ascii="Times New Roman" w:cs="Times New Roman" w:eastAsia="Times New Roman" w:hAnsi="Times New Roman"/>
          <w:sz w:val="14"/>
          <w:szCs w:val="14"/>
          <w:color w:val="auto"/>
        </w:rPr>
      </w:pPr>
    </w:p>
    <w:p>
      <w:pPr>
        <w:ind w:left="760" w:right="100" w:hanging="382"/>
        <w:spacing w:after="0" w:line="266" w:lineRule="auto"/>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effects on our operations and workforce and on clinical trials (including those involving OpRegen®) of the ongoing Israeli regional conflict, the escalation of hostilities in the Middle East resulting from the strikes by Israel and the United</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381635</wp:posOffset>
            </wp:positionV>
            <wp:extent cx="719074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779" w:right="319" w:bottom="1440" w:gutter="0" w:footer="0" w:header="0"/>
        </w:sectPr>
      </w:pPr>
    </w:p>
    <w:bookmarkStart w:id="9" w:name="page10"/>
    <w:bookmarkEnd w:id="9"/>
    <w:p>
      <w:pPr>
        <w:ind w:left="760"/>
        <w:spacing w:after="0"/>
        <w:rPr>
          <w:sz w:val="20"/>
          <w:szCs w:val="20"/>
          <w:color w:val="auto"/>
        </w:rPr>
      </w:pPr>
      <w:r>
        <w:rPr>
          <w:rFonts w:ascii="Times New Roman" w:cs="Times New Roman" w:eastAsia="Times New Roman" w:hAnsi="Times New Roman"/>
          <w:sz w:val="14"/>
          <w:szCs w:val="14"/>
          <w:color w:val="auto"/>
        </w:rPr>
        <w:t>States on Iran that commenced on February 28, 2026, and broader geopolitical conflicts, political and economic instability, public health emergencies and macroeconomic conditions.</w:t>
      </w:r>
    </w:p>
    <w:p>
      <w:pPr>
        <w:spacing w:after="0" w:line="8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You should refer to the “Risk Factors” section contained in the applicable prospectus supplement and any related free writing prospectus, and under similar headings in the other documents that are incorporated by reference into this prospectus, for a discussion of important factors that may cause our actual results to differ materially from those expressed or implied by our forward-looking statements. Given these risks, uncertainties and other factors, many of which are beyond our control, we cannot assure you that the forward-looking statements in this prospectus will prove to be accurate, and you should not place undue reliance on these forward-looking statements.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Except as required by law, we assume no obligation to update these forward-looking statements publicly, or to revise any forward-looking statements to reflect events or developments occurring after the date of this prospectus, even if new information becomes available in the future.</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7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We will retain broad discretion over the use of the net proceeds from the sale of the securities offered hereby. Except as described in any applicable prospectus supplement or in any free writing prospectuses that we may authorize to be provided to you in connection with a specific offering, we currently intend to use the net proceeds from the sale of the securities offered hereby, if any, for working capital and general corporate purposes, including research and development expenses and capital expenditures. We may also use a portion of the net proceeds to acquire or invest in businesses and products or product candidates, although we have no current plans, commitments or agreements with respect to any acquisitions as of the date of this prospectus. We will set forth in the applicable prospectus supplement or free writing prospectus our intended use for the net proceeds received from the sale of any securities sold pursuant to the prospectus supplement or free writing prospectus. Pending the use of net proceeds, we plan to invest the net proceeds in short-term interest-bearing investment-grade securities, certificates of deposit or government securities.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CAPITAL STOCK</w:t>
      </w:r>
    </w:p>
    <w:p>
      <w:pPr>
        <w:spacing w:after="0" w:line="17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4"/>
          <w:szCs w:val="14"/>
          <w:color w:val="auto"/>
        </w:rPr>
        <w:t>The following description summarizes the terms of our capital stock and certain provisions of: (i) our Restated Articles of Incorporation, as amended (as amended by the Certificate of Ownership, the “Articles”); (ii) our Second Amended and Restated Bylaws (the “Bylaws”); and (iii) applicable California law. Because it is only a summary, it does not contain all the information that may be important to you and it is qualified in its entirety by, and should be read in conjunction with, the Articles and the Bylaws, each of which are filed as exhibits to the registration statement of which this prospectus forms a part, and applicable California law.</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Authorized Capital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are authorized to issue an aggregate of 452,000,000 shares of capital stock consisting of 450,000,000 common shares and 2,000,000 preferred shares.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Common Shares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Voting Rights</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Each holder of common shares is entitled to one vote for each common share held on every matter properly submitted to the shareholders for their vote; provided that such holders may have cumulative voting rights in the election of directors if the candidates’ names have been placed in nomination prior to commencement of the voting and the shareholder has given notice prior to commencement of the voting of the shareholder’s intention to cumulate votes.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Dividend Rights</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Subject to any preferential rights or preferences of preferred shares outstanding, if any, holders of the common shares are entitled to any dividend declared by our board of directors out of funds legally available for that purpose.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Liquidation Rights</w:t>
      </w:r>
    </w:p>
    <w:p>
      <w:pPr>
        <w:spacing w:after="0" w:line="1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Subject to any preferential rights or preferences of holders of preferred shares outstanding, if any, holders of the common shares are entitled to receive on a pro rata basis all of our remaining assets available for distribution to the holders of the common shares in the event of the liquidation, dissolution, or winding up of our operations.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374015</wp:posOffset>
            </wp:positionV>
            <wp:extent cx="719074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804"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i w:val="1"/>
          <w:iCs w:val="1"/>
          <w:color w:val="auto"/>
        </w:rPr>
        <w:t>No Preemptive or Similar Rights.</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Holders of the common shares do not have any preemptive rights to become subscribers or purchasers of additional shares of any class of our capital stock. There are no redemption or sinking fund provisions applicable to the common shares.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Rights of Preferred Shares May be Senior to Common Shares.</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Any series of preferred shares authorized by our board of directors may be senior to and have greater rights and preferences than the common shares and may have restrictions on our repurchase or redemption of shares.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Preferred Shares</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Our board of directors is authorized, without further action of the shareholders, to issue up to 2,000,000 preferred shares in one or more series, at any time, and to determine or alter the rights, preferences, privileges and restrictions granted to or imposed upon the preferred shares as a class or upon any wholly unissued series of preferred shares. Our board of directors may increase or decrease (but not below the number of shares of such series then outstanding) the number of shares of any series of preferred shares subsequent to the issue of shares of that series.</w:t>
      </w:r>
    </w:p>
    <w:p>
      <w:pPr>
        <w:spacing w:after="0" w:line="14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4"/>
          <w:szCs w:val="14"/>
          <w:color w:val="auto"/>
        </w:rPr>
        <w:t>Our board of directors may authorize the issuance of preferred shares with voting or conversion rights that could adversely affect the voting power or other rights of the holders of common shares. The issuance of preferred shares, while providing flexibility in connection with possible acquisitions and other corporate purposes, could, among other things, have the effect of delaying, deferring or preventing a change in our control that may otherwise benefit holders of our common shares and may adversely affect the market price of our common shares and the voting and other rights of the holders of common shares.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Anti-takeover Provisions of the Articles, Bylaws and California Law</w:t>
      </w:r>
    </w:p>
    <w:p>
      <w:pPr>
        <w:spacing w:after="0" w:line="171"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3"/>
          <w:szCs w:val="13"/>
          <w:color w:val="auto"/>
        </w:rPr>
        <w:t>Provisions of the Articles and Bylaws may delay or discourage transactions involving an actual or potential change in control of our company or change in its management, including transactions in which shareholders might otherwise receive a premium for their shares, or transactions that its shareholders might otherwise deem to be in their best interests. Among other things, the Articles and Bylaws:</w:t>
      </w:r>
    </w:p>
    <w:p>
      <w:pPr>
        <w:spacing w:after="0" w:line="112" w:lineRule="exact"/>
        <w:rPr>
          <w:sz w:val="20"/>
          <w:szCs w:val="20"/>
          <w:color w:val="auto"/>
        </w:rPr>
      </w:pPr>
    </w:p>
    <w:p>
      <w:pPr>
        <w:ind w:left="620" w:hanging="361"/>
        <w:spacing w:after="0" w:line="266" w:lineRule="auto"/>
        <w:tabs>
          <w:tab w:leader="none" w:pos="6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that, except for a vacancy caused by the removal of a director by the shareholders or by court order, a vacancy on the board of directors may be filled by approval of a majority of the remaining directors, though less than a quorum, or by a sole remaining director;</w:t>
      </w:r>
    </w:p>
    <w:p>
      <w:pPr>
        <w:spacing w:after="0" w:line="135" w:lineRule="exact"/>
        <w:rPr>
          <w:rFonts w:ascii="Times New Roman" w:cs="Times New Roman" w:eastAsia="Times New Roman" w:hAnsi="Times New Roman"/>
          <w:sz w:val="14"/>
          <w:szCs w:val="14"/>
          <w:color w:val="auto"/>
        </w:rPr>
      </w:pPr>
    </w:p>
    <w:p>
      <w:pPr>
        <w:ind w:left="620" w:hanging="361"/>
        <w:spacing w:after="0" w:line="266" w:lineRule="auto"/>
        <w:tabs>
          <w:tab w:leader="none" w:pos="6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that shareholders seeking to present proposals before a meeting of shareholders or to nominate candidates for election as directors at a meeting of shareholders must provide notice in writing in a timely manner, and also specify requirements as to the form and content of such notice;</w:t>
      </w:r>
    </w:p>
    <w:p>
      <w:pPr>
        <w:spacing w:after="0" w:line="135" w:lineRule="exact"/>
        <w:rPr>
          <w:rFonts w:ascii="Times New Roman" w:cs="Times New Roman" w:eastAsia="Times New Roman" w:hAnsi="Times New Roman"/>
          <w:sz w:val="14"/>
          <w:szCs w:val="14"/>
          <w:color w:val="auto"/>
        </w:rPr>
      </w:pPr>
    </w:p>
    <w:p>
      <w:pPr>
        <w:ind w:left="620" w:hanging="361"/>
        <w:spacing w:after="0" w:line="266" w:lineRule="auto"/>
        <w:tabs>
          <w:tab w:leader="none" w:pos="6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authorize the board of directors to issue preferred shares in series and to fix rights and preferences of the series (including, among other things, whether, and to what extent, the shares of any series will have voting rights and the extent of the preferences of the shares of any series with respect to dividends and other matters); and</w:t>
      </w:r>
    </w:p>
    <w:p>
      <w:pPr>
        <w:spacing w:after="0" w:line="135" w:lineRule="exact"/>
        <w:rPr>
          <w:rFonts w:ascii="Times New Roman" w:cs="Times New Roman" w:eastAsia="Times New Roman" w:hAnsi="Times New Roman"/>
          <w:sz w:val="14"/>
          <w:szCs w:val="14"/>
          <w:color w:val="auto"/>
        </w:rPr>
      </w:pPr>
    </w:p>
    <w:p>
      <w:pPr>
        <w:ind w:left="620" w:hanging="361"/>
        <w:spacing w:after="0" w:line="266" w:lineRule="auto"/>
        <w:tabs>
          <w:tab w:leader="none" w:pos="6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that, at a meeting of shareholders at which directors are to be elected, no shareholder shall be entitled to cumulate votes unless the candidates’ names have been placed in nomination prior to commencement of the voting and the shareholder has given notice prior to commencement of the voting of the shareholder’s intention to cumulate vote.</w:t>
      </w:r>
    </w:p>
    <w:p>
      <w:pPr>
        <w:spacing w:after="0" w:line="13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4"/>
          <w:szCs w:val="14"/>
          <w:color w:val="auto"/>
        </w:rPr>
        <w:t>In addition, as a California corporation, we are subject to the provisions of Section 1203 of the California General Corporation Law, which requires us to provide a fairness opinion to our shareholders in connection with their consideration of any proposed “interested party” reorganization transaction.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Exchange Listing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common shares are listed on the NYSE American and on the TASE under the symbol “LCTX.”</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Transfer Agent and Registrar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transfer agent and registrar for our common shares is Equiniti Trust Company, LLC.</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381635</wp:posOffset>
            </wp:positionV>
            <wp:extent cx="719074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943" w:right="31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DEBT SECURITIES</w:t>
      </w:r>
    </w:p>
    <w:p>
      <w:pPr>
        <w:spacing w:after="0" w:line="17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4"/>
          <w:szCs w:val="14"/>
          <w:color w:val="auto"/>
        </w:rPr>
        <w:t>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w:t>
      </w:r>
    </w:p>
    <w:p>
      <w:pPr>
        <w:spacing w:after="0" w:line="14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3"/>
          <w:szCs w:val="13"/>
          <w:color w:val="auto"/>
        </w:rPr>
        <w:t>We will issue the debt securities under the indenture that we will enter into with the trustee named in the indenture. The indenture will be qualified under the Trust Indenture Act of 1939, as amended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supplements and any related free writing prospectuses related to the debt securities that we may offer under this prospectus, as well as the complete indenture that contains the terms of the debt securities.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indenture does not limit the amount of debt securities that we may issue. It provides that we may issue debt securities up to the principal amount that we may authorize and may be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w:t>
      </w:r>
    </w:p>
    <w:p>
      <w:pPr>
        <w:spacing w:after="0" w:line="1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(“OID”), for U.S. federal income tax purposes because of interest payment and other characteristics or terms of the debt securities. Material U.S. federal income tax considerations applicable to debt securities issued with OID will be described in more detail in any applicable prospectus supplement.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will describe in the applicable prospectus supplement the terms of the series of debt securities being offered, including:</w:t>
      </w:r>
    </w:p>
    <w:p>
      <w:pPr>
        <w:spacing w:after="0" w:line="167" w:lineRule="exact"/>
        <w:rPr>
          <w:sz w:val="20"/>
          <w:szCs w:val="20"/>
          <w:color w:val="auto"/>
        </w:rPr>
      </w:pPr>
    </w:p>
    <w:p>
      <w:pPr>
        <w:ind w:left="620" w:hanging="361"/>
        <w:spacing w:after="0"/>
        <w:tabs>
          <w:tab w:leader="none" w:pos="6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the series of debt securities;</w:t>
      </w:r>
    </w:p>
    <w:p>
      <w:pPr>
        <w:spacing w:after="0" w:line="167" w:lineRule="exact"/>
        <w:rPr>
          <w:rFonts w:ascii="Times New Roman" w:cs="Times New Roman" w:eastAsia="Times New Roman" w:hAnsi="Times New Roman"/>
          <w:sz w:val="14"/>
          <w:szCs w:val="14"/>
          <w:color w:val="auto"/>
        </w:rPr>
      </w:pPr>
    </w:p>
    <w:p>
      <w:pPr>
        <w:ind w:left="620" w:hanging="361"/>
        <w:spacing w:after="0"/>
        <w:tabs>
          <w:tab w:leader="none" w:pos="6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limit upon the aggregate principal amount that may be issued;</w:t>
      </w:r>
    </w:p>
    <w:p>
      <w:pPr>
        <w:spacing w:after="0" w:line="167" w:lineRule="exact"/>
        <w:rPr>
          <w:rFonts w:ascii="Times New Roman" w:cs="Times New Roman" w:eastAsia="Times New Roman" w:hAnsi="Times New Roman"/>
          <w:sz w:val="14"/>
          <w:szCs w:val="14"/>
          <w:color w:val="auto"/>
        </w:rPr>
      </w:pPr>
    </w:p>
    <w:p>
      <w:pPr>
        <w:ind w:left="620" w:hanging="361"/>
        <w:spacing w:after="0"/>
        <w:tabs>
          <w:tab w:leader="none" w:pos="6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maturity date or dates;</w:t>
      </w:r>
    </w:p>
    <w:p>
      <w:pPr>
        <w:spacing w:after="0" w:line="167" w:lineRule="exact"/>
        <w:rPr>
          <w:rFonts w:ascii="Times New Roman" w:cs="Times New Roman" w:eastAsia="Times New Roman" w:hAnsi="Times New Roman"/>
          <w:sz w:val="14"/>
          <w:szCs w:val="14"/>
          <w:color w:val="auto"/>
        </w:rPr>
      </w:pPr>
    </w:p>
    <w:p>
      <w:pPr>
        <w:ind w:left="620" w:hanging="361"/>
        <w:spacing w:after="0"/>
        <w:tabs>
          <w:tab w:leader="none" w:pos="6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form of the debt securities of the series;</w:t>
      </w:r>
    </w:p>
    <w:p>
      <w:pPr>
        <w:spacing w:after="0" w:line="167" w:lineRule="exact"/>
        <w:rPr>
          <w:rFonts w:ascii="Times New Roman" w:cs="Times New Roman" w:eastAsia="Times New Roman" w:hAnsi="Times New Roman"/>
          <w:sz w:val="14"/>
          <w:szCs w:val="14"/>
          <w:color w:val="auto"/>
        </w:rPr>
      </w:pPr>
    </w:p>
    <w:p>
      <w:pPr>
        <w:ind w:left="620" w:hanging="361"/>
        <w:spacing w:after="0"/>
        <w:tabs>
          <w:tab w:leader="none" w:pos="6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applicability of any guarantees;</w:t>
      </w:r>
    </w:p>
    <w:p>
      <w:pPr>
        <w:spacing w:after="0" w:line="167" w:lineRule="exact"/>
        <w:rPr>
          <w:rFonts w:ascii="Times New Roman" w:cs="Times New Roman" w:eastAsia="Times New Roman" w:hAnsi="Times New Roman"/>
          <w:sz w:val="14"/>
          <w:szCs w:val="14"/>
          <w:color w:val="auto"/>
        </w:rPr>
      </w:pPr>
    </w:p>
    <w:p>
      <w:pPr>
        <w:ind w:left="620" w:hanging="361"/>
        <w:spacing w:after="0"/>
        <w:tabs>
          <w:tab w:leader="none" w:pos="6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or not the debt securities will be secured or unsecured, and the terms of any secured debt;</w:t>
      </w:r>
    </w:p>
    <w:p>
      <w:pPr>
        <w:spacing w:after="0" w:line="167" w:lineRule="exact"/>
        <w:rPr>
          <w:rFonts w:ascii="Times New Roman" w:cs="Times New Roman" w:eastAsia="Times New Roman" w:hAnsi="Times New Roman"/>
          <w:sz w:val="14"/>
          <w:szCs w:val="14"/>
          <w:color w:val="auto"/>
        </w:rPr>
      </w:pPr>
    </w:p>
    <w:p>
      <w:pPr>
        <w:ind w:left="620" w:hanging="361"/>
        <w:spacing w:after="0"/>
        <w:tabs>
          <w:tab w:leader="none" w:pos="6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rank as senior debt, senior subordinated debt, subordinated debt or any combination thereof, and the terms of any subordination;</w:t>
      </w:r>
    </w:p>
    <w:p>
      <w:pPr>
        <w:spacing w:after="0" w:line="167" w:lineRule="exact"/>
        <w:rPr>
          <w:rFonts w:ascii="Times New Roman" w:cs="Times New Roman" w:eastAsia="Times New Roman" w:hAnsi="Times New Roman"/>
          <w:sz w:val="14"/>
          <w:szCs w:val="14"/>
          <w:color w:val="auto"/>
        </w:rPr>
      </w:pPr>
    </w:p>
    <w:p>
      <w:pPr>
        <w:jc w:val="both"/>
        <w:ind w:left="620" w:hanging="361"/>
        <w:spacing w:after="0" w:line="255" w:lineRule="auto"/>
        <w:tabs>
          <w:tab w:leader="none" w:pos="6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price (expressed as a percentage of the aggregate principal amount thereof) at which such debt securities will be issued is a price other than the principal amount thereof, the portion of the principal amount thereof payable upon declaration of acceleration of the maturity thereof, or if applicable, the portion of the principal amount of such debt securities that is convertible into another security or the method by which any such portion shall be determined;</w:t>
      </w:r>
    </w:p>
    <w:p>
      <w:pPr>
        <w:spacing w:after="0" w:line="143" w:lineRule="exact"/>
        <w:rPr>
          <w:rFonts w:ascii="Times New Roman" w:cs="Times New Roman" w:eastAsia="Times New Roman" w:hAnsi="Times New Roman"/>
          <w:sz w:val="14"/>
          <w:szCs w:val="14"/>
          <w:color w:val="auto"/>
        </w:rPr>
      </w:pPr>
    </w:p>
    <w:p>
      <w:pPr>
        <w:ind w:left="620" w:hanging="361"/>
        <w:spacing w:after="0" w:line="266" w:lineRule="auto"/>
        <w:tabs>
          <w:tab w:leader="none" w:pos="6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 rate or rates,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381635</wp:posOffset>
            </wp:positionV>
            <wp:extent cx="719074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779" w:right="319" w:bottom="1440" w:gutter="0" w:footer="0" w:header="0"/>
        </w:sectPr>
      </w:pPr>
    </w:p>
    <w:bookmarkStart w:id="12" w:name="page13"/>
    <w:bookmarkEnd w:id="12"/>
    <w:p>
      <w:pPr>
        <w:ind w:left="620" w:hanging="361"/>
        <w:spacing w:after="0"/>
        <w:tabs>
          <w:tab w:leader="none" w:pos="6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right, if any, to defer payment of interest and the maximum length of any such deferral period;</w:t>
      </w:r>
    </w:p>
    <w:p>
      <w:pPr>
        <w:spacing w:after="0" w:line="167" w:lineRule="exact"/>
        <w:rPr>
          <w:rFonts w:ascii="Times New Roman" w:cs="Times New Roman" w:eastAsia="Times New Roman" w:hAnsi="Times New Roman"/>
          <w:sz w:val="14"/>
          <w:szCs w:val="14"/>
          <w:color w:val="auto"/>
        </w:rPr>
      </w:pPr>
    </w:p>
    <w:p>
      <w:pPr>
        <w:ind w:left="620" w:hanging="361"/>
        <w:spacing w:after="0" w:line="266" w:lineRule="auto"/>
        <w:tabs>
          <w:tab w:leader="none" w:pos="6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date or dates after which, or the period or periods during which, and the price or prices at which, we may, at our option, redeem the series of debt securities pursuant to any optional or provisional redemption provisions and the terms of those redemption provisions;</w:t>
      </w:r>
    </w:p>
    <w:p>
      <w:pPr>
        <w:spacing w:after="0" w:line="135" w:lineRule="exact"/>
        <w:rPr>
          <w:rFonts w:ascii="Times New Roman" w:cs="Times New Roman" w:eastAsia="Times New Roman" w:hAnsi="Times New Roman"/>
          <w:sz w:val="14"/>
          <w:szCs w:val="14"/>
          <w:color w:val="auto"/>
        </w:rPr>
      </w:pPr>
    </w:p>
    <w:p>
      <w:pPr>
        <w:ind w:left="620" w:hanging="361"/>
        <w:spacing w:after="0" w:line="266" w:lineRule="auto"/>
        <w:tabs>
          <w:tab w:leader="none" w:pos="6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w:t>
      </w:r>
    </w:p>
    <w:p>
      <w:pPr>
        <w:spacing w:after="0" w:line="135" w:lineRule="exact"/>
        <w:rPr>
          <w:rFonts w:ascii="Times New Roman" w:cs="Times New Roman" w:eastAsia="Times New Roman" w:hAnsi="Times New Roman"/>
          <w:sz w:val="14"/>
          <w:szCs w:val="14"/>
          <w:color w:val="auto"/>
        </w:rPr>
      </w:pPr>
    </w:p>
    <w:p>
      <w:pPr>
        <w:ind w:left="620" w:hanging="361"/>
        <w:spacing w:after="0"/>
        <w:tabs>
          <w:tab w:leader="none" w:pos="6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denominations in which we will issue the series of debt securities, if other than denominations of $1,000 and any integral multiple thereof;</w:t>
      </w:r>
    </w:p>
    <w:p>
      <w:pPr>
        <w:spacing w:after="0" w:line="167" w:lineRule="exact"/>
        <w:rPr>
          <w:rFonts w:ascii="Times New Roman" w:cs="Times New Roman" w:eastAsia="Times New Roman" w:hAnsi="Times New Roman"/>
          <w:sz w:val="14"/>
          <w:szCs w:val="14"/>
          <w:color w:val="auto"/>
        </w:rPr>
      </w:pPr>
    </w:p>
    <w:p>
      <w:pPr>
        <w:ind w:left="620" w:hanging="361"/>
        <w:spacing w:after="0" w:line="266" w:lineRule="auto"/>
        <w:tabs>
          <w:tab w:leader="none" w:pos="6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w:t>
      </w:r>
    </w:p>
    <w:p>
      <w:pPr>
        <w:spacing w:after="0" w:line="135" w:lineRule="exact"/>
        <w:rPr>
          <w:rFonts w:ascii="Times New Roman" w:cs="Times New Roman" w:eastAsia="Times New Roman" w:hAnsi="Times New Roman"/>
          <w:sz w:val="14"/>
          <w:szCs w:val="14"/>
          <w:color w:val="auto"/>
        </w:rPr>
      </w:pPr>
    </w:p>
    <w:p>
      <w:pPr>
        <w:ind w:left="620" w:hanging="361"/>
        <w:spacing w:after="0" w:line="266" w:lineRule="auto"/>
        <w:tabs>
          <w:tab w:leader="none" w:pos="6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w:t>
      </w:r>
    </w:p>
    <w:p>
      <w:pPr>
        <w:spacing w:after="0" w:line="135" w:lineRule="exact"/>
        <w:rPr>
          <w:rFonts w:ascii="Times New Roman" w:cs="Times New Roman" w:eastAsia="Times New Roman" w:hAnsi="Times New Roman"/>
          <w:sz w:val="14"/>
          <w:szCs w:val="14"/>
          <w:color w:val="auto"/>
        </w:rPr>
      </w:pPr>
    </w:p>
    <w:p>
      <w:pPr>
        <w:jc w:val="both"/>
        <w:ind w:left="620" w:hanging="361"/>
        <w:spacing w:after="0" w:line="255" w:lineRule="auto"/>
        <w:tabs>
          <w:tab w:leader="none" w:pos="6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w:t>
      </w:r>
    </w:p>
    <w:p>
      <w:pPr>
        <w:spacing w:after="0" w:line="143" w:lineRule="exact"/>
        <w:rPr>
          <w:rFonts w:ascii="Times New Roman" w:cs="Times New Roman" w:eastAsia="Times New Roman" w:hAnsi="Times New Roman"/>
          <w:sz w:val="14"/>
          <w:szCs w:val="14"/>
          <w:color w:val="auto"/>
        </w:rPr>
      </w:pPr>
    </w:p>
    <w:p>
      <w:pPr>
        <w:ind w:left="620" w:hanging="361"/>
        <w:spacing w:after="0"/>
        <w:tabs>
          <w:tab w:leader="none" w:pos="62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other than the full principal amount thereof, the portion of the principal amount of debt securities of the series which shall be payable upon declaration of acceleration of the maturity thereof;</w:t>
      </w:r>
    </w:p>
    <w:p>
      <w:pPr>
        <w:spacing w:after="0" w:line="178" w:lineRule="exact"/>
        <w:rPr>
          <w:rFonts w:ascii="Times New Roman" w:cs="Times New Roman" w:eastAsia="Times New Roman" w:hAnsi="Times New Roman"/>
          <w:sz w:val="13"/>
          <w:szCs w:val="13"/>
          <w:color w:val="auto"/>
        </w:rPr>
      </w:pPr>
    </w:p>
    <w:p>
      <w:pPr>
        <w:ind w:left="620" w:hanging="361"/>
        <w:spacing w:after="0"/>
        <w:tabs>
          <w:tab w:leader="none" w:pos="6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to or changes in the covenants applicable to the particular debt securities being issued, including, among others, the consolidation, merger or sale covenant;</w:t>
      </w:r>
    </w:p>
    <w:p>
      <w:pPr>
        <w:spacing w:after="0" w:line="167" w:lineRule="exact"/>
        <w:rPr>
          <w:rFonts w:ascii="Times New Roman" w:cs="Times New Roman" w:eastAsia="Times New Roman" w:hAnsi="Times New Roman"/>
          <w:sz w:val="14"/>
          <w:szCs w:val="14"/>
          <w:color w:val="auto"/>
        </w:rPr>
      </w:pPr>
    </w:p>
    <w:p>
      <w:pPr>
        <w:ind w:left="620" w:hanging="361"/>
        <w:spacing w:after="0" w:line="266" w:lineRule="auto"/>
        <w:tabs>
          <w:tab w:leader="none" w:pos="6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to or changes in the events of default with respect to the securities and any change in the right of the trustee or the holders to declare the principal, premium, if any, and interest, if any, with respect to such securities to be due and payable;</w:t>
      </w:r>
    </w:p>
    <w:p>
      <w:pPr>
        <w:spacing w:after="0" w:line="135" w:lineRule="exact"/>
        <w:rPr>
          <w:rFonts w:ascii="Times New Roman" w:cs="Times New Roman" w:eastAsia="Times New Roman" w:hAnsi="Times New Roman"/>
          <w:sz w:val="14"/>
          <w:szCs w:val="14"/>
          <w:color w:val="auto"/>
        </w:rPr>
      </w:pPr>
    </w:p>
    <w:p>
      <w:pPr>
        <w:ind w:left="620" w:hanging="361"/>
        <w:spacing w:after="0"/>
        <w:tabs>
          <w:tab w:leader="none" w:pos="6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to or changes in or deletions of the provisions relating to covenant defeasance and legal defeasance;</w:t>
      </w:r>
    </w:p>
    <w:p>
      <w:pPr>
        <w:spacing w:after="0" w:line="167" w:lineRule="exact"/>
        <w:rPr>
          <w:rFonts w:ascii="Times New Roman" w:cs="Times New Roman" w:eastAsia="Times New Roman" w:hAnsi="Times New Roman"/>
          <w:sz w:val="14"/>
          <w:szCs w:val="14"/>
          <w:color w:val="auto"/>
        </w:rPr>
      </w:pPr>
    </w:p>
    <w:p>
      <w:pPr>
        <w:ind w:left="620" w:hanging="361"/>
        <w:spacing w:after="0"/>
        <w:tabs>
          <w:tab w:leader="none" w:pos="6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to or changes in the provisions relating to satisfaction and discharge of the indenture;</w:t>
      </w:r>
    </w:p>
    <w:p>
      <w:pPr>
        <w:spacing w:after="0" w:line="167" w:lineRule="exact"/>
        <w:rPr>
          <w:rFonts w:ascii="Times New Roman" w:cs="Times New Roman" w:eastAsia="Times New Roman" w:hAnsi="Times New Roman"/>
          <w:sz w:val="14"/>
          <w:szCs w:val="14"/>
          <w:color w:val="auto"/>
        </w:rPr>
      </w:pPr>
    </w:p>
    <w:p>
      <w:pPr>
        <w:ind w:left="620" w:hanging="361"/>
        <w:spacing w:after="0"/>
        <w:tabs>
          <w:tab w:leader="none" w:pos="6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to or changes in the provisions relating to the modification of the indenture both with and without the consent of holders of debt securities issued under the indenture;</w:t>
      </w:r>
    </w:p>
    <w:p>
      <w:pPr>
        <w:spacing w:after="0" w:line="167" w:lineRule="exact"/>
        <w:rPr>
          <w:rFonts w:ascii="Times New Roman" w:cs="Times New Roman" w:eastAsia="Times New Roman" w:hAnsi="Times New Roman"/>
          <w:sz w:val="14"/>
          <w:szCs w:val="14"/>
          <w:color w:val="auto"/>
        </w:rPr>
      </w:pPr>
    </w:p>
    <w:p>
      <w:pPr>
        <w:ind w:left="620" w:hanging="361"/>
        <w:spacing w:after="0"/>
        <w:tabs>
          <w:tab w:leader="none" w:pos="6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of payment of debt securities if other than U.S. dollars and the manner of determining the equivalent amount in U.S. dollars;</w:t>
      </w:r>
    </w:p>
    <w:p>
      <w:pPr>
        <w:spacing w:after="0" w:line="167" w:lineRule="exact"/>
        <w:rPr>
          <w:rFonts w:ascii="Times New Roman" w:cs="Times New Roman" w:eastAsia="Times New Roman" w:hAnsi="Times New Roman"/>
          <w:sz w:val="14"/>
          <w:szCs w:val="14"/>
          <w:color w:val="auto"/>
        </w:rPr>
      </w:pPr>
    </w:p>
    <w:p>
      <w:pPr>
        <w:ind w:left="620" w:hanging="361"/>
        <w:spacing w:after="0"/>
        <w:tabs>
          <w:tab w:leader="none" w:pos="6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interest will be payable in cash or additional debt securities at our or the holders’ option and the terms and conditions upon which the election may be made;</w:t>
      </w:r>
    </w:p>
    <w:p>
      <w:pPr>
        <w:spacing w:after="0" w:line="167" w:lineRule="exact"/>
        <w:rPr>
          <w:rFonts w:ascii="Times New Roman" w:cs="Times New Roman" w:eastAsia="Times New Roman" w:hAnsi="Times New Roman"/>
          <w:sz w:val="14"/>
          <w:szCs w:val="14"/>
          <w:color w:val="auto"/>
        </w:rPr>
      </w:pPr>
    </w:p>
    <w:p>
      <w:pPr>
        <w:ind w:left="620" w:hanging="361"/>
        <w:spacing w:after="0" w:line="266" w:lineRule="auto"/>
        <w:tabs>
          <w:tab w:leader="none" w:pos="6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and conditions, if any, upon which we will pay amounts in addition to the stated interest, premium, if any and principal amounts of the debt securities of the series to any holder that is not a “United States person” for federal tax purposes;</w:t>
      </w:r>
    </w:p>
    <w:p>
      <w:pPr>
        <w:spacing w:after="0" w:line="135" w:lineRule="exact"/>
        <w:rPr>
          <w:rFonts w:ascii="Times New Roman" w:cs="Times New Roman" w:eastAsia="Times New Roman" w:hAnsi="Times New Roman"/>
          <w:sz w:val="14"/>
          <w:szCs w:val="14"/>
          <w:color w:val="auto"/>
        </w:rPr>
      </w:pPr>
    </w:p>
    <w:p>
      <w:pPr>
        <w:ind w:left="620" w:hanging="361"/>
        <w:spacing w:after="0"/>
        <w:tabs>
          <w:tab w:leader="none" w:pos="6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restrictions on transfer, sale or assignment of the debt securities of the series; and</w:t>
      </w:r>
    </w:p>
    <w:p>
      <w:pPr>
        <w:spacing w:after="0" w:line="167" w:lineRule="exact"/>
        <w:rPr>
          <w:rFonts w:ascii="Times New Roman" w:cs="Times New Roman" w:eastAsia="Times New Roman" w:hAnsi="Times New Roman"/>
          <w:sz w:val="14"/>
          <w:szCs w:val="14"/>
          <w:color w:val="auto"/>
        </w:rPr>
      </w:pPr>
    </w:p>
    <w:p>
      <w:pPr>
        <w:ind w:left="620" w:hanging="361"/>
        <w:spacing w:after="0" w:line="266" w:lineRule="auto"/>
        <w:tabs>
          <w:tab w:leader="none" w:pos="6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specific terms, preferences, rights or limitations of, or restrictions on, the debt securities, any other additions or changes in the provisions of the indenture, and any terms that may be required by us or advisable under applicable laws or regulations.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Conversion or Exchange Rights</w:t>
      </w:r>
    </w:p>
    <w:p>
      <w:pPr>
        <w:spacing w:after="0" w:line="17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4"/>
          <w:szCs w:val="14"/>
          <w:color w:val="auto"/>
        </w:rPr>
        <w:t>We will set forth in the applicable prospectus supplement the terms on which a series of debt securities may be convertible into or exchangeable for our common shares or our other securities. We will include provisions as to settlement upon conversion or exchange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374015</wp:posOffset>
            </wp:positionV>
            <wp:extent cx="719074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783" w:right="319" w:bottom="1440" w:gutter="0" w:footer="0" w:header="0"/>
        </w:sectPr>
      </w:pPr>
    </w:p>
    <w:bookmarkStart w:id="13" w:name="page14"/>
    <w:bookmarkEnd w:id="13"/>
    <w:p>
      <w:pPr>
        <w:jc w:val="both"/>
        <w:spacing w:after="0" w:line="266" w:lineRule="auto"/>
        <w:rPr>
          <w:sz w:val="20"/>
          <w:szCs w:val="20"/>
          <w:color w:val="auto"/>
        </w:rPr>
      </w:pPr>
      <w:r>
        <w:rPr>
          <w:rFonts w:ascii="Times New Roman" w:cs="Times New Roman" w:eastAsia="Times New Roman" w:hAnsi="Times New Roman"/>
          <w:sz w:val="14"/>
          <w:szCs w:val="14"/>
          <w:color w:val="auto"/>
        </w:rPr>
        <w:t>and whether conversion or exchange is mandatory, at the option of the holder or at our option. We may include provisions pursuant to which the number of our common shares or our other securities that the holders of the series of debt securities receive would be subject to adjustment.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Consolidation, Merger or Sale</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any subsidiary of ours) must assume all of our obligations under the indenture or the debt securities, as appropriate.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Events of Default under the Indenture</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Unless we provide otherwise in the prospectus supplement applicable to a particular series of debt securities, the following are events of default under the indenture with respect to any series of debt securities that we may issue:</w:t>
      </w:r>
    </w:p>
    <w:p>
      <w:pPr>
        <w:spacing w:after="0" w:line="136" w:lineRule="exact"/>
        <w:rPr>
          <w:sz w:val="20"/>
          <w:szCs w:val="20"/>
          <w:color w:val="auto"/>
        </w:rPr>
      </w:pPr>
    </w:p>
    <w:p>
      <w:pPr>
        <w:jc w:val="both"/>
        <w:ind w:left="620" w:hanging="361"/>
        <w:spacing w:after="0" w:line="255" w:lineRule="auto"/>
        <w:tabs>
          <w:tab w:leader="none" w:pos="6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fail to pay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w:t>
      </w:r>
    </w:p>
    <w:p>
      <w:pPr>
        <w:spacing w:after="0" w:line="143" w:lineRule="exact"/>
        <w:rPr>
          <w:rFonts w:ascii="Times New Roman" w:cs="Times New Roman" w:eastAsia="Times New Roman" w:hAnsi="Times New Roman"/>
          <w:sz w:val="14"/>
          <w:szCs w:val="14"/>
          <w:color w:val="auto"/>
        </w:rPr>
      </w:pPr>
    </w:p>
    <w:p>
      <w:pPr>
        <w:jc w:val="both"/>
        <w:ind w:left="620" w:hanging="361"/>
        <w:spacing w:after="0" w:line="255" w:lineRule="auto"/>
        <w:tabs>
          <w:tab w:leader="none" w:pos="6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fail to pay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provided, however, that a valid extension of the maturity of such debt securities in accordance with the terms of any indenture supplemental thereto shall not constitute a default in the payment of principal or premium, if any;</w:t>
      </w:r>
    </w:p>
    <w:p>
      <w:pPr>
        <w:spacing w:after="0" w:line="143" w:lineRule="exact"/>
        <w:rPr>
          <w:rFonts w:ascii="Times New Roman" w:cs="Times New Roman" w:eastAsia="Times New Roman" w:hAnsi="Times New Roman"/>
          <w:sz w:val="14"/>
          <w:szCs w:val="14"/>
          <w:color w:val="auto"/>
        </w:rPr>
      </w:pPr>
    </w:p>
    <w:p>
      <w:pPr>
        <w:jc w:val="both"/>
        <w:ind w:left="620" w:hanging="361"/>
        <w:spacing w:after="0" w:line="255" w:lineRule="auto"/>
        <w:tabs>
          <w:tab w:leader="none" w:pos="6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w:t>
      </w:r>
    </w:p>
    <w:p>
      <w:pPr>
        <w:spacing w:after="0" w:line="143" w:lineRule="exact"/>
        <w:rPr>
          <w:rFonts w:ascii="Times New Roman" w:cs="Times New Roman" w:eastAsia="Times New Roman" w:hAnsi="Times New Roman"/>
          <w:sz w:val="14"/>
          <w:szCs w:val="14"/>
          <w:color w:val="auto"/>
        </w:rPr>
      </w:pPr>
    </w:p>
    <w:p>
      <w:pPr>
        <w:ind w:left="620" w:hanging="361"/>
        <w:spacing w:after="0"/>
        <w:tabs>
          <w:tab w:leader="none" w:pos="6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specified events of bankruptcy, insolvency or reorganization occur.</w:t>
      </w:r>
    </w:p>
    <w:p>
      <w:pPr>
        <w:spacing w:after="0" w:line="16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4"/>
          <w:szCs w:val="14"/>
          <w:color w:val="auto"/>
        </w:rPr>
        <w:t>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trustee or any holder.</w:t>
      </w:r>
    </w:p>
    <w:p>
      <w:pPr>
        <w:spacing w:after="0" w:line="14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w:t>
      </w:r>
    </w:p>
    <w:p>
      <w:pPr>
        <w:spacing w:after="0" w:line="14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4"/>
          <w:szCs w:val="14"/>
          <w:color w:val="auto"/>
        </w:rPr>
        <w:t>Subject to the terms of the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spacing w:after="0" w:line="145" w:lineRule="exact"/>
        <w:rPr>
          <w:sz w:val="20"/>
          <w:szCs w:val="20"/>
          <w:color w:val="auto"/>
        </w:rPr>
      </w:pPr>
    </w:p>
    <w:p>
      <w:pPr>
        <w:ind w:left="620" w:hanging="361"/>
        <w:spacing w:after="0"/>
        <w:tabs>
          <w:tab w:leader="none" w:pos="6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direction so given by the holder is not in conflict with any law or the applicable indenture; and</w:t>
      </w:r>
    </w:p>
    <w:p>
      <w:pPr>
        <w:spacing w:after="0" w:line="167" w:lineRule="exact"/>
        <w:rPr>
          <w:rFonts w:ascii="Times New Roman" w:cs="Times New Roman" w:eastAsia="Times New Roman" w:hAnsi="Times New Roman"/>
          <w:sz w:val="14"/>
          <w:szCs w:val="14"/>
          <w:color w:val="auto"/>
        </w:rPr>
      </w:pPr>
    </w:p>
    <w:p>
      <w:pPr>
        <w:ind w:left="620" w:hanging="361"/>
        <w:spacing w:after="0" w:line="266" w:lineRule="auto"/>
        <w:tabs>
          <w:tab w:leader="none" w:pos="6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its duties under the Trust Indenture Act, the trustee need not take any action that might involve it in personal liability or might be unduly prejudicial to the holders not involved in the proceeding.</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holder of the debt securities of any series will have the right to institute a proceeding under the indenture or to appoint a receiver or trustee, or to seek other remedies only if:</w:t>
      </w:r>
    </w:p>
    <w:p>
      <w:pPr>
        <w:spacing w:after="0" w:line="1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374015</wp:posOffset>
            </wp:positionV>
            <wp:extent cx="719074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783" w:right="319" w:bottom="1440" w:gutter="0" w:footer="0" w:header="0"/>
        </w:sectPr>
      </w:pPr>
    </w:p>
    <w:bookmarkStart w:id="14" w:name="page15"/>
    <w:bookmarkEnd w:id="14"/>
    <w:p>
      <w:pPr>
        <w:ind w:left="620" w:hanging="361"/>
        <w:spacing w:after="0"/>
        <w:tabs>
          <w:tab w:leader="none" w:pos="6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 has given written notice to the trustee of a continuing event of default with respect to that series;</w:t>
      </w:r>
    </w:p>
    <w:p>
      <w:pPr>
        <w:spacing w:after="0" w:line="167" w:lineRule="exact"/>
        <w:rPr>
          <w:rFonts w:ascii="Times New Roman" w:cs="Times New Roman" w:eastAsia="Times New Roman" w:hAnsi="Times New Roman"/>
          <w:sz w:val="14"/>
          <w:szCs w:val="14"/>
          <w:color w:val="auto"/>
        </w:rPr>
      </w:pPr>
    </w:p>
    <w:p>
      <w:pPr>
        <w:ind w:left="620" w:hanging="361"/>
        <w:spacing w:after="0"/>
        <w:tabs>
          <w:tab w:leader="none" w:pos="6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holders of at least 25% in aggregate principal amount of the outstanding debt securities of that series have made written request;</w:t>
      </w:r>
    </w:p>
    <w:p>
      <w:pPr>
        <w:spacing w:after="0" w:line="167" w:lineRule="exact"/>
        <w:rPr>
          <w:rFonts w:ascii="Times New Roman" w:cs="Times New Roman" w:eastAsia="Times New Roman" w:hAnsi="Times New Roman"/>
          <w:sz w:val="14"/>
          <w:szCs w:val="14"/>
          <w:color w:val="auto"/>
        </w:rPr>
      </w:pPr>
    </w:p>
    <w:p>
      <w:pPr>
        <w:ind w:left="620" w:hanging="361"/>
        <w:spacing w:after="0"/>
        <w:tabs>
          <w:tab w:leader="none" w:pos="6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holders have offered to the trustee indemnity satisfactory to it against the costs, expenses and liabilities to be incurred by the trustee in compliance with the request; and</w:t>
      </w:r>
    </w:p>
    <w:p>
      <w:pPr>
        <w:spacing w:after="0" w:line="167" w:lineRule="exact"/>
        <w:rPr>
          <w:rFonts w:ascii="Times New Roman" w:cs="Times New Roman" w:eastAsia="Times New Roman" w:hAnsi="Times New Roman"/>
          <w:sz w:val="14"/>
          <w:szCs w:val="14"/>
          <w:color w:val="auto"/>
        </w:rPr>
      </w:pPr>
    </w:p>
    <w:p>
      <w:pPr>
        <w:ind w:left="620" w:hanging="361"/>
        <w:spacing w:after="0" w:line="266" w:lineRule="auto"/>
        <w:tabs>
          <w:tab w:leader="none" w:pos="6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does not institute the proceeding, and does not receive from the holders of a majority in aggregate principal amount of the outstanding debt securities of that series other conflicting directions within 90 days after the notice, request and offer.</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These limitations do not apply to a suit instituted by a holder of debt securities if we default in the payment of the principal, premium, if any, or interest on, the debt securities.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will periodically file statements with the trustee regarding our compliance with specified covenants in the indenture.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Modification of Indenture; Waiver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and the trustee may change an indenture without the consent of any holders with respect to specific matters:</w:t>
      </w:r>
    </w:p>
    <w:p>
      <w:pPr>
        <w:spacing w:after="0" w:line="167" w:lineRule="exact"/>
        <w:rPr>
          <w:sz w:val="20"/>
          <w:szCs w:val="20"/>
          <w:color w:val="auto"/>
        </w:rPr>
      </w:pPr>
    </w:p>
    <w:p>
      <w:pPr>
        <w:ind w:left="620" w:hanging="361"/>
        <w:spacing w:after="0"/>
        <w:tabs>
          <w:tab w:leader="none" w:pos="6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cure any ambiguity, defect or inconsistency in the indenture or in the debt securities of any series;</w:t>
      </w:r>
    </w:p>
    <w:p>
      <w:pPr>
        <w:spacing w:after="0" w:line="167" w:lineRule="exact"/>
        <w:rPr>
          <w:rFonts w:ascii="Times New Roman" w:cs="Times New Roman" w:eastAsia="Times New Roman" w:hAnsi="Times New Roman"/>
          <w:sz w:val="14"/>
          <w:szCs w:val="14"/>
          <w:color w:val="auto"/>
        </w:rPr>
      </w:pPr>
    </w:p>
    <w:p>
      <w:pPr>
        <w:ind w:left="620" w:hanging="361"/>
        <w:spacing w:after="0"/>
        <w:tabs>
          <w:tab w:leader="none" w:pos="6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comply with the provisions described above under “Description of Debt Securities—Consolidation, Merger or Sale;”</w:t>
      </w:r>
    </w:p>
    <w:p>
      <w:pPr>
        <w:spacing w:after="0" w:line="167" w:lineRule="exact"/>
        <w:rPr>
          <w:rFonts w:ascii="Times New Roman" w:cs="Times New Roman" w:eastAsia="Times New Roman" w:hAnsi="Times New Roman"/>
          <w:sz w:val="14"/>
          <w:szCs w:val="14"/>
          <w:color w:val="auto"/>
        </w:rPr>
      </w:pPr>
    </w:p>
    <w:p>
      <w:pPr>
        <w:ind w:left="620" w:hanging="361"/>
        <w:spacing w:after="0"/>
        <w:tabs>
          <w:tab w:leader="none" w:pos="6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for uncertificated debt securities in addition to or in place of certificated debt securities;</w:t>
      </w:r>
    </w:p>
    <w:p>
      <w:pPr>
        <w:spacing w:after="0" w:line="167" w:lineRule="exact"/>
        <w:rPr>
          <w:rFonts w:ascii="Times New Roman" w:cs="Times New Roman" w:eastAsia="Times New Roman" w:hAnsi="Times New Roman"/>
          <w:sz w:val="14"/>
          <w:szCs w:val="14"/>
          <w:color w:val="auto"/>
        </w:rPr>
      </w:pPr>
    </w:p>
    <w:p>
      <w:pPr>
        <w:jc w:val="both"/>
        <w:ind w:left="620" w:hanging="361"/>
        <w:spacing w:after="0" w:line="255" w:lineRule="auto"/>
        <w:tabs>
          <w:tab w:leader="none" w:pos="6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to our covenants, restrictions, conditions or provisions such new covenants, restrictions, conditions or provisions for the benefit of the holders of all or any series of debt securities, to make the occurrence, or the occurrence and the continuance, of a default in any such additional covenants, restrictions, conditions or provisions an event of default or to surrender any right or power conferred upon us in the indenture;</w:t>
      </w:r>
    </w:p>
    <w:p>
      <w:pPr>
        <w:spacing w:after="0" w:line="143" w:lineRule="exact"/>
        <w:rPr>
          <w:rFonts w:ascii="Times New Roman" w:cs="Times New Roman" w:eastAsia="Times New Roman" w:hAnsi="Times New Roman"/>
          <w:sz w:val="14"/>
          <w:szCs w:val="14"/>
          <w:color w:val="auto"/>
        </w:rPr>
      </w:pPr>
    </w:p>
    <w:p>
      <w:pPr>
        <w:ind w:left="620" w:hanging="361"/>
        <w:spacing w:after="0" w:line="266" w:lineRule="auto"/>
        <w:tabs>
          <w:tab w:leader="none" w:pos="6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to, delete from or revise the conditions, limitations, and restrictions on the authorized amount, terms, or purposes of issue, authentication and delivery of debt securities, as set forth in the indenture;</w:t>
      </w:r>
    </w:p>
    <w:p>
      <w:pPr>
        <w:spacing w:after="0" w:line="135" w:lineRule="exact"/>
        <w:rPr>
          <w:rFonts w:ascii="Times New Roman" w:cs="Times New Roman" w:eastAsia="Times New Roman" w:hAnsi="Times New Roman"/>
          <w:sz w:val="14"/>
          <w:szCs w:val="14"/>
          <w:color w:val="auto"/>
        </w:rPr>
      </w:pPr>
    </w:p>
    <w:p>
      <w:pPr>
        <w:ind w:left="620" w:hanging="361"/>
        <w:spacing w:after="0"/>
        <w:tabs>
          <w:tab w:leader="none" w:pos="6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make any change that does not adversely affect the interests of any holder of debt securities of any series in any material respect;</w:t>
      </w:r>
    </w:p>
    <w:p>
      <w:pPr>
        <w:spacing w:after="0" w:line="167" w:lineRule="exact"/>
        <w:rPr>
          <w:rFonts w:ascii="Times New Roman" w:cs="Times New Roman" w:eastAsia="Times New Roman" w:hAnsi="Times New Roman"/>
          <w:sz w:val="14"/>
          <w:szCs w:val="14"/>
          <w:color w:val="auto"/>
        </w:rPr>
      </w:pPr>
    </w:p>
    <w:p>
      <w:pPr>
        <w:ind w:left="620" w:hanging="361"/>
        <w:spacing w:after="0" w:line="305" w:lineRule="auto"/>
        <w:tabs>
          <w:tab w:leader="none" w:pos="62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provide for the issuance of and establish the form and terms and conditions of the debt securities of any series as provided above under “Description of Debt Securities—General” to establish the form of any certifications required to be furnished pursuant to the terms of the indenture or any series of debt securities, or to add to the rights of the holders of any series of debt securities;</w:t>
      </w:r>
    </w:p>
    <w:p>
      <w:pPr>
        <w:spacing w:after="0" w:line="112" w:lineRule="exact"/>
        <w:rPr>
          <w:rFonts w:ascii="Times New Roman" w:cs="Times New Roman" w:eastAsia="Times New Roman" w:hAnsi="Times New Roman"/>
          <w:sz w:val="13"/>
          <w:szCs w:val="13"/>
          <w:color w:val="auto"/>
        </w:rPr>
      </w:pPr>
    </w:p>
    <w:p>
      <w:pPr>
        <w:ind w:left="620" w:hanging="361"/>
        <w:spacing w:after="0"/>
        <w:tabs>
          <w:tab w:leader="none" w:pos="6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evidence and provide for the acceptance of appointment under any indenture by a successor trustee; or</w:t>
      </w:r>
    </w:p>
    <w:p>
      <w:pPr>
        <w:spacing w:after="0" w:line="167" w:lineRule="exact"/>
        <w:rPr>
          <w:rFonts w:ascii="Times New Roman" w:cs="Times New Roman" w:eastAsia="Times New Roman" w:hAnsi="Times New Roman"/>
          <w:sz w:val="14"/>
          <w:szCs w:val="14"/>
          <w:color w:val="auto"/>
        </w:rPr>
      </w:pPr>
    </w:p>
    <w:p>
      <w:pPr>
        <w:ind w:left="620" w:hanging="361"/>
        <w:spacing w:after="0"/>
        <w:tabs>
          <w:tab w:leader="none" w:pos="6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comply with any requirements of the SEC in connection with the qualification of any indenture under the Trust Indenture Act.</w:t>
      </w:r>
    </w:p>
    <w:p>
      <w:pPr>
        <w:spacing w:after="0" w:line="1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w:t>
      </w:r>
    </w:p>
    <w:p>
      <w:pPr>
        <w:spacing w:after="0" w:line="143" w:lineRule="exact"/>
        <w:rPr>
          <w:sz w:val="20"/>
          <w:szCs w:val="20"/>
          <w:color w:val="auto"/>
        </w:rPr>
      </w:pPr>
    </w:p>
    <w:p>
      <w:pPr>
        <w:ind w:left="620" w:hanging="361"/>
        <w:spacing w:after="0"/>
        <w:tabs>
          <w:tab w:leader="none" w:pos="6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extending the fixed maturity of any debt securities of any series;</w:t>
      </w:r>
    </w:p>
    <w:p>
      <w:pPr>
        <w:spacing w:after="0" w:line="167" w:lineRule="exact"/>
        <w:rPr>
          <w:rFonts w:ascii="Times New Roman" w:cs="Times New Roman" w:eastAsia="Times New Roman" w:hAnsi="Times New Roman"/>
          <w:sz w:val="14"/>
          <w:szCs w:val="14"/>
          <w:color w:val="auto"/>
        </w:rPr>
      </w:pPr>
    </w:p>
    <w:p>
      <w:pPr>
        <w:ind w:left="620" w:hanging="361"/>
        <w:spacing w:after="0"/>
        <w:tabs>
          <w:tab w:leader="none" w:pos="6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reducing the principal amount, reducing the rate of or extending the time of payment of interest, or reducing any premium payable upon the redemption of any series of any debt securities; or</w:t>
      </w:r>
    </w:p>
    <w:p>
      <w:pPr>
        <w:spacing w:after="0" w:line="167" w:lineRule="exact"/>
        <w:rPr>
          <w:rFonts w:ascii="Times New Roman" w:cs="Times New Roman" w:eastAsia="Times New Roman" w:hAnsi="Times New Roman"/>
          <w:sz w:val="14"/>
          <w:szCs w:val="14"/>
          <w:color w:val="auto"/>
        </w:rPr>
      </w:pPr>
    </w:p>
    <w:p>
      <w:pPr>
        <w:ind w:left="620" w:hanging="361"/>
        <w:spacing w:after="0"/>
        <w:tabs>
          <w:tab w:leader="none" w:pos="6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reducing the percentage of debt securities, the holders of which are required to consent to any amendment, supplement, modification or waiver.</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381635</wp:posOffset>
            </wp:positionV>
            <wp:extent cx="719074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947"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color w:val="auto"/>
        </w:rPr>
        <w:t>Discharge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Each indenture provides that we can elect to be discharged from our obligations with respect to one or more series of debt securities, except for specified obligations, including obligations to:</w:t>
      </w:r>
    </w:p>
    <w:p>
      <w:pPr>
        <w:spacing w:after="0" w:line="167" w:lineRule="exact"/>
        <w:rPr>
          <w:sz w:val="20"/>
          <w:szCs w:val="20"/>
          <w:color w:val="auto"/>
        </w:rPr>
      </w:pPr>
    </w:p>
    <w:p>
      <w:pPr>
        <w:ind w:left="620" w:hanging="361"/>
        <w:spacing w:after="0"/>
        <w:tabs>
          <w:tab w:leader="none" w:pos="6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for payment;</w:t>
      </w:r>
    </w:p>
    <w:p>
      <w:pPr>
        <w:spacing w:after="0" w:line="167" w:lineRule="exact"/>
        <w:rPr>
          <w:rFonts w:ascii="Times New Roman" w:cs="Times New Roman" w:eastAsia="Times New Roman" w:hAnsi="Times New Roman"/>
          <w:sz w:val="14"/>
          <w:szCs w:val="14"/>
          <w:color w:val="auto"/>
        </w:rPr>
      </w:pPr>
    </w:p>
    <w:p>
      <w:pPr>
        <w:ind w:left="620" w:hanging="361"/>
        <w:spacing w:after="0"/>
        <w:tabs>
          <w:tab w:leader="none" w:pos="6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register the transfer or exchange of debt securities of the series;</w:t>
      </w:r>
    </w:p>
    <w:p>
      <w:pPr>
        <w:spacing w:after="0" w:line="167" w:lineRule="exact"/>
        <w:rPr>
          <w:rFonts w:ascii="Times New Roman" w:cs="Times New Roman" w:eastAsia="Times New Roman" w:hAnsi="Times New Roman"/>
          <w:sz w:val="14"/>
          <w:szCs w:val="14"/>
          <w:color w:val="auto"/>
        </w:rPr>
      </w:pPr>
    </w:p>
    <w:p>
      <w:pPr>
        <w:ind w:left="620" w:hanging="361"/>
        <w:spacing w:after="0"/>
        <w:tabs>
          <w:tab w:leader="none" w:pos="6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replace stolen, lost or mutilated debt securities of the series;</w:t>
      </w:r>
    </w:p>
    <w:p>
      <w:pPr>
        <w:spacing w:after="0" w:line="167" w:lineRule="exact"/>
        <w:rPr>
          <w:rFonts w:ascii="Times New Roman" w:cs="Times New Roman" w:eastAsia="Times New Roman" w:hAnsi="Times New Roman"/>
          <w:sz w:val="14"/>
          <w:szCs w:val="14"/>
          <w:color w:val="auto"/>
        </w:rPr>
      </w:pPr>
    </w:p>
    <w:p>
      <w:pPr>
        <w:ind w:left="620" w:hanging="361"/>
        <w:spacing w:after="0"/>
        <w:tabs>
          <w:tab w:leader="none" w:pos="6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 principal of and premium and interest on any debt securities of the series;</w:t>
      </w:r>
    </w:p>
    <w:p>
      <w:pPr>
        <w:spacing w:after="0" w:line="167" w:lineRule="exact"/>
        <w:rPr>
          <w:rFonts w:ascii="Times New Roman" w:cs="Times New Roman" w:eastAsia="Times New Roman" w:hAnsi="Times New Roman"/>
          <w:sz w:val="14"/>
          <w:szCs w:val="14"/>
          <w:color w:val="auto"/>
        </w:rPr>
      </w:pPr>
    </w:p>
    <w:p>
      <w:pPr>
        <w:ind w:left="620" w:hanging="361"/>
        <w:spacing w:after="0"/>
        <w:tabs>
          <w:tab w:leader="none" w:pos="6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paying agencies;</w:t>
      </w:r>
    </w:p>
    <w:p>
      <w:pPr>
        <w:spacing w:after="0" w:line="167" w:lineRule="exact"/>
        <w:rPr>
          <w:rFonts w:ascii="Times New Roman" w:cs="Times New Roman" w:eastAsia="Times New Roman" w:hAnsi="Times New Roman"/>
          <w:sz w:val="14"/>
          <w:szCs w:val="14"/>
          <w:color w:val="auto"/>
        </w:rPr>
      </w:pPr>
    </w:p>
    <w:p>
      <w:pPr>
        <w:ind w:left="620" w:hanging="361"/>
        <w:spacing w:after="0"/>
        <w:tabs>
          <w:tab w:leader="none" w:pos="6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hold monies for payment in trust;</w:t>
      </w:r>
    </w:p>
    <w:p>
      <w:pPr>
        <w:spacing w:after="0" w:line="167" w:lineRule="exact"/>
        <w:rPr>
          <w:rFonts w:ascii="Times New Roman" w:cs="Times New Roman" w:eastAsia="Times New Roman" w:hAnsi="Times New Roman"/>
          <w:sz w:val="14"/>
          <w:szCs w:val="14"/>
          <w:color w:val="auto"/>
        </w:rPr>
      </w:pPr>
    </w:p>
    <w:p>
      <w:pPr>
        <w:ind w:left="620" w:hanging="361"/>
        <w:spacing w:after="0"/>
        <w:tabs>
          <w:tab w:leader="none" w:pos="6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recover excess money held by the trustee;</w:t>
      </w:r>
    </w:p>
    <w:p>
      <w:pPr>
        <w:spacing w:after="0" w:line="167" w:lineRule="exact"/>
        <w:rPr>
          <w:rFonts w:ascii="Times New Roman" w:cs="Times New Roman" w:eastAsia="Times New Roman" w:hAnsi="Times New Roman"/>
          <w:sz w:val="14"/>
          <w:szCs w:val="14"/>
          <w:color w:val="auto"/>
        </w:rPr>
      </w:pPr>
    </w:p>
    <w:p>
      <w:pPr>
        <w:ind w:left="620" w:hanging="361"/>
        <w:spacing w:after="0"/>
        <w:tabs>
          <w:tab w:leader="none" w:pos="6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compensate and indemnify the trustee; and</w:t>
      </w:r>
    </w:p>
    <w:p>
      <w:pPr>
        <w:spacing w:after="0" w:line="167" w:lineRule="exact"/>
        <w:rPr>
          <w:rFonts w:ascii="Times New Roman" w:cs="Times New Roman" w:eastAsia="Times New Roman" w:hAnsi="Times New Roman"/>
          <w:sz w:val="14"/>
          <w:szCs w:val="14"/>
          <w:color w:val="auto"/>
        </w:rPr>
      </w:pPr>
    </w:p>
    <w:p>
      <w:pPr>
        <w:ind w:left="620" w:hanging="361"/>
        <w:spacing w:after="0"/>
        <w:tabs>
          <w:tab w:leader="none" w:pos="6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appoint any successor trustee.</w:t>
      </w:r>
    </w:p>
    <w:p>
      <w:pPr>
        <w:spacing w:after="0" w:line="1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In order to exercise our rights to be discharged, we must deposit with the trustee money or government obligations sufficient to pay all the principal of, any premium, if any, and interest on, the debt securities of the series on the dates payments are due.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Form, Exchange and Transfer</w:t>
      </w:r>
    </w:p>
    <w:p>
      <w:pPr>
        <w:spacing w:after="0" w:line="17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4"/>
          <w:szCs w:val="14"/>
          <w:color w:val="auto"/>
        </w:rPr>
        <w:t>We will issue the debt securities of each series only in fully registered form without coupons and, unless we provide otherwise in the applicable prospectus supplement, in denominations of $1,000 and any integral multiple thereof. The indenture provides that we may issue debt securities of a series in temporary or permanent global form and as book-entry securities that will be deposited with, or on behalf of, The Depository Trust Company (“DTC”), or another depositary named by us and identified in the applicable prospectus supplement with respect to that series. To the extent the debt securities of a series are issued in global form and as book-entry, a description of terms relating to any book-entry securities will be set forth in the applicable prospectus supplement.</w:t>
      </w:r>
    </w:p>
    <w:p>
      <w:pPr>
        <w:spacing w:after="0" w:line="14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At the option of the holder, subject to the terms of the indenture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3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4"/>
          <w:szCs w:val="14"/>
          <w:color w:val="auto"/>
        </w:rPr>
        <w:t>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w:t>
      </w:r>
    </w:p>
    <w:p>
      <w:pPr>
        <w:spacing w:after="0" w:line="14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If we elect to redeem the debt securities of any series, we will not be required to:</w:t>
      </w:r>
    </w:p>
    <w:p>
      <w:pPr>
        <w:spacing w:after="0" w:line="167" w:lineRule="exact"/>
        <w:rPr>
          <w:sz w:val="20"/>
          <w:szCs w:val="20"/>
          <w:color w:val="auto"/>
        </w:rPr>
      </w:pPr>
    </w:p>
    <w:p>
      <w:pPr>
        <w:ind w:left="620" w:hanging="361"/>
        <w:spacing w:after="0" w:line="266" w:lineRule="auto"/>
        <w:tabs>
          <w:tab w:leader="none" w:pos="6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135" w:lineRule="exact"/>
        <w:rPr>
          <w:rFonts w:ascii="Times New Roman" w:cs="Times New Roman" w:eastAsia="Times New Roman" w:hAnsi="Times New Roman"/>
          <w:sz w:val="14"/>
          <w:szCs w:val="14"/>
          <w:color w:val="auto"/>
        </w:rPr>
      </w:pPr>
    </w:p>
    <w:p>
      <w:pPr>
        <w:ind w:left="620" w:hanging="361"/>
        <w:spacing w:after="0"/>
        <w:tabs>
          <w:tab w:leader="none" w:pos="6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register the transfer of or exchange any debt securities so selected for redemption, in whole or in part, except the unredeemed portion of any debt securities we are redeeming in part.</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381635</wp:posOffset>
            </wp:positionV>
            <wp:extent cx="719074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779"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color w:val="auto"/>
        </w:rPr>
        <w:t>Information Concerning the Trustee</w:t>
      </w:r>
    </w:p>
    <w:p>
      <w:pPr>
        <w:spacing w:after="0" w:line="17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4"/>
          <w:szCs w:val="14"/>
          <w:color w:val="auto"/>
        </w:rPr>
        <w:t>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it by the indenture at the request of any holder of debt securities unless it is offered reasonable security and indemnity against the costs, expenses and liabilities that it might incur.</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Payment and Paying Agents</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3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Governing Law</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indenture and the debt securities will be governed by and construed in accordance with the internal laws of the State of New York, except to the extent that the Trust Indenture Act is applicable.</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WARRANTS</w:t>
      </w:r>
    </w:p>
    <w:p>
      <w:pPr>
        <w:spacing w:after="0" w:line="17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The following description, together with the additional information we may include in any applicable prospectus supplement and in any related free writing prospectus that we may authorize to be distributed to you, summarizes the material terms and provisions of the warrants that we may offer under this prospectus, which may consist of warrants to purchase common shares, preferred shares or debt securities and may be issued in one or more series. Warrants may be offered independently or in combination with common shares, preferred shares or debt securities offered by any prospectus supplement. While the terms we have summarized below will apply generally to any warrants that we may offer under this prospectus, we will describe the particular terms of any series of warrants in more detail in the applicable prospectus supplement. The following description of warrants will apply to the warrants offered by this prospectus unless we provide otherwise in the applicable prospectus supplement. The applicable prospectus supplement for a particular series of warrants may specify different or additional terms.</w:t>
      </w:r>
    </w:p>
    <w:p>
      <w:pPr>
        <w:spacing w:after="0" w:line="14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We will file as exhibits to the registration statement of which this prospectus is a part, or will incorporate by reference from reports that we file with the SEC, the form of warrant or the warrant agreement and warrant certificate, as applicable, that contain the terms of the particular series of warrants we are offering, as well as any supplemental agreements, before the issuance of such warrants. The following summaries of material terms and provisions of the warrants are subject to, and qualified in their entirety by reference to, all the provisions of the form of warrant or the warrant agreement and warrant certificate, as applicable, and any supplemental agreements applicable to a particular series of warrants that we may offer under this prospectus. We urge you to read the applicable prospectus supplement related to the particular series of warrants that we may offer under this prospectus, as well as any related free writing prospectus, and the complete form of warrant or the warrant agreement and warrant certificate, as applicable, and any supplemental agreements, that list the terms of the warrants.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the applicable prospectus supplement, we will describe the terms of the series of warrants being offered, including, to the extent applicable:</w:t>
      </w:r>
    </w:p>
    <w:p>
      <w:pPr>
        <w:spacing w:after="0" w:line="167" w:lineRule="exact"/>
        <w:rPr>
          <w:sz w:val="20"/>
          <w:szCs w:val="20"/>
          <w:color w:val="auto"/>
        </w:rPr>
      </w:pPr>
    </w:p>
    <w:p>
      <w:pPr>
        <w:ind w:left="620" w:hanging="361"/>
        <w:spacing w:after="0"/>
        <w:tabs>
          <w:tab w:leader="none" w:pos="6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offering price and aggregate number of warrants offered;</w:t>
      </w:r>
    </w:p>
    <w:p>
      <w:pPr>
        <w:spacing w:after="0" w:line="167" w:lineRule="exact"/>
        <w:rPr>
          <w:rFonts w:ascii="Times New Roman" w:cs="Times New Roman" w:eastAsia="Times New Roman" w:hAnsi="Times New Roman"/>
          <w:sz w:val="14"/>
          <w:szCs w:val="14"/>
          <w:color w:val="auto"/>
        </w:rPr>
      </w:pPr>
    </w:p>
    <w:p>
      <w:pPr>
        <w:ind w:left="620" w:hanging="361"/>
        <w:spacing w:after="0"/>
        <w:tabs>
          <w:tab w:leader="none" w:pos="6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for which the warrants may be purchased;</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374015</wp:posOffset>
            </wp:positionV>
            <wp:extent cx="719074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779" w:right="319" w:bottom="1440" w:gutter="0" w:footer="0" w:header="0"/>
        </w:sectPr>
      </w:pPr>
    </w:p>
    <w:bookmarkStart w:id="17" w:name="page18"/>
    <w:bookmarkEnd w:id="17"/>
    <w:p>
      <w:pPr>
        <w:ind w:left="620" w:hanging="361"/>
        <w:spacing w:after="0"/>
        <w:tabs>
          <w:tab w:leader="none" w:pos="6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and terms of the securities with which the warrants are issued and the number of warrants issued with each such security or each principal amount of such security;</w:t>
      </w:r>
    </w:p>
    <w:p>
      <w:pPr>
        <w:spacing w:after="0" w:line="167" w:lineRule="exact"/>
        <w:rPr>
          <w:rFonts w:ascii="Times New Roman" w:cs="Times New Roman" w:eastAsia="Times New Roman" w:hAnsi="Times New Roman"/>
          <w:sz w:val="14"/>
          <w:szCs w:val="14"/>
          <w:color w:val="auto"/>
        </w:rPr>
      </w:pPr>
    </w:p>
    <w:p>
      <w:pPr>
        <w:ind w:left="620" w:hanging="361"/>
        <w:spacing w:after="0" w:line="266" w:lineRule="auto"/>
        <w:tabs>
          <w:tab w:leader="none" w:pos="6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warrants to purchase debt securities, the principal amount of debt securities purchasable upon exercise of one warrant and the price at, and currency in which, this principal amount of debt securities may be purchased on such exercise;</w:t>
      </w:r>
    </w:p>
    <w:p>
      <w:pPr>
        <w:spacing w:after="0" w:line="135" w:lineRule="exact"/>
        <w:rPr>
          <w:rFonts w:ascii="Times New Roman" w:cs="Times New Roman" w:eastAsia="Times New Roman" w:hAnsi="Times New Roman"/>
          <w:sz w:val="14"/>
          <w:szCs w:val="14"/>
          <w:color w:val="auto"/>
        </w:rPr>
      </w:pPr>
    </w:p>
    <w:p>
      <w:pPr>
        <w:ind w:left="620" w:hanging="361"/>
        <w:spacing w:after="0" w:line="266" w:lineRule="auto"/>
        <w:tabs>
          <w:tab w:leader="none" w:pos="6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warrants to purchase common shares or preferred shares, the number of common shares or preferred shares, as the case may be, purchasable upon the exercise of one warrant and the price at which these shares may be purchased on such exercise;</w:t>
      </w:r>
    </w:p>
    <w:p>
      <w:pPr>
        <w:spacing w:after="0" w:line="135" w:lineRule="exact"/>
        <w:rPr>
          <w:rFonts w:ascii="Times New Roman" w:cs="Times New Roman" w:eastAsia="Times New Roman" w:hAnsi="Times New Roman"/>
          <w:sz w:val="14"/>
          <w:szCs w:val="14"/>
          <w:color w:val="auto"/>
        </w:rPr>
      </w:pPr>
    </w:p>
    <w:p>
      <w:pPr>
        <w:ind w:left="620" w:hanging="361"/>
        <w:spacing w:after="0"/>
        <w:tabs>
          <w:tab w:leader="none" w:pos="6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 of any merger, consolidation, sale or other disposition of our business on the warrant agreements and the warrants;</w:t>
      </w:r>
    </w:p>
    <w:p>
      <w:pPr>
        <w:spacing w:after="0" w:line="167" w:lineRule="exact"/>
        <w:rPr>
          <w:rFonts w:ascii="Times New Roman" w:cs="Times New Roman" w:eastAsia="Times New Roman" w:hAnsi="Times New Roman"/>
          <w:sz w:val="14"/>
          <w:szCs w:val="14"/>
          <w:color w:val="auto"/>
        </w:rPr>
      </w:pPr>
    </w:p>
    <w:p>
      <w:pPr>
        <w:ind w:left="620" w:hanging="361"/>
        <w:spacing w:after="0"/>
        <w:tabs>
          <w:tab w:leader="none" w:pos="6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any rights to redeem or call the warrants;</w:t>
      </w:r>
    </w:p>
    <w:p>
      <w:pPr>
        <w:spacing w:after="0" w:line="167" w:lineRule="exact"/>
        <w:rPr>
          <w:rFonts w:ascii="Times New Roman" w:cs="Times New Roman" w:eastAsia="Times New Roman" w:hAnsi="Times New Roman"/>
          <w:sz w:val="14"/>
          <w:szCs w:val="14"/>
          <w:color w:val="auto"/>
        </w:rPr>
      </w:pPr>
    </w:p>
    <w:p>
      <w:pPr>
        <w:ind w:left="620" w:hanging="361"/>
        <w:spacing w:after="0"/>
        <w:tabs>
          <w:tab w:leader="none" w:pos="6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any rights to force the exercise of the warrants;</w:t>
      </w:r>
    </w:p>
    <w:p>
      <w:pPr>
        <w:spacing w:after="0" w:line="167" w:lineRule="exact"/>
        <w:rPr>
          <w:rFonts w:ascii="Times New Roman" w:cs="Times New Roman" w:eastAsia="Times New Roman" w:hAnsi="Times New Roman"/>
          <w:sz w:val="14"/>
          <w:szCs w:val="14"/>
          <w:color w:val="auto"/>
        </w:rPr>
      </w:pPr>
    </w:p>
    <w:p>
      <w:pPr>
        <w:ind w:left="620" w:hanging="361"/>
        <w:spacing w:after="0"/>
        <w:tabs>
          <w:tab w:leader="none" w:pos="6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for changes to or adjustments in the exercise price or number of securities issuable upon exercise of the warrants;</w:t>
      </w:r>
    </w:p>
    <w:p>
      <w:pPr>
        <w:spacing w:after="0" w:line="167" w:lineRule="exact"/>
        <w:rPr>
          <w:rFonts w:ascii="Times New Roman" w:cs="Times New Roman" w:eastAsia="Times New Roman" w:hAnsi="Times New Roman"/>
          <w:sz w:val="14"/>
          <w:szCs w:val="14"/>
          <w:color w:val="auto"/>
        </w:rPr>
      </w:pPr>
    </w:p>
    <w:p>
      <w:pPr>
        <w:ind w:left="620" w:hanging="361"/>
        <w:spacing w:after="0"/>
        <w:tabs>
          <w:tab w:leader="none" w:pos="6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dates on which the right to exercise the warrants will commence and expire;</w:t>
      </w:r>
    </w:p>
    <w:p>
      <w:pPr>
        <w:spacing w:after="0" w:line="167" w:lineRule="exact"/>
        <w:rPr>
          <w:rFonts w:ascii="Times New Roman" w:cs="Times New Roman" w:eastAsia="Times New Roman" w:hAnsi="Times New Roman"/>
          <w:sz w:val="14"/>
          <w:szCs w:val="14"/>
          <w:color w:val="auto"/>
        </w:rPr>
      </w:pPr>
    </w:p>
    <w:p>
      <w:pPr>
        <w:ind w:left="620" w:hanging="361"/>
        <w:spacing w:after="0"/>
        <w:tabs>
          <w:tab w:leader="none" w:pos="6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manner in which the warrant agreements and warrants may be modified;</w:t>
      </w:r>
    </w:p>
    <w:p>
      <w:pPr>
        <w:spacing w:after="0" w:line="167" w:lineRule="exact"/>
        <w:rPr>
          <w:rFonts w:ascii="Times New Roman" w:cs="Times New Roman" w:eastAsia="Times New Roman" w:hAnsi="Times New Roman"/>
          <w:sz w:val="14"/>
          <w:szCs w:val="14"/>
          <w:color w:val="auto"/>
        </w:rPr>
      </w:pPr>
    </w:p>
    <w:p>
      <w:pPr>
        <w:ind w:left="620" w:hanging="361"/>
        <w:spacing w:after="0"/>
        <w:tabs>
          <w:tab w:leader="none" w:pos="6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discussion of material or special U.S. federal income tax consequences of holding or exercising the warrants;</w:t>
      </w:r>
    </w:p>
    <w:p>
      <w:pPr>
        <w:spacing w:after="0" w:line="167" w:lineRule="exact"/>
        <w:rPr>
          <w:rFonts w:ascii="Times New Roman" w:cs="Times New Roman" w:eastAsia="Times New Roman" w:hAnsi="Times New Roman"/>
          <w:sz w:val="14"/>
          <w:szCs w:val="14"/>
          <w:color w:val="auto"/>
        </w:rPr>
      </w:pPr>
    </w:p>
    <w:p>
      <w:pPr>
        <w:ind w:left="620" w:hanging="361"/>
        <w:spacing w:after="0"/>
        <w:tabs>
          <w:tab w:leader="none" w:pos="6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the securities issuable upon exercise of the warrants; and</w:t>
      </w:r>
    </w:p>
    <w:p>
      <w:pPr>
        <w:spacing w:after="0" w:line="167" w:lineRule="exact"/>
        <w:rPr>
          <w:rFonts w:ascii="Times New Roman" w:cs="Times New Roman" w:eastAsia="Times New Roman" w:hAnsi="Times New Roman"/>
          <w:sz w:val="14"/>
          <w:szCs w:val="14"/>
          <w:color w:val="auto"/>
        </w:rPr>
      </w:pPr>
    </w:p>
    <w:p>
      <w:pPr>
        <w:ind w:left="620" w:hanging="361"/>
        <w:spacing w:after="0"/>
        <w:tabs>
          <w:tab w:leader="none" w:pos="6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specific terms, preferences, rights or limitations of or restrictions on the warrants.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Before exercising their warrants, holders of warrants will not have any of the rights of holders of the securities purchasable upon such exercise, including:</w:t>
      </w:r>
    </w:p>
    <w:p>
      <w:pPr>
        <w:spacing w:after="0" w:line="167" w:lineRule="exact"/>
        <w:rPr>
          <w:sz w:val="20"/>
          <w:szCs w:val="20"/>
          <w:color w:val="auto"/>
        </w:rPr>
      </w:pPr>
    </w:p>
    <w:p>
      <w:pPr>
        <w:ind w:left="620" w:hanging="361"/>
        <w:spacing w:after="0" w:line="266" w:lineRule="auto"/>
        <w:tabs>
          <w:tab w:leader="none" w:pos="6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warrants to purchase common shares or preferred shares, the right to receive dividends, if any, or payments upon our liquidation, dissolution or winding up or to exercise voting rights, if any; or</w:t>
      </w:r>
    </w:p>
    <w:p>
      <w:pPr>
        <w:spacing w:after="0" w:line="135" w:lineRule="exact"/>
        <w:rPr>
          <w:rFonts w:ascii="Times New Roman" w:cs="Times New Roman" w:eastAsia="Times New Roman" w:hAnsi="Times New Roman"/>
          <w:sz w:val="14"/>
          <w:szCs w:val="14"/>
          <w:color w:val="auto"/>
        </w:rPr>
      </w:pPr>
    </w:p>
    <w:p>
      <w:pPr>
        <w:ind w:left="620" w:hanging="361"/>
        <w:spacing w:after="0" w:line="266" w:lineRule="auto"/>
        <w:tabs>
          <w:tab w:leader="none" w:pos="6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warrants to purchase debt securities, the right to receive payments of principal of, or premium, if any, or interest on, the debt securities purchasable on exercise or to enforce covenants in the applicable indenture.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Exercise of Warrants</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Each warrant will entitle the holder to purchase the securities that we specify in the applicable prospectus supplement at the exercise price that we describe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spacing w:after="0" w:line="14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4"/>
          <w:szCs w:val="14"/>
          <w:color w:val="auto"/>
        </w:rPr>
        <w:t>Unless we otherwise specify in the applicable prospectus supplement, holders of the warrants may exercise the warrants by delivering the warrant certificate representing the warrants to be exercised together with specified information, and paying the required amount to the warrant agent in immediately available funds, as provided in the applicable prospectus supplement. We will set forth on the reverse side of the warrant certificate and in the applicable prospectus supplement the information that the holder of the warrant will be required to deliver to the warrant agent in connection with the exercise of the warrant.</w:t>
      </w:r>
    </w:p>
    <w:p>
      <w:pPr>
        <w:spacing w:after="0" w:line="14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4"/>
          <w:szCs w:val="14"/>
          <w:color w:val="auto"/>
        </w:rPr>
        <w:t>Upon receipt of the required payment and the warrant or warrant certificate, as applicable, properly completed and duly executed at the corporate trust office of the warrant agent, if any, or any other office indicated in the applicable prospectus supplement, we will issue and deliver the securities purchasable upon such exercise. If fewer than all of the warrants or the warrants represented by the warrant certificate are exercised, then we will issue a new warrant or warrant certificate, as applicable, for the remaining number of warrants. If we so indicate in the applicable prospectus supplement, holders of the warrants may surrender securities as all or part of the exercise price for warrants.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Governing Law</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381635</wp:posOffset>
            </wp:positionV>
            <wp:extent cx="719074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947" w:right="319" w:bottom="1440" w:gutter="0" w:footer="0" w:header="0"/>
        </w:sectPr>
      </w:pPr>
    </w:p>
    <w:bookmarkStart w:id="18" w:name="page19"/>
    <w:bookmarkEnd w:id="18"/>
    <w:p>
      <w:pPr>
        <w:jc w:val="both"/>
        <w:spacing w:after="0" w:line="266" w:lineRule="auto"/>
        <w:rPr>
          <w:sz w:val="20"/>
          <w:szCs w:val="20"/>
          <w:color w:val="auto"/>
        </w:rPr>
      </w:pPr>
      <w:r>
        <w:rPr>
          <w:rFonts w:ascii="Times New Roman" w:cs="Times New Roman" w:eastAsia="Times New Roman" w:hAnsi="Times New Roman"/>
          <w:sz w:val="14"/>
          <w:szCs w:val="14"/>
          <w:color w:val="auto"/>
        </w:rPr>
        <w:t>Unless we provide otherwise in the applicable prospectus supplement, the warrants and warrant agreements, and any claim, controversy or dispute arising under or related to the warrants or warrant agreements, will be governed by and construed in accordance with the laws of the State of New York.</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Enforceability of Rights by Holders of Warrants</w:t>
      </w:r>
    </w:p>
    <w:p>
      <w:pPr>
        <w:spacing w:after="0" w:line="17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4"/>
          <w:szCs w:val="14"/>
          <w:color w:val="auto"/>
        </w:rPr>
        <w:t>Each warrant agent, if any,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LEGAL OWNERSHIP OF SECURITIES</w:t>
      </w:r>
    </w:p>
    <w:p>
      <w:pPr>
        <w:spacing w:after="0" w:line="17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4"/>
          <w:szCs w:val="14"/>
          <w:color w:val="auto"/>
        </w:rPr>
        <w:t>We can issue securities in registered form or in the form of one or more global securities. We describe global securities in greater detail below. We refer to those persons who have securities registered in their own names on the books that we or any applicable trustee or depositary maintain for this purpose as the “holders” of those securities. These persons are the legal holders of the securities. We refer to those persons who, indirectly through others, own beneficial interests in securities that are not registered in their own names, as “indirect holders” of those securities. As we discuss below, indirect holders are not legal holders, and investors in securities issued in book-entry form or in street name will be indirect holders.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Book-Entry Holders</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We may issue securities in book-entry form only, as we will specify in the applicable prospectus supplement. This means securities may be represented by one or more global securities registered in the name of a financial institution that holds them as depositary on behalf of other financial institutions that participate in the depositary’s book-entry system. These participating institutions, which are referred to as participants, in turn, hold beneficial interests in the securities on behalf of themselves or their customers.</w:t>
      </w:r>
    </w:p>
    <w:p>
      <w:pPr>
        <w:spacing w:after="0" w:line="14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4"/>
          <w:szCs w:val="14"/>
          <w:color w:val="auto"/>
        </w:rPr>
        <w:t>Only the person in whose name a security is registered is recognized as the holder of that security. Global securities will be registered in the name of the depositary or its participants. Consequently, for global securities, we will recognize only the depositary as the holder of the securities, and we will make all payments on the securities to the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w:t>
      </w:r>
    </w:p>
    <w:p>
      <w:pPr>
        <w:spacing w:after="0" w:line="145"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3"/>
          <w:szCs w:val="13"/>
          <w:color w:val="auto"/>
        </w:rPr>
        <w:t>As a result, investors in a global security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holders, and not legal holders, of the securities.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Street Name Holders</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We may terminate a global security or issue securities that are not issued in global form. In these cases, investors may choose to hold their securities in their own names or in “street name.” Securities held by an investor in street name would be registered in the name of a bank, broker or other financial institution that the investor chooses, and the investor would hold only a beneficial interest in those securities through an account he or she maintains at that institution.</w:t>
      </w:r>
    </w:p>
    <w:p>
      <w:pPr>
        <w:spacing w:after="0" w:line="14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4"/>
          <w:szCs w:val="14"/>
          <w:color w:val="auto"/>
        </w:rPr>
        <w:t>For securities held in street name, we or any applicable trustee or depositary will recognize only the intermediary banks, brokers and other financial institutions in whose names the securities are registered as the holders of those securities, and we or any such trustee or depositary will make all payments on those securities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holders, not holders, of those securities.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Legal Holders</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Our obligations, as well as the obligations of any applicable trustee or third party employed by us or a trustee, run only to the legal holders of the securities. We do not have obligations to investors who hold beneficial interests in global securities, in street name or by any other indirect means. This will be the case whether an investor chooses to be an indirect holder of a security or has no choice because we are issuing the securities only in global form.</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381635</wp:posOffset>
            </wp:positionV>
            <wp:extent cx="719074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783" w:right="319" w:bottom="1440" w:gutter="0" w:footer="0" w:header="0"/>
        </w:sectPr>
      </w:pPr>
    </w:p>
    <w:bookmarkStart w:id="19" w:name="page20"/>
    <w:bookmarkEnd w:id="19"/>
    <w:p>
      <w:pPr>
        <w:jc w:val="both"/>
        <w:spacing w:after="0" w:line="252" w:lineRule="auto"/>
        <w:rPr>
          <w:sz w:val="20"/>
          <w:szCs w:val="20"/>
          <w:color w:val="auto"/>
        </w:rPr>
      </w:pPr>
      <w:r>
        <w:rPr>
          <w:rFonts w:ascii="Times New Roman" w:cs="Times New Roman" w:eastAsia="Times New Roman" w:hAnsi="Times New Roman"/>
          <w:sz w:val="14"/>
          <w:szCs w:val="14"/>
          <w:color w:val="auto"/>
        </w:rPr>
        <w:t>For example, once we make a payment or give a notice to the legal holder, we have no further responsibility for the payment or notice even if that legal holder is required, under agreements with its participants or customers or by law, to pass it along to the indirect holders but does not do so. Similarly, we may want to obtain the approval of the holders to amend an indenture, to relieve us of the consequences of a default or of our obligation to comply with a particular provision of an indenture, or for other purposes. In such an event, we would seek approval only from the legal holders, and not the indirect holders, of the securities. Whether and how the legal holders contact the indirect holders is up to the legal holders.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Special Considerations for Indirect Holders</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If you hold securities through a bank, broker or other financial institution, either in book-entry form because the securities are represented by one or more global securities or in street name, you should check with your own institution to find out:</w:t>
      </w:r>
    </w:p>
    <w:p>
      <w:pPr>
        <w:spacing w:after="0" w:line="136" w:lineRule="exact"/>
        <w:rPr>
          <w:sz w:val="20"/>
          <w:szCs w:val="20"/>
          <w:color w:val="auto"/>
        </w:rPr>
      </w:pPr>
    </w:p>
    <w:p>
      <w:pPr>
        <w:ind w:left="620" w:hanging="361"/>
        <w:spacing w:after="0"/>
        <w:tabs>
          <w:tab w:leader="none" w:pos="6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how it handles securities payments and notices;</w:t>
      </w:r>
    </w:p>
    <w:p>
      <w:pPr>
        <w:spacing w:after="0" w:line="167" w:lineRule="exact"/>
        <w:rPr>
          <w:rFonts w:ascii="Times New Roman" w:cs="Times New Roman" w:eastAsia="Times New Roman" w:hAnsi="Times New Roman"/>
          <w:sz w:val="14"/>
          <w:szCs w:val="14"/>
          <w:color w:val="auto"/>
        </w:rPr>
      </w:pPr>
    </w:p>
    <w:p>
      <w:pPr>
        <w:ind w:left="620" w:hanging="361"/>
        <w:spacing w:after="0"/>
        <w:tabs>
          <w:tab w:leader="none" w:pos="6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it imposes fees or charges;</w:t>
      </w:r>
    </w:p>
    <w:p>
      <w:pPr>
        <w:spacing w:after="0" w:line="167" w:lineRule="exact"/>
        <w:rPr>
          <w:rFonts w:ascii="Times New Roman" w:cs="Times New Roman" w:eastAsia="Times New Roman" w:hAnsi="Times New Roman"/>
          <w:sz w:val="14"/>
          <w:szCs w:val="14"/>
          <w:color w:val="auto"/>
        </w:rPr>
      </w:pPr>
    </w:p>
    <w:p>
      <w:pPr>
        <w:ind w:left="620" w:hanging="361"/>
        <w:spacing w:after="0"/>
        <w:tabs>
          <w:tab w:leader="none" w:pos="6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how it would handle a request for the holders’ consent, if ever required;</w:t>
      </w:r>
    </w:p>
    <w:p>
      <w:pPr>
        <w:spacing w:after="0" w:line="167" w:lineRule="exact"/>
        <w:rPr>
          <w:rFonts w:ascii="Times New Roman" w:cs="Times New Roman" w:eastAsia="Times New Roman" w:hAnsi="Times New Roman"/>
          <w:sz w:val="14"/>
          <w:szCs w:val="14"/>
          <w:color w:val="auto"/>
        </w:rPr>
      </w:pPr>
    </w:p>
    <w:p>
      <w:pPr>
        <w:ind w:left="620" w:hanging="361"/>
        <w:spacing w:after="0"/>
        <w:tabs>
          <w:tab w:leader="none" w:pos="6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and how you can instruct it to send you securities registered in your own name so you can be a holder, if that is permitted in the future;</w:t>
      </w:r>
    </w:p>
    <w:p>
      <w:pPr>
        <w:spacing w:after="0" w:line="167" w:lineRule="exact"/>
        <w:rPr>
          <w:rFonts w:ascii="Times New Roman" w:cs="Times New Roman" w:eastAsia="Times New Roman" w:hAnsi="Times New Roman"/>
          <w:sz w:val="14"/>
          <w:szCs w:val="14"/>
          <w:color w:val="auto"/>
        </w:rPr>
      </w:pPr>
    </w:p>
    <w:p>
      <w:pPr>
        <w:ind w:left="620" w:hanging="361"/>
        <w:spacing w:after="0"/>
        <w:tabs>
          <w:tab w:leader="none" w:pos="6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how it would exercise rights under the securities if there were a default or other event triggering the need for holders to act to protect their interests; and</w:t>
      </w:r>
    </w:p>
    <w:p>
      <w:pPr>
        <w:spacing w:after="0" w:line="167" w:lineRule="exact"/>
        <w:rPr>
          <w:rFonts w:ascii="Times New Roman" w:cs="Times New Roman" w:eastAsia="Times New Roman" w:hAnsi="Times New Roman"/>
          <w:sz w:val="14"/>
          <w:szCs w:val="14"/>
          <w:color w:val="auto"/>
        </w:rPr>
      </w:pPr>
    </w:p>
    <w:p>
      <w:pPr>
        <w:ind w:left="620" w:hanging="361"/>
        <w:spacing w:after="0"/>
        <w:tabs>
          <w:tab w:leader="none" w:pos="6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securities are in book-entry form, how the depositary’s rules and procedures will affect these matters.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Global Securities</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A global security is a security that represents one or any other number of individual securities held by a depositary. Generally, all securities represented by the same global securities will have the same terms.</w:t>
      </w:r>
    </w:p>
    <w:p>
      <w:pPr>
        <w:spacing w:after="0" w:line="13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Each security issued in book-entry form will be represented by a global security that we issue to, deposit with and register in the name of a financial institution or its nominee that we select. The financial institution that we select for this purpose is called the depositary. Unless we specify otherwise in the applicable prospectus supplement, the DTC will be the depositary for all securities issued in book-entry form.</w:t>
      </w:r>
    </w:p>
    <w:p>
      <w:pPr>
        <w:spacing w:after="0" w:line="1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A global security may not be transferred to or registered in the name of anyone other than the depositary, its nominee or a successor depositary, unless special termination situations arise. We describe those situations below under “—Special Situations When a Global Security Will Be Terminated.” As a result of these arrangements, the depositary, or its nominee, will be the sole registered owner and legal holder of all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does. Thus, an investor whose security is represented by a global security will not be a legal holder of the security, but only an indirect holder of a beneficial interest in the global security.</w:t>
      </w:r>
    </w:p>
    <w:p>
      <w:pPr>
        <w:spacing w:after="0" w:line="1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If the prospectus supplement for a particular security indicates that the security will be issued as a global security, then the security will be represented by a global security at all times unless and until the global security is terminated. If termination occurs, we may issue the securities through another book-entry clearing system or decide that the securities may no longer be held through any book-entry clearing system.</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Special Considerations for Global Securities</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As an indirect holder, an investor’s rights relating to a global security will be governed by the account rules of the investor’s financial institution and of the depositary, as well as general laws relating to securities transfers.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do not recognize an indirect holder as a holder of securities and instead deal only with the depositary that holds the global security.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If securities are issued only as global securities, an investor should be aware of the following:</w:t>
      </w:r>
    </w:p>
    <w:p>
      <w:pPr>
        <w:spacing w:after="0" w:line="167" w:lineRule="exact"/>
        <w:rPr>
          <w:sz w:val="20"/>
          <w:szCs w:val="20"/>
          <w:color w:val="auto"/>
        </w:rPr>
      </w:pPr>
    </w:p>
    <w:p>
      <w:pPr>
        <w:ind w:left="620" w:hanging="361"/>
        <w:spacing w:after="0" w:line="253" w:lineRule="auto"/>
        <w:tabs>
          <w:tab w:leader="none" w:pos="6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investor cannot cause the securities to be registered in his or her name, and cannot obtain non-global certificates for his or her interest in the securities, except in the special situations we describe below;</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374015</wp:posOffset>
            </wp:positionV>
            <wp:extent cx="719074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783" w:right="319" w:bottom="1440" w:gutter="0" w:footer="0" w:header="0"/>
        </w:sectPr>
      </w:pPr>
    </w:p>
    <w:bookmarkStart w:id="20" w:name="page21"/>
    <w:bookmarkEnd w:id="20"/>
    <w:p>
      <w:pPr>
        <w:ind w:left="620" w:hanging="361"/>
        <w:spacing w:after="0" w:line="266" w:lineRule="auto"/>
        <w:tabs>
          <w:tab w:leader="none" w:pos="6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investor will be an indirect holder and must look to his or her own bank or broker for payments on the securities and protection of his or her legal rights relating to the securities, as we describe above;</w:t>
      </w:r>
    </w:p>
    <w:p>
      <w:pPr>
        <w:spacing w:after="0" w:line="135" w:lineRule="exact"/>
        <w:rPr>
          <w:rFonts w:ascii="Times New Roman" w:cs="Times New Roman" w:eastAsia="Times New Roman" w:hAnsi="Times New Roman"/>
          <w:sz w:val="14"/>
          <w:szCs w:val="14"/>
          <w:color w:val="auto"/>
        </w:rPr>
      </w:pPr>
    </w:p>
    <w:p>
      <w:pPr>
        <w:ind w:left="620" w:hanging="361"/>
        <w:spacing w:after="0"/>
        <w:tabs>
          <w:tab w:leader="none" w:pos="6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investor may not be able to sell interests in the securities to some insurance companies and to other institutions that are required by law to own their securities in non-book-entry form;</w:t>
      </w:r>
    </w:p>
    <w:p>
      <w:pPr>
        <w:spacing w:after="0" w:line="167" w:lineRule="exact"/>
        <w:rPr>
          <w:rFonts w:ascii="Times New Roman" w:cs="Times New Roman" w:eastAsia="Times New Roman" w:hAnsi="Times New Roman"/>
          <w:sz w:val="14"/>
          <w:szCs w:val="14"/>
          <w:color w:val="auto"/>
        </w:rPr>
      </w:pPr>
    </w:p>
    <w:p>
      <w:pPr>
        <w:ind w:left="620" w:hanging="361"/>
        <w:spacing w:after="0" w:line="266" w:lineRule="auto"/>
        <w:tabs>
          <w:tab w:leader="none" w:pos="6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investor may not be able to pledge his or her interest in the global security in circumstances where certificates representing the securities must be delivered to the lender or other beneficiary of the pledge in order for the pledge to be effective;</w:t>
      </w:r>
    </w:p>
    <w:p>
      <w:pPr>
        <w:spacing w:after="0" w:line="135" w:lineRule="exact"/>
        <w:rPr>
          <w:rFonts w:ascii="Times New Roman" w:cs="Times New Roman" w:eastAsia="Times New Roman" w:hAnsi="Times New Roman"/>
          <w:sz w:val="14"/>
          <w:szCs w:val="14"/>
          <w:color w:val="auto"/>
        </w:rPr>
      </w:pPr>
    </w:p>
    <w:p>
      <w:pPr>
        <w:ind w:left="620" w:hanging="361"/>
        <w:spacing w:after="0"/>
        <w:tabs>
          <w:tab w:leader="none" w:pos="6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depositary’s policies, which may change from time to time, will govern payments, transfers, exchanges and other matters relating to an investor’s interest in the global security;</w:t>
      </w:r>
    </w:p>
    <w:p>
      <w:pPr>
        <w:spacing w:after="0" w:line="167" w:lineRule="exact"/>
        <w:rPr>
          <w:rFonts w:ascii="Times New Roman" w:cs="Times New Roman" w:eastAsia="Times New Roman" w:hAnsi="Times New Roman"/>
          <w:sz w:val="14"/>
          <w:szCs w:val="14"/>
          <w:color w:val="auto"/>
        </w:rPr>
      </w:pPr>
    </w:p>
    <w:p>
      <w:pPr>
        <w:ind w:left="620" w:hanging="361"/>
        <w:spacing w:after="0" w:line="266" w:lineRule="auto"/>
        <w:tabs>
          <w:tab w:leader="none" w:pos="6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and any applicable trustee have no responsibility for any aspect of the depositary’s actions or for its records of ownership interests in the global security, nor will we or any applicable trustee supervise the depositary in any way;</w:t>
      </w:r>
    </w:p>
    <w:p>
      <w:pPr>
        <w:spacing w:after="0" w:line="135" w:lineRule="exact"/>
        <w:rPr>
          <w:rFonts w:ascii="Times New Roman" w:cs="Times New Roman" w:eastAsia="Times New Roman" w:hAnsi="Times New Roman"/>
          <w:sz w:val="14"/>
          <w:szCs w:val="14"/>
          <w:color w:val="auto"/>
        </w:rPr>
      </w:pPr>
    </w:p>
    <w:p>
      <w:pPr>
        <w:ind w:left="620" w:hanging="361"/>
        <w:spacing w:after="0" w:line="266" w:lineRule="auto"/>
        <w:tabs>
          <w:tab w:leader="none" w:pos="6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depositary may, and we understand that the DTC will, require that those who purchase and sell interests in the global security within its book-entry system use immediately available funds, and your broker or bank may require you to do so as well; and</w:t>
      </w:r>
    </w:p>
    <w:p>
      <w:pPr>
        <w:spacing w:after="0" w:line="135" w:lineRule="exact"/>
        <w:rPr>
          <w:rFonts w:ascii="Times New Roman" w:cs="Times New Roman" w:eastAsia="Times New Roman" w:hAnsi="Times New Roman"/>
          <w:sz w:val="14"/>
          <w:szCs w:val="14"/>
          <w:color w:val="auto"/>
        </w:rPr>
      </w:pPr>
    </w:p>
    <w:p>
      <w:pPr>
        <w:ind w:left="620" w:hanging="361"/>
        <w:spacing w:after="0" w:line="266" w:lineRule="auto"/>
        <w:tabs>
          <w:tab w:leader="none" w:pos="6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financial institutions that participate in the depositary’s book-entry system, and through which an investor holds its interest in the global security, may also have their own policies affecting payments, notices and other matters relating to the securities.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may be more than one financial intermediary in the chain of ownership for an investor. We do not monitor and are not responsible for the actions of any of those intermediaries.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Special Situations When a Global Security Will Be Terminated</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In a few special situations described below, a global security will terminate and interests in it will be exchanged for physical certificates representing those interests. After that exchange, the choice of whether to hold securities directly or in street name will be up to the investor. Investors must consult their own banks or brokers to find out how to have their interests in securities transferred to their own names, so that they will be direct holders. We have described the rights of holders and street name investors above.</w:t>
      </w:r>
    </w:p>
    <w:p>
      <w:pPr>
        <w:spacing w:after="0" w:line="143" w:lineRule="exact"/>
        <w:rPr>
          <w:sz w:val="20"/>
          <w:szCs w:val="20"/>
          <w:color w:val="auto"/>
        </w:rPr>
      </w:pPr>
    </w:p>
    <w:p>
      <w:pPr>
        <w:ind w:left="620" w:hanging="361"/>
        <w:spacing w:after="0"/>
        <w:tabs>
          <w:tab w:leader="none" w:pos="6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Unless we provide otherwise in the applicable prospectus supplement, the global security will terminate when the following special situations occur:</w:t>
      </w:r>
    </w:p>
    <w:p>
      <w:pPr>
        <w:spacing w:after="0" w:line="167" w:lineRule="exact"/>
        <w:rPr>
          <w:rFonts w:ascii="Times New Roman" w:cs="Times New Roman" w:eastAsia="Times New Roman" w:hAnsi="Times New Roman"/>
          <w:sz w:val="14"/>
          <w:szCs w:val="14"/>
          <w:color w:val="auto"/>
        </w:rPr>
      </w:pPr>
    </w:p>
    <w:p>
      <w:pPr>
        <w:ind w:left="620" w:hanging="361"/>
        <w:spacing w:after="0" w:line="266" w:lineRule="auto"/>
        <w:tabs>
          <w:tab w:leader="none" w:pos="6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depositary notifies us that it is unwilling, unable or no longer qualified to continue as depositary for that global security and we do not appoint another institution to act as depositary within 90 days;</w:t>
      </w:r>
    </w:p>
    <w:p>
      <w:pPr>
        <w:spacing w:after="0" w:line="135" w:lineRule="exact"/>
        <w:rPr>
          <w:rFonts w:ascii="Times New Roman" w:cs="Times New Roman" w:eastAsia="Times New Roman" w:hAnsi="Times New Roman"/>
          <w:sz w:val="14"/>
          <w:szCs w:val="14"/>
          <w:color w:val="auto"/>
        </w:rPr>
      </w:pPr>
    </w:p>
    <w:p>
      <w:pPr>
        <w:ind w:left="620" w:hanging="361"/>
        <w:spacing w:after="0"/>
        <w:tabs>
          <w:tab w:leader="none" w:pos="6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notify any applicable trustee that we wish to terminate that global security; or</w:t>
      </w:r>
    </w:p>
    <w:p>
      <w:pPr>
        <w:spacing w:after="0" w:line="167" w:lineRule="exact"/>
        <w:rPr>
          <w:rFonts w:ascii="Times New Roman" w:cs="Times New Roman" w:eastAsia="Times New Roman" w:hAnsi="Times New Roman"/>
          <w:sz w:val="14"/>
          <w:szCs w:val="14"/>
          <w:color w:val="auto"/>
        </w:rPr>
      </w:pPr>
    </w:p>
    <w:p>
      <w:pPr>
        <w:ind w:left="620" w:hanging="361"/>
        <w:spacing w:after="0"/>
        <w:tabs>
          <w:tab w:leader="none" w:pos="6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 event of default has occurred with regard to securities represented by that global security and has not been cured or waived.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applicable prospectus supplement may also list additional situations for terminating a global security that would apply only to the particular series of securities covered by the prospectus supplement.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When a global security terminates, the depositary, and neither we nor any applicable trustee, is responsible for deciding the names of the institutions that will be the initial direct holders.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7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4"/>
          <w:szCs w:val="14"/>
          <w:color w:val="auto"/>
        </w:rPr>
        <w:t>We may sell the securities covered hereby from time to time pursuant to underwritten public offerings, direct sales to the public, negotiated transactions, block trades or a combination of these methods. We may sell the securities to or through underwriters or dealers, through agents or directly to one or more purchasers. We may distribute securities from time to time in one or more transactions:</w:t>
      </w:r>
    </w:p>
    <w:p>
      <w:pPr>
        <w:spacing w:after="0" w:line="136" w:lineRule="exact"/>
        <w:rPr>
          <w:sz w:val="20"/>
          <w:szCs w:val="20"/>
          <w:color w:val="auto"/>
        </w:rPr>
      </w:pPr>
    </w:p>
    <w:p>
      <w:pPr>
        <w:ind w:left="620" w:hanging="361"/>
        <w:spacing w:after="0"/>
        <w:tabs>
          <w:tab w:leader="none" w:pos="6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a fixed price or prices, which may be changed;</w:t>
      </w:r>
    </w:p>
    <w:p>
      <w:pPr>
        <w:spacing w:after="0" w:line="167" w:lineRule="exact"/>
        <w:rPr>
          <w:rFonts w:ascii="Times New Roman" w:cs="Times New Roman" w:eastAsia="Times New Roman" w:hAnsi="Times New Roman"/>
          <w:sz w:val="14"/>
          <w:szCs w:val="14"/>
          <w:color w:val="auto"/>
        </w:rPr>
      </w:pPr>
    </w:p>
    <w:p>
      <w:pPr>
        <w:ind w:left="620" w:hanging="361"/>
        <w:spacing w:after="0"/>
        <w:tabs>
          <w:tab w:leader="none" w:pos="6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market prices prevailing at the time of sale;</w:t>
      </w:r>
    </w:p>
    <w:p>
      <w:pPr>
        <w:spacing w:after="0" w:line="167" w:lineRule="exact"/>
        <w:rPr>
          <w:rFonts w:ascii="Times New Roman" w:cs="Times New Roman" w:eastAsia="Times New Roman" w:hAnsi="Times New Roman"/>
          <w:sz w:val="14"/>
          <w:szCs w:val="14"/>
          <w:color w:val="auto"/>
        </w:rPr>
      </w:pPr>
    </w:p>
    <w:p>
      <w:pPr>
        <w:ind w:left="620" w:hanging="361"/>
        <w:spacing w:after="0"/>
        <w:tabs>
          <w:tab w:leader="none" w:pos="6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prices related to such prevailing market prices; or</w:t>
      </w:r>
    </w:p>
    <w:p>
      <w:pPr>
        <w:spacing w:after="0" w:line="167" w:lineRule="exact"/>
        <w:rPr>
          <w:rFonts w:ascii="Times New Roman" w:cs="Times New Roman" w:eastAsia="Times New Roman" w:hAnsi="Times New Roman"/>
          <w:sz w:val="14"/>
          <w:szCs w:val="14"/>
          <w:color w:val="auto"/>
        </w:rPr>
      </w:pPr>
    </w:p>
    <w:p>
      <w:pPr>
        <w:ind w:left="620" w:hanging="361"/>
        <w:spacing w:after="0"/>
        <w:tabs>
          <w:tab w:leader="none" w:pos="6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negotiated prices.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381635</wp:posOffset>
            </wp:positionV>
            <wp:extent cx="719074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947" w:right="319" w:bottom="1440" w:gutter="0" w:footer="0" w:header="0"/>
        </w:sectPr>
      </w:pPr>
    </w:p>
    <w:bookmarkStart w:id="21" w:name="page22"/>
    <w:bookmarkEnd w:id="21"/>
    <w:p>
      <w:pPr>
        <w:spacing w:after="0" w:line="266" w:lineRule="auto"/>
        <w:rPr>
          <w:sz w:val="20"/>
          <w:szCs w:val="20"/>
          <w:color w:val="auto"/>
        </w:rPr>
      </w:pPr>
      <w:r>
        <w:rPr>
          <w:rFonts w:ascii="Times New Roman" w:cs="Times New Roman" w:eastAsia="Times New Roman" w:hAnsi="Times New Roman"/>
          <w:sz w:val="14"/>
          <w:szCs w:val="14"/>
          <w:color w:val="auto"/>
        </w:rPr>
        <w:t>We may also sell equity securities covered by this registration statement in an “at the market offering” as defined in Rule 415(a)(4) under the Securities Act. Such offering may be made into an existing trading market for such securities in transactions at other than a fixed price, either:</w:t>
      </w:r>
    </w:p>
    <w:p>
      <w:pPr>
        <w:spacing w:after="0" w:line="136" w:lineRule="exact"/>
        <w:rPr>
          <w:sz w:val="20"/>
          <w:szCs w:val="20"/>
          <w:color w:val="auto"/>
        </w:rPr>
      </w:pPr>
    </w:p>
    <w:p>
      <w:pPr>
        <w:ind w:left="620" w:hanging="361"/>
        <w:spacing w:after="0" w:line="266" w:lineRule="auto"/>
        <w:tabs>
          <w:tab w:leader="none" w:pos="6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or through the facilities of the NYSE American or any other securities exchange or quotation or trading service on which such securities may be listed, quoted or traded at the time of sale; and/or</w:t>
      </w:r>
    </w:p>
    <w:p>
      <w:pPr>
        <w:spacing w:after="0" w:line="135" w:lineRule="exact"/>
        <w:rPr>
          <w:rFonts w:ascii="Times New Roman" w:cs="Times New Roman" w:eastAsia="Times New Roman" w:hAnsi="Times New Roman"/>
          <w:sz w:val="14"/>
          <w:szCs w:val="14"/>
          <w:color w:val="auto"/>
        </w:rPr>
      </w:pPr>
    </w:p>
    <w:p>
      <w:pPr>
        <w:ind w:left="620" w:hanging="361"/>
        <w:spacing w:after="0"/>
        <w:tabs>
          <w:tab w:leader="none" w:pos="6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or through a market maker other than on the NYSE American or such other securities exchanges or quotation or trading services.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Such at the market offerings, if any, may be conducted by underwriters acting as principal or agent.</w:t>
      </w:r>
    </w:p>
    <w:p>
      <w:pPr>
        <w:spacing w:after="0" w:line="16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4"/>
          <w:szCs w:val="14"/>
          <w:color w:val="auto"/>
        </w:rPr>
        <w:t>A prospectus supplement or supplements (and any related free writing prospectus that we may authorize to be provided to you) will describe the terms of the offering of the securities, including, to the extent applicable:</w:t>
      </w:r>
    </w:p>
    <w:p>
      <w:pPr>
        <w:spacing w:after="0" w:line="136" w:lineRule="exact"/>
        <w:rPr>
          <w:sz w:val="20"/>
          <w:szCs w:val="20"/>
          <w:color w:val="auto"/>
        </w:rPr>
      </w:pPr>
    </w:p>
    <w:p>
      <w:pPr>
        <w:ind w:left="620" w:hanging="361"/>
        <w:spacing w:after="0"/>
        <w:tabs>
          <w:tab w:leader="none" w:pos="6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 or names of any underwriters, dealers or agents, if any;</w:t>
      </w:r>
    </w:p>
    <w:p>
      <w:pPr>
        <w:spacing w:after="0" w:line="167" w:lineRule="exact"/>
        <w:rPr>
          <w:rFonts w:ascii="Times New Roman" w:cs="Times New Roman" w:eastAsia="Times New Roman" w:hAnsi="Times New Roman"/>
          <w:sz w:val="14"/>
          <w:szCs w:val="14"/>
          <w:color w:val="auto"/>
        </w:rPr>
      </w:pPr>
    </w:p>
    <w:p>
      <w:pPr>
        <w:ind w:left="620" w:hanging="361"/>
        <w:spacing w:after="0"/>
        <w:tabs>
          <w:tab w:leader="none" w:pos="6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purchase price of the securities and the proceeds we will receive from the sale;</w:t>
      </w:r>
    </w:p>
    <w:p>
      <w:pPr>
        <w:spacing w:after="0" w:line="167" w:lineRule="exact"/>
        <w:rPr>
          <w:rFonts w:ascii="Times New Roman" w:cs="Times New Roman" w:eastAsia="Times New Roman" w:hAnsi="Times New Roman"/>
          <w:sz w:val="14"/>
          <w:szCs w:val="14"/>
          <w:color w:val="auto"/>
        </w:rPr>
      </w:pPr>
    </w:p>
    <w:p>
      <w:pPr>
        <w:ind w:left="620" w:hanging="361"/>
        <w:spacing w:after="0"/>
        <w:tabs>
          <w:tab w:leader="none" w:pos="6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over-allotment options under which underwriters may purchase additional securities from us;</w:t>
      </w:r>
    </w:p>
    <w:p>
      <w:pPr>
        <w:spacing w:after="0" w:line="167" w:lineRule="exact"/>
        <w:rPr>
          <w:rFonts w:ascii="Times New Roman" w:cs="Times New Roman" w:eastAsia="Times New Roman" w:hAnsi="Times New Roman"/>
          <w:sz w:val="14"/>
          <w:szCs w:val="14"/>
          <w:color w:val="auto"/>
        </w:rPr>
      </w:pPr>
    </w:p>
    <w:p>
      <w:pPr>
        <w:ind w:left="620" w:hanging="361"/>
        <w:spacing w:after="0"/>
        <w:tabs>
          <w:tab w:leader="none" w:pos="6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agency fees or underwriting discounts and other items constituting agents’ or underwriters’ compensation;</w:t>
      </w:r>
    </w:p>
    <w:p>
      <w:pPr>
        <w:spacing w:after="0" w:line="167" w:lineRule="exact"/>
        <w:rPr>
          <w:rFonts w:ascii="Times New Roman" w:cs="Times New Roman" w:eastAsia="Times New Roman" w:hAnsi="Times New Roman"/>
          <w:sz w:val="14"/>
          <w:szCs w:val="14"/>
          <w:color w:val="auto"/>
        </w:rPr>
      </w:pPr>
    </w:p>
    <w:p>
      <w:pPr>
        <w:ind w:left="620" w:hanging="361"/>
        <w:spacing w:after="0"/>
        <w:tabs>
          <w:tab w:leader="none" w:pos="6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public offering price;</w:t>
      </w:r>
    </w:p>
    <w:p>
      <w:pPr>
        <w:spacing w:after="0" w:line="167" w:lineRule="exact"/>
        <w:rPr>
          <w:rFonts w:ascii="Times New Roman" w:cs="Times New Roman" w:eastAsia="Times New Roman" w:hAnsi="Times New Roman"/>
          <w:sz w:val="14"/>
          <w:szCs w:val="14"/>
          <w:color w:val="auto"/>
        </w:rPr>
      </w:pPr>
    </w:p>
    <w:p>
      <w:pPr>
        <w:ind w:left="620" w:hanging="361"/>
        <w:spacing w:after="0"/>
        <w:tabs>
          <w:tab w:leader="none" w:pos="6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discounts or concessions allowed or reallowed or paid to dealers; and</w:t>
      </w:r>
    </w:p>
    <w:p>
      <w:pPr>
        <w:spacing w:after="0" w:line="167" w:lineRule="exact"/>
        <w:rPr>
          <w:rFonts w:ascii="Times New Roman" w:cs="Times New Roman" w:eastAsia="Times New Roman" w:hAnsi="Times New Roman"/>
          <w:sz w:val="14"/>
          <w:szCs w:val="14"/>
          <w:color w:val="auto"/>
        </w:rPr>
      </w:pPr>
    </w:p>
    <w:p>
      <w:pPr>
        <w:ind w:left="620" w:hanging="361"/>
        <w:spacing w:after="0"/>
        <w:tabs>
          <w:tab w:leader="none" w:pos="6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securities exchange or market on which the securities may be listed.</w:t>
      </w:r>
    </w:p>
    <w:p>
      <w:pPr>
        <w:spacing w:after="0" w:line="16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Only underwriters named in the prospectus supplement will be underwriters of the securities offered by the prospectus supplement. 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other than securities covered by an over-allotment option. Any public offering price and any discounts or concessions allowed or reallowed or paid to dealers may change from time to time. We may use underwriters with whom we have a material relationship. We will describe in the prospectus supplement, naming the underwriter, the nature of any such relationship.</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If we sell securities directly or through agents, we will name any agent involved in the offering and sale of securities, and we will describe any commissions and other compensation we will pay the agent in the prospectus supplement. Unless the prospectus supplement states otherwise, our agent will act on a best-efforts basis for the period of its appointment.</w:t>
      </w:r>
    </w:p>
    <w:p>
      <w:pPr>
        <w:spacing w:after="0" w:line="13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We may authorize agents or underwriters to solicit offers by certain types of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We may provide agents and underwriters with indemnification against civil liabilities related to the offering, including liabilities under the Securities Act, or contribution with respect to payments that the agents or underwriters may make with respect to these liabilities. Agents and underwriters may engage in transactions with, or perform services for, us in the ordinary course of business.</w:t>
      </w:r>
    </w:p>
    <w:p>
      <w:pPr>
        <w:spacing w:after="0" w:line="13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All securities we offer, other than common shares, will be new issues of securities with no established trading market. Any agents or underwriters may make a market in these securities, but will not be obligated to do so and may discontinue any market making at any time without notice. We cannot guarantee the liquidity of the trading markets for any securities. There is currently no market for any of the offered securities, other than our common shares which are listed on the NYSE American. We have no current plans for listing of our preferred shares, debt securities or warrants on any securities exchange or quotation system; any such listing with respect to any particular preferred shares, debt securities or warrants will be described in the applicable prospectus supplement or other offering materials, as the case may be.</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381635</wp:posOffset>
            </wp:positionV>
            <wp:extent cx="719074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783" w:right="319" w:bottom="1440" w:gutter="0" w:footer="0" w:header="0"/>
        </w:sectPr>
      </w:pPr>
    </w:p>
    <w:bookmarkStart w:id="22" w:name="page23"/>
    <w:bookmarkEnd w:id="22"/>
    <w:p>
      <w:pPr>
        <w:jc w:val="both"/>
        <w:spacing w:after="0" w:line="274" w:lineRule="auto"/>
        <w:rPr>
          <w:sz w:val="20"/>
          <w:szCs w:val="20"/>
          <w:color w:val="auto"/>
        </w:rPr>
      </w:pPr>
      <w:r>
        <w:rPr>
          <w:rFonts w:ascii="Times New Roman" w:cs="Times New Roman" w:eastAsia="Times New Roman" w:hAnsi="Times New Roman"/>
          <w:sz w:val="13"/>
          <w:szCs w:val="13"/>
          <w:color w:val="auto"/>
        </w:rPr>
        <w:t>Any underwriter may engage in overallotment, stabilizing transactions, short covering transactions and penalty bids in accordance with Rule 103 of Regulation M. Overallotment involves sales in excess of the offering size, which create a short position. Stabilizing transactions permit bids to purchase the underlying security so long as the stabilizing bids do not exceed a specified maximum. Short covering transactions involve purchases of the securities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 These transactions may be effected on any exchange or over-the-counter market or otherwise.</w:t>
      </w:r>
    </w:p>
    <w:p>
      <w:pPr>
        <w:spacing w:after="0" w:line="1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Any agents and underwriters who are qualified market makers on the NYSE American may engage in passive market making transactions in the securities on the NYSE American in accordance with Rule 103 of Regulation M, during the business day prior to the pricing of the offering, before the commencement of offers or sales of the securities.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Unless otherwise indicated in the applicable prospectus supplement, certain legal matters in connection with the offering and the validity of the securities offered by this prospectus, and any supplement thereto, will be passed upon by Sheppard, Mullin, Richter &amp; Hampton LLP, San Diego, California. Additional legal matters may be passed upon for us or any underwriters, dealers or agents, by counsel that we will name in the applicable prospectus supplement.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7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3"/>
          <w:szCs w:val="13"/>
          <w:color w:val="auto"/>
        </w:rPr>
        <w:t>The consolidated financial statements of the Company as of December 31, 2025 and 2024 and for the years then ended, incorporated in this prospectus by reference from the Annual Report on Form 10-K of the Company for the year ended December 31, 2025, have been audited by Baker Tilly US, LLP, an independent registered public accounting firm, as stated in their report, which is incorporated herein by reference. Such consolidated financial statements are incorporated by reference in reliance upon the report of such firm given their authority as experts in accounting and auditing.</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7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3"/>
          <w:szCs w:val="13"/>
          <w:color w:val="auto"/>
        </w:rPr>
        <w:t>This prospectus is part of a registration statement on Form S-3 we filed with the SEC under the Securities Act. This prospectus does not contain all of the information set forth in the registration statement and the exhibits to the registration statement. For further information with respect to us and the securities we are offering under this prospectus, we refer you to the registration statement and the exhibits and schedules filed as a part of the registration statement. You should rely only on the information contained in this prospectus or incorporated by reference. Neither we nor any agent, underwriter or dealer has authorized anyone else to provide you with different information. We are not making an offer of these securities in any state where the offer is not permitted. You should not assume that the information in this prospectus is accurate as of any date other than the date on the front page of this prospectus, regardless of the time of delivery of this prospectus or any sale of the securities offered by this prospectus.</w:t>
      </w:r>
    </w:p>
    <w:p>
      <w:pPr>
        <w:spacing w:after="0" w:line="13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We file annual, quarterly and current reports, proxy statements and other information with the SEC. The SEC maintains a website that contains reports, proxy and information statements and other information regarding issuers that file electronically with the SEC, including our company. The address of the SEC website is www.sec.gov.</w:t>
      </w:r>
    </w:p>
    <w:p>
      <w:pPr>
        <w:spacing w:after="0" w:line="13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We maintain a website at www.lineagecell.com. Information contained in or accessible through our website does not constitute a part of this prospectus and is not incorporated by reference into this prospectus.</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OF CERTAIN INFORMATION BY REFERENCE</w:t>
      </w:r>
    </w:p>
    <w:p>
      <w:pPr>
        <w:spacing w:after="0" w:line="17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4"/>
          <w:szCs w:val="14"/>
          <w:color w:val="auto"/>
        </w:rPr>
        <w:t>The SEC allows us to “incorporate by reference” information from other documents that we file with it, which means that we can disclose important information to you by referring you to those documents. The information incorporated by reference is an important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incorporate by reference into this prospectus the information or documents listed below (other than current reports furnished under Item 2.02 or Item 7.01 of Form 8-K ) that we have filed with the SEC (File No. 001-12830):</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381635</wp:posOffset>
            </wp:positionV>
            <wp:extent cx="719074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783" w:right="319" w:bottom="1440" w:gutter="0" w:footer="0" w:header="0"/>
        </w:sectPr>
      </w:pPr>
    </w:p>
    <w:bookmarkStart w:id="23" w:name="page24"/>
    <w:bookmarkEnd w:id="23"/>
    <w:p>
      <w:pPr>
        <w:ind w:left="620" w:hanging="361"/>
        <w:spacing w:after="0" w:line="266" w:lineRule="auto"/>
        <w:tabs>
          <w:tab w:leader="none" w:pos="6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Annual Report on </w:t>
      </w:r>
      <w:hyperlink r:id="rId33">
        <w:r>
          <w:rPr>
            <w:rFonts w:ascii="Times New Roman" w:cs="Times New Roman" w:eastAsia="Times New Roman" w:hAnsi="Times New Roman"/>
            <w:sz w:val="14"/>
            <w:szCs w:val="14"/>
            <w:u w:val="single" w:color="auto"/>
            <w:color w:val="0000FF"/>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fiscal year ended December 31, 2025, filed with the SEC on March 5, 2026 (the “Annual Report”), including all material incorporated by reference therein, which includes the portions of the Company’s definitive proxy statement on Schedule 14A to be filed with the SEC, incorporated by reference into Part III of the Annual Report; and</w:t>
      </w:r>
    </w:p>
    <w:p>
      <w:pPr>
        <w:spacing w:after="0" w:line="135" w:lineRule="exact"/>
        <w:rPr>
          <w:rFonts w:ascii="Times New Roman" w:cs="Times New Roman" w:eastAsia="Times New Roman" w:hAnsi="Times New Roman"/>
          <w:sz w:val="14"/>
          <w:szCs w:val="14"/>
          <w:color w:val="auto"/>
        </w:rPr>
      </w:pPr>
    </w:p>
    <w:p>
      <w:pPr>
        <w:ind w:left="620" w:hanging="361"/>
        <w:spacing w:after="0" w:line="266" w:lineRule="auto"/>
        <w:tabs>
          <w:tab w:leader="none" w:pos="6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our common shares contained in our Registration Statement on </w:t>
      </w:r>
      <w:hyperlink r:id="rId34">
        <w:r>
          <w:rPr>
            <w:rFonts w:ascii="Times New Roman" w:cs="Times New Roman" w:eastAsia="Times New Roman" w:hAnsi="Times New Roman"/>
            <w:sz w:val="14"/>
            <w:szCs w:val="14"/>
            <w:u w:val="single" w:color="auto"/>
            <w:color w:val="0000FF"/>
          </w:rPr>
          <w:t>Form 8-A</w:t>
        </w:r>
      </w:hyperlink>
      <w:r>
        <w:rPr>
          <w:rFonts w:ascii="Times New Roman" w:cs="Times New Roman" w:eastAsia="Times New Roman" w:hAnsi="Times New Roman"/>
          <w:sz w:val="14"/>
          <w:szCs w:val="14"/>
          <w:color w:val="auto"/>
        </w:rPr>
        <w:t>, filed with SEC on October 26, 2009, including any amendment or report filed for the purpose of updating such description, including the description of our common stock in Exhibit 4.2 of the Annual Report.</w:t>
      </w:r>
    </w:p>
    <w:p>
      <w:pPr>
        <w:spacing w:after="0" w:line="136" w:lineRule="exact"/>
        <w:rPr>
          <w:rFonts w:ascii="Times New Roman" w:cs="Times New Roman" w:eastAsia="Times New Roman" w:hAnsi="Times New Roman"/>
          <w:sz w:val="14"/>
          <w:szCs w:val="14"/>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We also incorporate by reference into this prospectus all documents (other than current reports furnished under Item 2.02 or Item 7.01 of Form 8-K and exhibits furnished with such reports related to such items, and other portions of documents that are furnished, but not filed, pursuant to applicable rules promulgated by the SEC) that we file with the SEC pursuant to Sections 13(a), 13(c), 14 or 15(d) of the Exchange Act (i) after the date of the initial filing of the registration statement of which this prospectus forms a part and prior to effectiveness of the registration statement, and (ii) after the date of this prospectus but prior to the termination of all offerings covered by this prospectus. These documents include periodic reports, such as Annual Reports on Form 10-K, Quarterly Reports on Form 10-Q and Current Reports on Form 8-K, as well as proxy statements.</w:t>
      </w:r>
    </w:p>
    <w:p>
      <w:pPr>
        <w:spacing w:after="0" w:line="146" w:lineRule="exact"/>
        <w:rPr>
          <w:rFonts w:ascii="Times New Roman" w:cs="Times New Roman" w:eastAsia="Times New Roman" w:hAnsi="Times New Roman"/>
          <w:sz w:val="14"/>
          <w:szCs w:val="14"/>
          <w:color w:val="auto"/>
        </w:rPr>
      </w:pPr>
    </w:p>
    <w:p>
      <w:pPr>
        <w:jc w:val="both"/>
        <w:spacing w:after="0" w:line="252" w:lineRule="auto"/>
        <w:rPr>
          <w:sz w:val="20"/>
          <w:szCs w:val="20"/>
          <w:color w:val="auto"/>
        </w:rPr>
      </w:pPr>
      <w:r>
        <w:rPr>
          <w:rFonts w:ascii="Times New Roman" w:cs="Times New Roman" w:eastAsia="Times New Roman" w:hAnsi="Times New Roman"/>
          <w:sz w:val="14"/>
          <w:szCs w:val="14"/>
          <w:color w:val="auto"/>
        </w:rPr>
        <w:t>We will provide to each person, including any beneficial owner, to whom a prospectus is delivered, without charge upon written or oral request, a copy of any or all of the documents that are incorporated by reference into this prospectus but not delivered with the prospectus, including exhibits that are specifically incorporated by reference into such documents. You should direct any requests for documents to Lineage Cell Therapeutics, Inc., Attn: Secretary, 2173 Salk Avenue, Suite 200, Carlsbad, California 92008; telephone: (442) 287-8990. You may also access these documents on our website at www.lineagecell.com. Information contained in or accessible through our website does not constitute a part of this prospectus and is not incorporated by reference into this prospectus.</w:t>
      </w:r>
    </w:p>
    <w:p>
      <w:pPr>
        <w:spacing w:after="0" w:line="145" w:lineRule="exact"/>
        <w:rPr>
          <w:rFonts w:ascii="Times New Roman" w:cs="Times New Roman" w:eastAsia="Times New Roman" w:hAnsi="Times New Roman"/>
          <w:sz w:val="14"/>
          <w:szCs w:val="14"/>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Any statement contained in this prospectus or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43" w:lineRule="exact"/>
        <w:rPr>
          <w:rFonts w:ascii="Times New Roman" w:cs="Times New Roman" w:eastAsia="Times New Roman" w:hAnsi="Times New Roman"/>
          <w:sz w:val="14"/>
          <w:szCs w:val="14"/>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column">
              <wp:posOffset>-10795</wp:posOffset>
            </wp:positionH>
            <wp:positionV relativeFrom="paragraph">
              <wp:posOffset>381635</wp:posOffset>
            </wp:positionV>
            <wp:extent cx="719074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783" w:right="31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INFORMATION NOT REQUIRED IN PROSPECTUS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14. Other Expenses of Issuance and Distribution.</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The following table sets forth the costs and expenses, other than underwriting discounts and commissions, payable by us in connection with the offering of the securities being registered. All the amounts shown are estimates, except for the SEC registration fee.</w:t>
      </w:r>
    </w:p>
    <w:p>
      <w:pPr>
        <w:spacing w:after="0" w:line="148" w:lineRule="exact"/>
        <w:rPr>
          <w:sz w:val="20"/>
          <w:szCs w:val="20"/>
          <w:color w:val="auto"/>
        </w:rPr>
      </w:pPr>
    </w:p>
    <w:tbl>
      <w:tblPr>
        <w:tblLayout w:type="fixed"/>
        <w:tblInd w:w="380" w:type="dxa"/>
        <w:tblCellMar>
          <w:top w:w="0" w:type="dxa"/>
          <w:left w:w="0" w:type="dxa"/>
          <w:bottom w:w="0" w:type="dxa"/>
          <w:right w:w="0" w:type="dxa"/>
        </w:tblCellMar>
      </w:tblPr>
      <w:tr>
        <w:trPr>
          <w:trHeight w:val="164"/>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 registration fee</w:t>
            </w:r>
          </w:p>
        </w:tc>
        <w:tc>
          <w:tcPr>
            <w:tcW w:w="3320" w:type="dxa"/>
            <w:vAlign w:val="bottom"/>
            <w:shd w:val="clear" w:color="auto" w:fill="CCEEFF"/>
          </w:tcPr>
          <w:p>
            <w:pPr>
              <w:jc w:val="right"/>
              <w:ind w:right="506"/>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4"/>
                <w:szCs w:val="14"/>
                <w:color w:val="auto"/>
              </w:rPr>
              <w:t>13,810</w:t>
            </w:r>
          </w:p>
        </w:tc>
      </w:tr>
      <w:tr>
        <w:trPr>
          <w:trHeight w:val="174"/>
        </w:trPr>
        <w:tc>
          <w:tcPr>
            <w:tcW w:w="4660" w:type="dxa"/>
            <w:vAlign w:val="bottom"/>
          </w:tcPr>
          <w:p>
            <w:pPr>
              <w:spacing w:after="0"/>
              <w:rPr>
                <w:sz w:val="20"/>
                <w:szCs w:val="20"/>
                <w:color w:val="auto"/>
              </w:rPr>
            </w:pPr>
            <w:r>
              <w:rPr>
                <w:rFonts w:ascii="Times New Roman" w:cs="Times New Roman" w:eastAsia="Times New Roman" w:hAnsi="Times New Roman"/>
                <w:sz w:val="14"/>
                <w:szCs w:val="14"/>
                <w:color w:val="auto"/>
              </w:rPr>
              <w:t>FINRA filing fee</w:t>
            </w:r>
          </w:p>
        </w:tc>
        <w:tc>
          <w:tcPr>
            <w:tcW w:w="3320" w:type="dxa"/>
            <w:vAlign w:val="bottom"/>
          </w:tcPr>
          <w:p>
            <w:pPr>
              <w:jc w:val="right"/>
              <w:ind w:right="506"/>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r>
      <w:tr>
        <w:trPr>
          <w:trHeight w:val="174"/>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Accounting fees and expenses</w:t>
            </w:r>
          </w:p>
        </w:tc>
        <w:tc>
          <w:tcPr>
            <w:tcW w:w="3320" w:type="dxa"/>
            <w:vAlign w:val="bottom"/>
            <w:shd w:val="clear" w:color="auto" w:fill="CCEEFF"/>
          </w:tcPr>
          <w:p>
            <w:pPr>
              <w:jc w:val="right"/>
              <w:ind w:right="506"/>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r>
      <w:tr>
        <w:trPr>
          <w:trHeight w:val="174"/>
        </w:trPr>
        <w:tc>
          <w:tcPr>
            <w:tcW w:w="4660" w:type="dxa"/>
            <w:vAlign w:val="bottom"/>
          </w:tcPr>
          <w:p>
            <w:pPr>
              <w:spacing w:after="0"/>
              <w:rPr>
                <w:sz w:val="20"/>
                <w:szCs w:val="20"/>
                <w:color w:val="auto"/>
              </w:rPr>
            </w:pPr>
            <w:r>
              <w:rPr>
                <w:rFonts w:ascii="Times New Roman" w:cs="Times New Roman" w:eastAsia="Times New Roman" w:hAnsi="Times New Roman"/>
                <w:sz w:val="14"/>
                <w:szCs w:val="14"/>
                <w:color w:val="auto"/>
              </w:rPr>
              <w:t>Legal fees and expenses</w:t>
            </w:r>
          </w:p>
        </w:tc>
        <w:tc>
          <w:tcPr>
            <w:tcW w:w="3320" w:type="dxa"/>
            <w:vAlign w:val="bottom"/>
          </w:tcPr>
          <w:p>
            <w:pPr>
              <w:jc w:val="right"/>
              <w:ind w:right="506"/>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r>
      <w:tr>
        <w:trPr>
          <w:trHeight w:val="174"/>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Transfer agent fees and expenses</w:t>
            </w:r>
          </w:p>
        </w:tc>
        <w:tc>
          <w:tcPr>
            <w:tcW w:w="3320" w:type="dxa"/>
            <w:vAlign w:val="bottom"/>
            <w:shd w:val="clear" w:color="auto" w:fill="CCEEFF"/>
          </w:tcPr>
          <w:p>
            <w:pPr>
              <w:jc w:val="right"/>
              <w:ind w:right="506"/>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r>
      <w:tr>
        <w:trPr>
          <w:trHeight w:val="174"/>
        </w:trPr>
        <w:tc>
          <w:tcPr>
            <w:tcW w:w="4660" w:type="dxa"/>
            <w:vAlign w:val="bottom"/>
          </w:tcPr>
          <w:p>
            <w:pPr>
              <w:spacing w:after="0"/>
              <w:rPr>
                <w:sz w:val="20"/>
                <w:szCs w:val="20"/>
                <w:color w:val="auto"/>
              </w:rPr>
            </w:pPr>
            <w:r>
              <w:rPr>
                <w:rFonts w:ascii="Times New Roman" w:cs="Times New Roman" w:eastAsia="Times New Roman" w:hAnsi="Times New Roman"/>
                <w:sz w:val="14"/>
                <w:szCs w:val="14"/>
                <w:color w:val="auto"/>
              </w:rPr>
              <w:t>Trustee fees and expenses</w:t>
            </w:r>
          </w:p>
        </w:tc>
        <w:tc>
          <w:tcPr>
            <w:tcW w:w="3320" w:type="dxa"/>
            <w:vAlign w:val="bottom"/>
          </w:tcPr>
          <w:p>
            <w:pPr>
              <w:jc w:val="right"/>
              <w:ind w:right="506"/>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r>
      <w:tr>
        <w:trPr>
          <w:trHeight w:val="174"/>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Printing and miscellaneous expenses</w:t>
            </w:r>
          </w:p>
        </w:tc>
        <w:tc>
          <w:tcPr>
            <w:tcW w:w="3320" w:type="dxa"/>
            <w:vAlign w:val="bottom"/>
            <w:shd w:val="clear" w:color="auto" w:fill="CCEEFF"/>
          </w:tcPr>
          <w:p>
            <w:pPr>
              <w:jc w:val="right"/>
              <w:ind w:right="506"/>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r>
      <w:tr>
        <w:trPr>
          <w:trHeight w:val="196"/>
        </w:trPr>
        <w:tc>
          <w:tcPr>
            <w:tcW w:w="466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3320" w:type="dxa"/>
            <w:vAlign w:val="bottom"/>
          </w:tcPr>
          <w:p>
            <w:pPr>
              <w:jc w:val="right"/>
              <w:ind w:right="506"/>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r>
    </w:tbl>
    <w:p>
      <w:pPr>
        <w:spacing w:after="0" w:line="13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 These fees are calculated based on the securities offered and the number of issuances and, accordingly, cannot be estimated at this time.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15. Indemnification of Directors and Officers.</w:t>
      </w:r>
    </w:p>
    <w:p>
      <w:pPr>
        <w:spacing w:after="0" w:line="17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Section 317 of the California Corporations Code (“California Code”) provides for the indemnification of directors, officers, employees, and other agents of corporations under certain conditions subject to certain limitations. In addition, Section 204(a)(10) of the California Code permits a corporation to provide, in its articles of incorporation, that directors shall not have liability to the corporation or its shareholders for monetary damages for breach of fiduciary duty, subject to certain prescribed exceptions. Our Restated Articles of Incorporation, as amended to date, contains provisions for the indemnification of directors, officers, employees and other agents within the limitations permitted by Section 317 and for the limitation on the personal liability of directors permitted by Section 204(b)(10), subject to the exceptions required thereby.</w:t>
      </w:r>
    </w:p>
    <w:p>
      <w:pPr>
        <w:spacing w:after="0" w:line="1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Insofar as indemnification for liabilities arising under the Securities Act of 1933, as amended (“Securities Act”), may be permitted to directors, officers or persons controlling our company pursuant to the foregoing provisions, we have been informed that in the opinion of the SEC such indemnification is against public policy as expressed in the Securities Act and is therefore unenforceable.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16. Exhibits.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38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i w:val="1"/>
                <w:iCs w:val="1"/>
                <w:color w:val="auto"/>
              </w:rPr>
              <w:t>(a) Exhibits</w:t>
            </w: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330"/>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147"/>
        </w:trPr>
        <w:tc>
          <w:tcPr>
            <w:tcW w:w="20" w:type="dxa"/>
            <w:vAlign w:val="bottom"/>
          </w:tcPr>
          <w:p>
            <w:pPr>
              <w:spacing w:after="0"/>
              <w:rPr>
                <w:sz w:val="12"/>
                <w:szCs w:val="12"/>
                <w:color w:val="auto"/>
              </w:rPr>
            </w:pPr>
          </w:p>
        </w:tc>
        <w:tc>
          <w:tcPr>
            <w:tcW w:w="76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w w:val="99"/>
              </w:rPr>
              <w:t>Exhibit</w:t>
            </w:r>
          </w:p>
        </w:tc>
        <w:tc>
          <w:tcPr>
            <w:tcW w:w="1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w w:val="99"/>
              </w:rPr>
              <w:t>Exhibit</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81"/>
        </w:trPr>
        <w:tc>
          <w:tcPr>
            <w:tcW w:w="2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538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140" w:type="dxa"/>
            <w:vAlign w:val="bottom"/>
          </w:tcPr>
          <w:p>
            <w:pPr>
              <w:spacing w:after="0"/>
              <w:rPr>
                <w:sz w:val="15"/>
                <w:szCs w:val="15"/>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Filing</w:t>
            </w:r>
          </w:p>
        </w:tc>
        <w:tc>
          <w:tcPr>
            <w:tcW w:w="140" w:type="dxa"/>
            <w:vAlign w:val="bottom"/>
          </w:tcPr>
          <w:p>
            <w:pPr>
              <w:spacing w:after="0"/>
              <w:rPr>
                <w:sz w:val="15"/>
                <w:szCs w:val="15"/>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Filing Date</w:t>
            </w:r>
          </w:p>
        </w:tc>
        <w:tc>
          <w:tcPr>
            <w:tcW w:w="14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File No.</w:t>
            </w:r>
          </w:p>
        </w:tc>
      </w:tr>
      <w:tr>
        <w:trPr>
          <w:trHeight w:val="133"/>
        </w:trPr>
        <w:tc>
          <w:tcPr>
            <w:tcW w:w="20" w:type="dxa"/>
            <w:vAlign w:val="bottom"/>
          </w:tcPr>
          <w:p>
            <w:pPr>
              <w:spacing w:after="0"/>
              <w:rPr>
                <w:sz w:val="11"/>
                <w:szCs w:val="11"/>
                <w:color w:val="auto"/>
              </w:rPr>
            </w:pPr>
          </w:p>
        </w:tc>
        <w:tc>
          <w:tcPr>
            <w:tcW w:w="760" w:type="dxa"/>
            <w:vAlign w:val="bottom"/>
            <w:tcBorders>
              <w:top w:val="single" w:sz="8" w:color="auto"/>
            </w:tcBorders>
          </w:tcPr>
          <w:p>
            <w:pPr>
              <w:spacing w:after="0" w:line="133" w:lineRule="exact"/>
              <w:rPr>
                <w:sz w:val="20"/>
                <w:szCs w:val="20"/>
                <w:color w:val="auto"/>
              </w:rPr>
            </w:pPr>
            <w:r>
              <w:rPr>
                <w:rFonts w:ascii="Times New Roman" w:cs="Times New Roman" w:eastAsia="Times New Roman" w:hAnsi="Times New Roman"/>
                <w:sz w:val="14"/>
                <w:szCs w:val="14"/>
                <w:color w:val="auto"/>
              </w:rPr>
              <w:t>3.1</w:t>
            </w:r>
          </w:p>
        </w:tc>
        <w:tc>
          <w:tcPr>
            <w:tcW w:w="2580" w:type="dxa"/>
            <w:vAlign w:val="bottom"/>
            <w:tcBorders>
              <w:top w:val="single" w:sz="8" w:color="auto"/>
              <w:bottom w:val="single" w:sz="8" w:color="0000FF"/>
            </w:tcBorders>
            <w:gridSpan w:val="4"/>
          </w:tcPr>
          <w:p>
            <w:pPr>
              <w:spacing w:after="0" w:line="133" w:lineRule="exact"/>
              <w:rPr>
                <w:rFonts w:ascii="Times New Roman" w:cs="Times New Roman" w:eastAsia="Times New Roman" w:hAnsi="Times New Roman"/>
                <w:sz w:val="14"/>
                <w:szCs w:val="14"/>
                <w:color w:val="0000FF"/>
                <w:w w:val="97"/>
              </w:rPr>
            </w:pPr>
            <w:hyperlink r:id="rId36">
              <w:r>
                <w:rPr>
                  <w:rFonts w:ascii="Times New Roman" w:cs="Times New Roman" w:eastAsia="Times New Roman" w:hAnsi="Times New Roman"/>
                  <w:sz w:val="14"/>
                  <w:szCs w:val="14"/>
                  <w:color w:val="0000FF"/>
                  <w:w w:val="97"/>
                </w:rPr>
                <w:t>Restated Articles of Incorporation, as amended</w:t>
              </w:r>
            </w:hyperlink>
          </w:p>
        </w:tc>
        <w:tc>
          <w:tcPr>
            <w:tcW w:w="2660" w:type="dxa"/>
            <w:vAlign w:val="bottom"/>
            <w:tcBorders>
              <w:top w:val="single" w:sz="8" w:color="auto"/>
            </w:tcBorders>
            <w:gridSpan w:val="3"/>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Borders>
              <w:top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color w:val="auto"/>
                <w:w w:val="91"/>
              </w:rPr>
              <w:t>3.1</w:t>
            </w:r>
          </w:p>
        </w:tc>
        <w:tc>
          <w:tcPr>
            <w:tcW w:w="140" w:type="dxa"/>
            <w:vAlign w:val="bottom"/>
          </w:tcPr>
          <w:p>
            <w:pPr>
              <w:spacing w:after="0"/>
              <w:rPr>
                <w:sz w:val="11"/>
                <w:szCs w:val="11"/>
                <w:color w:val="auto"/>
              </w:rPr>
            </w:pPr>
          </w:p>
        </w:tc>
        <w:tc>
          <w:tcPr>
            <w:tcW w:w="560" w:type="dxa"/>
            <w:vAlign w:val="bottom"/>
            <w:tcBorders>
              <w:top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color w:val="auto"/>
                <w:w w:val="97"/>
              </w:rPr>
              <w:t>10-Q</w:t>
            </w:r>
          </w:p>
        </w:tc>
        <w:tc>
          <w:tcPr>
            <w:tcW w:w="140" w:type="dxa"/>
            <w:vAlign w:val="bottom"/>
          </w:tcPr>
          <w:p>
            <w:pPr>
              <w:spacing w:after="0"/>
              <w:rPr>
                <w:sz w:val="11"/>
                <w:szCs w:val="11"/>
                <w:color w:val="auto"/>
              </w:rPr>
            </w:pPr>
          </w:p>
        </w:tc>
        <w:tc>
          <w:tcPr>
            <w:tcW w:w="1780" w:type="dxa"/>
            <w:vAlign w:val="bottom"/>
            <w:tcBorders>
              <w:top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color w:val="auto"/>
                <w:w w:val="97"/>
              </w:rPr>
              <w:t>November 9, 2023</w:t>
            </w:r>
          </w:p>
        </w:tc>
        <w:tc>
          <w:tcPr>
            <w:tcW w:w="140" w:type="dxa"/>
            <w:vAlign w:val="bottom"/>
          </w:tcPr>
          <w:p>
            <w:pPr>
              <w:spacing w:after="0"/>
              <w:rPr>
                <w:sz w:val="11"/>
                <w:szCs w:val="11"/>
                <w:color w:val="auto"/>
              </w:rPr>
            </w:pPr>
          </w:p>
        </w:tc>
        <w:tc>
          <w:tcPr>
            <w:tcW w:w="1120" w:type="dxa"/>
            <w:vAlign w:val="bottom"/>
            <w:tcBorders>
              <w:top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color w:val="auto"/>
                <w:w w:val="98"/>
              </w:rPr>
              <w:t>001-12830</w:t>
            </w:r>
          </w:p>
        </w:tc>
      </w:tr>
      <w:tr>
        <w:trPr>
          <w:trHeight w:val="144"/>
        </w:trPr>
        <w:tc>
          <w:tcPr>
            <w:tcW w:w="780" w:type="dxa"/>
            <w:vAlign w:val="bottom"/>
            <w:gridSpan w:val="2"/>
          </w:tcPr>
          <w:p>
            <w:pPr>
              <w:spacing w:after="0" w:line="144" w:lineRule="exact"/>
              <w:rPr>
                <w:sz w:val="20"/>
                <w:szCs w:val="20"/>
                <w:color w:val="auto"/>
              </w:rPr>
            </w:pPr>
            <w:r>
              <w:rPr>
                <w:rFonts w:ascii="Times New Roman" w:cs="Times New Roman" w:eastAsia="Times New Roman" w:hAnsi="Times New Roman"/>
                <w:sz w:val="14"/>
                <w:szCs w:val="14"/>
                <w:color w:val="auto"/>
              </w:rPr>
              <w:t>3.2</w:t>
            </w:r>
          </w:p>
        </w:tc>
        <w:tc>
          <w:tcPr>
            <w:tcW w:w="5380" w:type="dxa"/>
            <w:vAlign w:val="bottom"/>
            <w:gridSpan w:val="8"/>
          </w:tcPr>
          <w:p>
            <w:pPr>
              <w:spacing w:after="0" w:line="144" w:lineRule="exact"/>
              <w:rPr>
                <w:rFonts w:ascii="Times New Roman" w:cs="Times New Roman" w:eastAsia="Times New Roman" w:hAnsi="Times New Roman"/>
                <w:sz w:val="14"/>
                <w:szCs w:val="14"/>
                <w:color w:val="0000FF"/>
              </w:rPr>
            </w:pPr>
            <w:hyperlink r:id="rId37">
              <w:r>
                <w:rPr>
                  <w:rFonts w:ascii="Times New Roman" w:cs="Times New Roman" w:eastAsia="Times New Roman" w:hAnsi="Times New Roman"/>
                  <w:sz w:val="14"/>
                  <w:szCs w:val="14"/>
                  <w:color w:val="0000FF"/>
                </w:rPr>
                <w:t>Certificate of Ownership</w:t>
              </w:r>
            </w:hyperlink>
          </w:p>
        </w:tc>
        <w:tc>
          <w:tcPr>
            <w:tcW w:w="124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color w:val="auto"/>
                <w:w w:val="91"/>
              </w:rPr>
              <w:t>3.1</w:t>
            </w:r>
          </w:p>
        </w:tc>
        <w:tc>
          <w:tcPr>
            <w:tcW w:w="140" w:type="dxa"/>
            <w:vAlign w:val="bottom"/>
          </w:tcPr>
          <w:p>
            <w:pPr>
              <w:spacing w:after="0"/>
              <w:rPr>
                <w:sz w:val="12"/>
                <w:szCs w:val="12"/>
                <w:color w:val="auto"/>
              </w:rPr>
            </w:pPr>
          </w:p>
        </w:tc>
        <w:tc>
          <w:tcPr>
            <w:tcW w:w="56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color w:val="auto"/>
                <w:w w:val="91"/>
              </w:rPr>
              <w:t>8-K</w:t>
            </w:r>
          </w:p>
        </w:tc>
        <w:tc>
          <w:tcPr>
            <w:tcW w:w="140" w:type="dxa"/>
            <w:vAlign w:val="bottom"/>
          </w:tcPr>
          <w:p>
            <w:pPr>
              <w:spacing w:after="0"/>
              <w:rPr>
                <w:sz w:val="12"/>
                <w:szCs w:val="12"/>
                <w:color w:val="auto"/>
              </w:rPr>
            </w:pPr>
          </w:p>
        </w:tc>
        <w:tc>
          <w:tcPr>
            <w:tcW w:w="178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color w:val="auto"/>
                <w:w w:val="96"/>
              </w:rPr>
              <w:t>August 12, 2019</w:t>
            </w:r>
          </w:p>
        </w:tc>
        <w:tc>
          <w:tcPr>
            <w:tcW w:w="1260" w:type="dxa"/>
            <w:vAlign w:val="bottom"/>
            <w:gridSpan w:val="2"/>
          </w:tcPr>
          <w:p>
            <w:pPr>
              <w:jc w:val="center"/>
              <w:ind w:left="72"/>
              <w:spacing w:after="0" w:line="144" w:lineRule="exact"/>
              <w:rPr>
                <w:sz w:val="20"/>
                <w:szCs w:val="20"/>
                <w:color w:val="auto"/>
              </w:rPr>
            </w:pPr>
            <w:r>
              <w:rPr>
                <w:rFonts w:ascii="Times New Roman" w:cs="Times New Roman" w:eastAsia="Times New Roman" w:hAnsi="Times New Roman"/>
                <w:sz w:val="14"/>
                <w:szCs w:val="14"/>
                <w:color w:val="auto"/>
                <w:w w:val="98"/>
              </w:rPr>
              <w:t>001-12830</w:t>
            </w:r>
          </w:p>
        </w:tc>
      </w:tr>
      <w:tr>
        <w:trPr>
          <w:trHeight w:val="20"/>
        </w:trPr>
        <w:tc>
          <w:tcPr>
            <w:tcW w:w="780" w:type="dxa"/>
            <w:vAlign w:val="bottom"/>
            <w:tcBorders>
              <w:right w:val="single" w:sz="8" w:color="0000FF"/>
            </w:tcBorders>
            <w:gridSpan w:val="2"/>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r>
      <w:tr>
        <w:trPr>
          <w:trHeight w:val="144"/>
        </w:trPr>
        <w:tc>
          <w:tcPr>
            <w:tcW w:w="780" w:type="dxa"/>
            <w:vAlign w:val="bottom"/>
            <w:gridSpan w:val="2"/>
          </w:tcPr>
          <w:p>
            <w:pPr>
              <w:spacing w:after="0" w:line="144" w:lineRule="exact"/>
              <w:rPr>
                <w:sz w:val="20"/>
                <w:szCs w:val="20"/>
                <w:color w:val="auto"/>
              </w:rPr>
            </w:pPr>
            <w:r>
              <w:rPr>
                <w:rFonts w:ascii="Times New Roman" w:cs="Times New Roman" w:eastAsia="Times New Roman" w:hAnsi="Times New Roman"/>
                <w:sz w:val="14"/>
                <w:szCs w:val="14"/>
                <w:color w:val="auto"/>
              </w:rPr>
              <w:t>3.3</w:t>
            </w:r>
          </w:p>
        </w:tc>
        <w:tc>
          <w:tcPr>
            <w:tcW w:w="2160" w:type="dxa"/>
            <w:vAlign w:val="bottom"/>
            <w:tcBorders>
              <w:bottom w:val="single" w:sz="8" w:color="0000FF"/>
            </w:tcBorders>
            <w:gridSpan w:val="3"/>
          </w:tcPr>
          <w:p>
            <w:pPr>
              <w:spacing w:after="0" w:line="144" w:lineRule="exact"/>
              <w:rPr>
                <w:rFonts w:ascii="Times New Roman" w:cs="Times New Roman" w:eastAsia="Times New Roman" w:hAnsi="Times New Roman"/>
                <w:sz w:val="14"/>
                <w:szCs w:val="14"/>
                <w:color w:val="0000FF"/>
                <w:w w:val="97"/>
              </w:rPr>
            </w:pPr>
            <w:hyperlink r:id="rId38">
              <w:r>
                <w:rPr>
                  <w:rFonts w:ascii="Times New Roman" w:cs="Times New Roman" w:eastAsia="Times New Roman" w:hAnsi="Times New Roman"/>
                  <w:sz w:val="14"/>
                  <w:szCs w:val="14"/>
                  <w:color w:val="0000FF"/>
                  <w:w w:val="97"/>
                </w:rPr>
                <w:t>Second Amended and Restated Bylaws</w:t>
              </w:r>
            </w:hyperlink>
          </w:p>
        </w:tc>
        <w:tc>
          <w:tcPr>
            <w:tcW w:w="3220" w:type="dxa"/>
            <w:vAlign w:val="bottom"/>
            <w:gridSpan w:val="5"/>
          </w:tcPr>
          <w:p>
            <w:pPr>
              <w:spacing w:after="0"/>
              <w:rPr>
                <w:sz w:val="12"/>
                <w:szCs w:val="12"/>
                <w:color w:val="auto"/>
              </w:rPr>
            </w:pPr>
          </w:p>
        </w:tc>
        <w:tc>
          <w:tcPr>
            <w:tcW w:w="124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color w:val="auto"/>
                <w:w w:val="96"/>
              </w:rPr>
              <w:t>3.1(a)</w:t>
            </w:r>
          </w:p>
        </w:tc>
        <w:tc>
          <w:tcPr>
            <w:tcW w:w="140" w:type="dxa"/>
            <w:vAlign w:val="bottom"/>
          </w:tcPr>
          <w:p>
            <w:pPr>
              <w:spacing w:after="0"/>
              <w:rPr>
                <w:sz w:val="12"/>
                <w:szCs w:val="12"/>
                <w:color w:val="auto"/>
              </w:rPr>
            </w:pPr>
          </w:p>
        </w:tc>
        <w:tc>
          <w:tcPr>
            <w:tcW w:w="56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color w:val="auto"/>
                <w:w w:val="91"/>
              </w:rPr>
              <w:t>8-K</w:t>
            </w:r>
          </w:p>
        </w:tc>
        <w:tc>
          <w:tcPr>
            <w:tcW w:w="140" w:type="dxa"/>
            <w:vAlign w:val="bottom"/>
          </w:tcPr>
          <w:p>
            <w:pPr>
              <w:spacing w:after="0"/>
              <w:rPr>
                <w:sz w:val="12"/>
                <w:szCs w:val="12"/>
                <w:color w:val="auto"/>
              </w:rPr>
            </w:pPr>
          </w:p>
        </w:tc>
        <w:tc>
          <w:tcPr>
            <w:tcW w:w="178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color w:val="auto"/>
                <w:w w:val="97"/>
              </w:rPr>
              <w:t>June 13, 2024</w:t>
            </w:r>
          </w:p>
        </w:tc>
        <w:tc>
          <w:tcPr>
            <w:tcW w:w="1260" w:type="dxa"/>
            <w:vAlign w:val="bottom"/>
            <w:gridSpan w:val="2"/>
          </w:tcPr>
          <w:p>
            <w:pPr>
              <w:jc w:val="center"/>
              <w:ind w:left="72"/>
              <w:spacing w:after="0" w:line="144" w:lineRule="exact"/>
              <w:rPr>
                <w:sz w:val="20"/>
                <w:szCs w:val="20"/>
                <w:color w:val="auto"/>
              </w:rPr>
            </w:pPr>
            <w:r>
              <w:rPr>
                <w:rFonts w:ascii="Times New Roman" w:cs="Times New Roman" w:eastAsia="Times New Roman" w:hAnsi="Times New Roman"/>
                <w:sz w:val="14"/>
                <w:szCs w:val="14"/>
                <w:color w:val="auto"/>
                <w:w w:val="98"/>
              </w:rPr>
              <w:t>001-12830</w:t>
            </w:r>
          </w:p>
        </w:tc>
      </w:tr>
      <w:tr>
        <w:trPr>
          <w:trHeight w:val="162"/>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4.1</w:t>
            </w:r>
          </w:p>
        </w:tc>
        <w:tc>
          <w:tcPr>
            <w:tcW w:w="538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Specimen of Common Share Certificate</w:t>
            </w: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S-1</w:t>
            </w:r>
          </w:p>
        </w:tc>
        <w:tc>
          <w:tcPr>
            <w:tcW w:w="140" w:type="dxa"/>
            <w:vAlign w:val="bottom"/>
          </w:tcPr>
          <w:p>
            <w:pPr>
              <w:spacing w:after="0"/>
              <w:rPr>
                <w:sz w:val="14"/>
                <w:szCs w:val="14"/>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December 18, 1991</w:t>
            </w:r>
          </w:p>
        </w:tc>
        <w:tc>
          <w:tcPr>
            <w:tcW w:w="1260" w:type="dxa"/>
            <w:vAlign w:val="bottom"/>
            <w:gridSpan w:val="2"/>
          </w:tcPr>
          <w:p>
            <w:pPr>
              <w:jc w:val="center"/>
              <w:ind w:left="72"/>
              <w:spacing w:after="0"/>
              <w:rPr>
                <w:sz w:val="20"/>
                <w:szCs w:val="20"/>
                <w:color w:val="auto"/>
              </w:rPr>
            </w:pPr>
            <w:r>
              <w:rPr>
                <w:rFonts w:ascii="Times New Roman" w:cs="Times New Roman" w:eastAsia="Times New Roman" w:hAnsi="Times New Roman"/>
                <w:sz w:val="14"/>
                <w:szCs w:val="14"/>
                <w:color w:val="auto"/>
                <w:w w:val="98"/>
              </w:rPr>
              <w:t>033-44549</w:t>
            </w:r>
          </w:p>
        </w:tc>
      </w:tr>
      <w:tr>
        <w:trPr>
          <w:trHeight w:val="164"/>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4.2*</w:t>
            </w:r>
          </w:p>
        </w:tc>
        <w:tc>
          <w:tcPr>
            <w:tcW w:w="538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Form of Preferred Share Certificate and Certificate of Determination of Preferred Shares</w:t>
            </w: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46"/>
        </w:trPr>
        <w:tc>
          <w:tcPr>
            <w:tcW w:w="780" w:type="dxa"/>
            <w:vAlign w:val="bottom"/>
            <w:gridSpan w:val="2"/>
          </w:tcPr>
          <w:p>
            <w:pPr>
              <w:spacing w:after="0" w:line="146" w:lineRule="exact"/>
              <w:rPr>
                <w:sz w:val="20"/>
                <w:szCs w:val="20"/>
                <w:color w:val="auto"/>
              </w:rPr>
            </w:pPr>
            <w:r>
              <w:rPr>
                <w:rFonts w:ascii="Times New Roman" w:cs="Times New Roman" w:eastAsia="Times New Roman" w:hAnsi="Times New Roman"/>
                <w:sz w:val="14"/>
                <w:szCs w:val="14"/>
                <w:color w:val="auto"/>
              </w:rPr>
              <w:t>4.3</w:t>
            </w:r>
          </w:p>
        </w:tc>
        <w:tc>
          <w:tcPr>
            <w:tcW w:w="5380" w:type="dxa"/>
            <w:vAlign w:val="bottom"/>
            <w:gridSpan w:val="8"/>
          </w:tcPr>
          <w:p>
            <w:pPr>
              <w:spacing w:after="0" w:line="146" w:lineRule="exact"/>
              <w:rPr>
                <w:sz w:val="20"/>
                <w:szCs w:val="20"/>
                <w:color w:val="auto"/>
              </w:rPr>
            </w:pPr>
            <w:r>
              <w:rPr>
                <w:rFonts w:ascii="Times New Roman" w:cs="Times New Roman" w:eastAsia="Times New Roman" w:hAnsi="Times New Roman"/>
                <w:sz w:val="14"/>
                <w:szCs w:val="14"/>
                <w:color w:val="0000FF"/>
              </w:rPr>
              <w:t>Form of Indenture, between the registrant and one or more trustees to be named</w:t>
            </w: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62"/>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4.4*</w:t>
            </w:r>
          </w:p>
        </w:tc>
        <w:tc>
          <w:tcPr>
            <w:tcW w:w="436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auto"/>
              </w:rPr>
              <w:t>Form of Debt Securities</w:t>
            </w:r>
          </w:p>
        </w:tc>
        <w:tc>
          <w:tcPr>
            <w:tcW w:w="1020" w:type="dxa"/>
            <w:vAlign w:val="bottom"/>
            <w:gridSpan w:val="2"/>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4"/>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4.5*</w:t>
            </w:r>
          </w:p>
        </w:tc>
        <w:tc>
          <w:tcPr>
            <w:tcW w:w="538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Form of Common Share Warrant Agreement and Warrant Certificate</w:t>
            </w: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4"/>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4.6*</w:t>
            </w:r>
          </w:p>
        </w:tc>
        <w:tc>
          <w:tcPr>
            <w:tcW w:w="538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Form of Preferred Share Warrant Agreement and Warrant Certificate</w:t>
            </w: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4"/>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4.7*</w:t>
            </w:r>
          </w:p>
        </w:tc>
        <w:tc>
          <w:tcPr>
            <w:tcW w:w="538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Form of Debt Securities Warrant Agreement and Warrant Certificate</w:t>
            </w: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46"/>
        </w:trPr>
        <w:tc>
          <w:tcPr>
            <w:tcW w:w="780" w:type="dxa"/>
            <w:vAlign w:val="bottom"/>
            <w:gridSpan w:val="2"/>
          </w:tcPr>
          <w:p>
            <w:pPr>
              <w:spacing w:after="0" w:line="146" w:lineRule="exact"/>
              <w:rPr>
                <w:sz w:val="20"/>
                <w:szCs w:val="20"/>
                <w:color w:val="auto"/>
              </w:rPr>
            </w:pPr>
            <w:r>
              <w:rPr>
                <w:rFonts w:ascii="Times New Roman" w:cs="Times New Roman" w:eastAsia="Times New Roman" w:hAnsi="Times New Roman"/>
                <w:sz w:val="14"/>
                <w:szCs w:val="14"/>
                <w:color w:val="auto"/>
              </w:rPr>
              <w:t>5.1</w:t>
            </w:r>
          </w:p>
        </w:tc>
        <w:tc>
          <w:tcPr>
            <w:tcW w:w="5380" w:type="dxa"/>
            <w:vAlign w:val="bottom"/>
            <w:gridSpan w:val="8"/>
          </w:tcPr>
          <w:p>
            <w:pPr>
              <w:spacing w:after="0" w:line="146" w:lineRule="exact"/>
              <w:rPr>
                <w:sz w:val="20"/>
                <w:szCs w:val="20"/>
                <w:color w:val="auto"/>
              </w:rPr>
            </w:pPr>
            <w:r>
              <w:rPr>
                <w:rFonts w:ascii="Times New Roman" w:cs="Times New Roman" w:eastAsia="Times New Roman" w:hAnsi="Times New Roman"/>
                <w:sz w:val="14"/>
                <w:szCs w:val="14"/>
                <w:color w:val="0000FF"/>
              </w:rPr>
              <w:t>Opinion of Sheppard, Mullin, Richter &amp; Hampton LLP</w:t>
            </w: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44"/>
        </w:trPr>
        <w:tc>
          <w:tcPr>
            <w:tcW w:w="780" w:type="dxa"/>
            <w:vAlign w:val="bottom"/>
            <w:gridSpan w:val="2"/>
          </w:tcPr>
          <w:p>
            <w:pPr>
              <w:spacing w:after="0" w:line="144" w:lineRule="exact"/>
              <w:rPr>
                <w:sz w:val="20"/>
                <w:szCs w:val="20"/>
                <w:color w:val="auto"/>
              </w:rPr>
            </w:pPr>
            <w:r>
              <w:rPr>
                <w:rFonts w:ascii="Times New Roman" w:cs="Times New Roman" w:eastAsia="Times New Roman" w:hAnsi="Times New Roman"/>
                <w:sz w:val="14"/>
                <w:szCs w:val="14"/>
                <w:color w:val="auto"/>
              </w:rPr>
              <w:t>23.1</w:t>
            </w:r>
          </w:p>
        </w:tc>
        <w:tc>
          <w:tcPr>
            <w:tcW w:w="3020" w:type="dxa"/>
            <w:vAlign w:val="bottom"/>
            <w:tcBorders>
              <w:top w:val="single" w:sz="8" w:color="0000FF"/>
            </w:tcBorders>
            <w:gridSpan w:val="5"/>
          </w:tcPr>
          <w:p>
            <w:pPr>
              <w:spacing w:after="0" w:line="144" w:lineRule="exact"/>
              <w:rPr>
                <w:sz w:val="20"/>
                <w:szCs w:val="20"/>
                <w:color w:val="auto"/>
              </w:rPr>
            </w:pPr>
            <w:r>
              <w:rPr>
                <w:rFonts w:ascii="Times New Roman" w:cs="Times New Roman" w:eastAsia="Times New Roman" w:hAnsi="Times New Roman"/>
                <w:sz w:val="14"/>
                <w:szCs w:val="14"/>
                <w:color w:val="0000FF"/>
              </w:rPr>
              <w:t>Consent of Baker Tilly US, LLP</w:t>
            </w:r>
          </w:p>
        </w:tc>
        <w:tc>
          <w:tcPr>
            <w:tcW w:w="2360" w:type="dxa"/>
            <w:vAlign w:val="bottom"/>
            <w:gridSpan w:val="3"/>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74"/>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360" w:type="dxa"/>
            <w:vAlign w:val="bottom"/>
            <w:tcBorders>
              <w:top w:val="single" w:sz="8" w:color="0000FF"/>
            </w:tcBorders>
          </w:tcPr>
          <w:p>
            <w:pPr>
              <w:spacing w:after="0"/>
              <w:rPr>
                <w:sz w:val="15"/>
                <w:szCs w:val="15"/>
                <w:color w:val="auto"/>
              </w:rPr>
            </w:pPr>
          </w:p>
        </w:tc>
        <w:tc>
          <w:tcPr>
            <w:tcW w:w="420" w:type="dxa"/>
            <w:vAlign w:val="bottom"/>
            <w:tcBorders>
              <w:top w:val="single" w:sz="8" w:color="0000FF"/>
            </w:tcBorders>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II-1</w:t>
            </w: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607"/>
        </w:trPr>
        <w:tc>
          <w:tcPr>
            <w:tcW w:w="20" w:type="dxa"/>
            <w:vAlign w:val="bottom"/>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7147560</wp:posOffset>
            </wp:positionH>
            <wp:positionV relativeFrom="paragraph">
              <wp:posOffset>-25400</wp:posOffset>
            </wp:positionV>
            <wp:extent cx="3175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-25400</wp:posOffset>
            </wp:positionV>
            <wp:extent cx="3175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31750" cy="38735"/>
                    </a:xfrm>
                    <a:prstGeom prst="rect">
                      <a:avLst/>
                    </a:prstGeom>
                    <a:noFill/>
                  </pic:spPr>
                </pic:pic>
              </a:graphicData>
            </a:graphic>
          </wp:anchor>
        </w:drawing>
      </w:r>
    </w:p>
    <w:p>
      <w:pPr>
        <w:sectPr>
          <w:pgSz w:w="11900" w:h="16838" w:orient="portrait"/>
          <w:cols w:equalWidth="0" w:num="1">
            <w:col w:w="11280"/>
          </w:cols>
          <w:pgMar w:left="300" w:top="779" w:right="31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auto"/>
              </w:rPr>
              <w:t>23.2</w:t>
            </w:r>
          </w:p>
        </w:tc>
        <w:tc>
          <w:tcPr>
            <w:tcW w:w="44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w w:val="97"/>
              </w:rPr>
              <w:t>Consent of Sheppard, Mullin, Richter &amp; Hampton LLP (included in Exhibit 5.1)</w:t>
            </w:r>
          </w:p>
        </w:tc>
      </w:tr>
      <w:tr>
        <w:trPr>
          <w:trHeight w:val="144"/>
        </w:trPr>
        <w:tc>
          <w:tcPr>
            <w:tcW w:w="78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24.1</w:t>
            </w:r>
          </w:p>
        </w:tc>
        <w:tc>
          <w:tcPr>
            <w:tcW w:w="4400" w:type="dxa"/>
            <w:vAlign w:val="bottom"/>
            <w:gridSpan w:val="2"/>
          </w:tcPr>
          <w:p>
            <w:pPr>
              <w:spacing w:after="0" w:line="144" w:lineRule="exact"/>
              <w:rPr>
                <w:sz w:val="20"/>
                <w:szCs w:val="20"/>
                <w:color w:val="auto"/>
              </w:rPr>
            </w:pPr>
            <w:r>
              <w:rPr>
                <w:rFonts w:ascii="Times New Roman" w:cs="Times New Roman" w:eastAsia="Times New Roman" w:hAnsi="Times New Roman"/>
                <w:sz w:val="14"/>
                <w:szCs w:val="14"/>
                <w:color w:val="0000FF"/>
              </w:rPr>
              <w:t>Power of Attorney is included on signature page hereto</w:t>
            </w:r>
          </w:p>
        </w:tc>
      </w:tr>
      <w:tr>
        <w:trPr>
          <w:trHeight w:val="174"/>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auto"/>
              </w:rPr>
              <w:t>25.1**</w:t>
            </w:r>
          </w:p>
        </w:tc>
        <w:tc>
          <w:tcPr>
            <w:tcW w:w="30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4"/>
                <w:szCs w:val="14"/>
                <w:color w:val="auto"/>
                <w:w w:val="98"/>
              </w:rPr>
              <w:t>Statement of Eligibility of Trustee under the Indenture</w:t>
            </w:r>
          </w:p>
        </w:tc>
        <w:tc>
          <w:tcPr>
            <w:tcW w:w="1380" w:type="dxa"/>
            <w:vAlign w:val="bottom"/>
          </w:tcPr>
          <w:p>
            <w:pPr>
              <w:spacing w:after="0"/>
              <w:rPr>
                <w:sz w:val="15"/>
                <w:szCs w:val="15"/>
                <w:color w:val="auto"/>
              </w:rPr>
            </w:pPr>
          </w:p>
        </w:tc>
      </w:tr>
    </w:tbl>
    <w:p>
      <w:pPr>
        <w:ind w:left="780" w:hanging="778"/>
        <w:spacing w:after="0"/>
        <w:tabs>
          <w:tab w:leader="none" w:pos="7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0000FF"/>
        </w:rPr>
        <w:t>Filing fee table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To be filed, if applicable, by amendment or by a report filed under the Securities Exchange Act of 1934, as amended, and incorporated herein by reference.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To be filed, if applicable, in accordance with the requirements of Section 305(b)(2) of the Trust Indenture Act of 1939, as amended, and Rule 5b-3 thereunder.</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17. Undertakings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undersigned registrant hereby undertakes:</w:t>
      </w:r>
    </w:p>
    <w:p>
      <w:pPr>
        <w:spacing w:after="0" w:line="167" w:lineRule="exact"/>
        <w:rPr>
          <w:sz w:val="20"/>
          <w:szCs w:val="20"/>
          <w:color w:val="auto"/>
        </w:rPr>
      </w:pPr>
    </w:p>
    <w:p>
      <w:pPr>
        <w:ind w:left="480" w:hanging="478"/>
        <w:spacing w:after="0"/>
        <w:tabs>
          <w:tab w:leader="none" w:pos="4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during any period in which offers or sales are being made, a post-effective amendment to this registration statement:</w:t>
      </w:r>
    </w:p>
    <w:p>
      <w:pPr>
        <w:spacing w:after="0" w:line="167" w:lineRule="exact"/>
        <w:rPr>
          <w:rFonts w:ascii="Times New Roman" w:cs="Times New Roman" w:eastAsia="Times New Roman" w:hAnsi="Times New Roman"/>
          <w:sz w:val="14"/>
          <w:szCs w:val="14"/>
          <w:color w:val="auto"/>
        </w:rPr>
      </w:pPr>
    </w:p>
    <w:p>
      <w:pPr>
        <w:ind w:left="1060" w:hanging="586"/>
        <w:spacing w:after="0"/>
        <w:tabs>
          <w:tab w:leader="none" w:pos="1060"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prospectus required by Section 10(a)(3) of the Securities Act;</w:t>
      </w:r>
    </w:p>
    <w:p>
      <w:pPr>
        <w:spacing w:after="0" w:line="167" w:lineRule="exact"/>
        <w:rPr>
          <w:rFonts w:ascii="Times New Roman" w:cs="Times New Roman" w:eastAsia="Times New Roman" w:hAnsi="Times New Roman"/>
          <w:sz w:val="14"/>
          <w:szCs w:val="14"/>
          <w:color w:val="auto"/>
        </w:rPr>
      </w:pPr>
    </w:p>
    <w:p>
      <w:pPr>
        <w:jc w:val="both"/>
        <w:ind w:left="1060" w:hanging="586"/>
        <w:spacing w:after="0" w:line="250" w:lineRule="auto"/>
        <w:tabs>
          <w:tab w:leader="none" w:pos="1060"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146" w:lineRule="exact"/>
        <w:rPr>
          <w:rFonts w:ascii="Times New Roman" w:cs="Times New Roman" w:eastAsia="Times New Roman" w:hAnsi="Times New Roman"/>
          <w:sz w:val="14"/>
          <w:szCs w:val="14"/>
          <w:color w:val="auto"/>
        </w:rPr>
      </w:pPr>
    </w:p>
    <w:p>
      <w:pPr>
        <w:ind w:left="1060" w:hanging="586"/>
        <w:spacing w:after="0" w:line="266" w:lineRule="auto"/>
        <w:tabs>
          <w:tab w:leader="none" w:pos="1060"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13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the undertakings set forth in paragraphs (1)(i), (1)(ii) and (1)(iii) above do not apply if the information required to be included in a post-effective amendment by those paragraphs is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contained in reports filed with or furnished to the SEC by the registrant pursuant to Section 13 or Section 15(d) of the Securities Exchange Act of 1934, as amended, or the Exchange Act, that are incorporated by reference in this registration statement or are contained in a form of prospectus filed pursuant to Rule 424(b) that is part of this registration statement.</w:t>
      </w:r>
    </w:p>
    <w:p>
      <w:pPr>
        <w:spacing w:after="0" w:line="141" w:lineRule="exact"/>
        <w:rPr>
          <w:sz w:val="20"/>
          <w:szCs w:val="20"/>
          <w:color w:val="auto"/>
        </w:rPr>
      </w:pPr>
    </w:p>
    <w:p>
      <w:pPr>
        <w:ind w:left="480" w:hanging="478"/>
        <w:spacing w:after="0" w:line="266" w:lineRule="auto"/>
        <w:tabs>
          <w:tab w:leader="none" w:pos="4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35" w:lineRule="exact"/>
        <w:rPr>
          <w:rFonts w:ascii="Times New Roman" w:cs="Times New Roman" w:eastAsia="Times New Roman" w:hAnsi="Times New Roman"/>
          <w:sz w:val="14"/>
          <w:szCs w:val="14"/>
          <w:color w:val="auto"/>
        </w:rPr>
      </w:pPr>
    </w:p>
    <w:p>
      <w:pPr>
        <w:ind w:left="480" w:hanging="478"/>
        <w:spacing w:after="0"/>
        <w:tabs>
          <w:tab w:leader="none" w:pos="4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remove from registration by means of a post-effective amendment any of the securities being registered which remain unsold at the termination of the offering.</w:t>
      </w:r>
    </w:p>
    <w:p>
      <w:pPr>
        <w:spacing w:after="0" w:line="167" w:lineRule="exact"/>
        <w:rPr>
          <w:rFonts w:ascii="Times New Roman" w:cs="Times New Roman" w:eastAsia="Times New Roman" w:hAnsi="Times New Roman"/>
          <w:sz w:val="14"/>
          <w:szCs w:val="14"/>
          <w:color w:val="auto"/>
        </w:rPr>
      </w:pPr>
    </w:p>
    <w:p>
      <w:pPr>
        <w:ind w:left="480" w:hanging="478"/>
        <w:spacing w:after="0"/>
        <w:tabs>
          <w:tab w:leader="none" w:pos="4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under the Securities Act to any purchaser:</w:t>
      </w:r>
    </w:p>
    <w:p>
      <w:pPr>
        <w:spacing w:after="0" w:line="167" w:lineRule="exact"/>
        <w:rPr>
          <w:rFonts w:ascii="Times New Roman" w:cs="Times New Roman" w:eastAsia="Times New Roman" w:hAnsi="Times New Roman"/>
          <w:sz w:val="14"/>
          <w:szCs w:val="14"/>
          <w:color w:val="auto"/>
        </w:rPr>
      </w:pPr>
    </w:p>
    <w:p>
      <w:pPr>
        <w:ind w:left="1060" w:hanging="586"/>
        <w:spacing w:after="0" w:line="266" w:lineRule="auto"/>
        <w:tabs>
          <w:tab w:leader="none" w:pos="1060" w:val="left"/>
        </w:tabs>
        <w:numPr>
          <w:ilvl w:val="1"/>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35" w:lineRule="exact"/>
        <w:rPr>
          <w:rFonts w:ascii="Times New Roman" w:cs="Times New Roman" w:eastAsia="Times New Roman" w:hAnsi="Times New Roman"/>
          <w:sz w:val="14"/>
          <w:szCs w:val="14"/>
          <w:color w:val="auto"/>
        </w:rPr>
      </w:pPr>
    </w:p>
    <w:p>
      <w:pPr>
        <w:jc w:val="both"/>
        <w:ind w:left="1060" w:hanging="586"/>
        <w:spacing w:after="0" w:line="247" w:lineRule="auto"/>
        <w:tabs>
          <w:tab w:leader="none" w:pos="1060" w:val="left"/>
        </w:tabs>
        <w:numPr>
          <w:ilvl w:val="1"/>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374015</wp:posOffset>
            </wp:positionV>
            <wp:extent cx="719074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768" w:right="319" w:bottom="1440" w:gutter="0" w:footer="0" w:header="0"/>
        </w:sectPr>
      </w:pPr>
    </w:p>
    <w:bookmarkStart w:id="26" w:name="page27"/>
    <w:bookmarkEnd w:id="26"/>
    <w:p>
      <w:pPr>
        <w:ind w:left="1060"/>
        <w:spacing w:after="0" w:line="266" w:lineRule="auto"/>
        <w:rPr>
          <w:sz w:val="20"/>
          <w:szCs w:val="20"/>
          <w:color w:val="auto"/>
        </w:rPr>
      </w:pPr>
      <w:r>
        <w:rPr>
          <w:rFonts w:ascii="Times New Roman" w:cs="Times New Roman" w:eastAsia="Times New Roman" w:hAnsi="Times New Roman"/>
          <w:sz w:val="14"/>
          <w:szCs w:val="14"/>
          <w:color w:val="auto"/>
        </w:rPr>
        <w:t>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36" w:lineRule="exact"/>
        <w:rPr>
          <w:sz w:val="20"/>
          <w:szCs w:val="20"/>
          <w:color w:val="auto"/>
        </w:rPr>
      </w:pPr>
    </w:p>
    <w:p>
      <w:pPr>
        <w:jc w:val="both"/>
        <w:ind w:left="480" w:hanging="478"/>
        <w:spacing w:after="0" w:line="248" w:lineRule="auto"/>
        <w:tabs>
          <w:tab w:leader="none" w:pos="4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(i) any preliminary prospectus or prospectus of the undersigned registrant relating to the offering required to be filed pursuant to Rule 424; (ii) any free writing prospectus relating to the offering prepared by or on behalf of the undersigned registrant or used or referred to by the undersigned registrant; (iii) the portion of any other free writing prospectus relating to the offering containing material information about the undersigned registrant or its securities provided by or on behalf of the undersigned registrant; and (iv) any other communication that is an offer in the offering made by the undersigned registrant to the purchaser.</w:t>
      </w:r>
    </w:p>
    <w:p>
      <w:pPr>
        <w:spacing w:after="0" w:line="148" w:lineRule="exact"/>
        <w:rPr>
          <w:rFonts w:ascii="Times New Roman" w:cs="Times New Roman" w:eastAsia="Times New Roman" w:hAnsi="Times New Roman"/>
          <w:sz w:val="14"/>
          <w:szCs w:val="14"/>
          <w:color w:val="auto"/>
        </w:rPr>
      </w:pPr>
    </w:p>
    <w:p>
      <w:pPr>
        <w:ind w:left="480" w:hanging="478"/>
        <w:spacing w:after="0"/>
        <w:tabs>
          <w:tab w:leader="none" w:pos="4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purposes of determining any liability under the Securities Act:</w:t>
      </w:r>
    </w:p>
    <w:p>
      <w:pPr>
        <w:spacing w:after="0" w:line="167" w:lineRule="exact"/>
        <w:rPr>
          <w:rFonts w:ascii="Times New Roman" w:cs="Times New Roman" w:eastAsia="Times New Roman" w:hAnsi="Times New Roman"/>
          <w:sz w:val="14"/>
          <w:szCs w:val="14"/>
          <w:color w:val="auto"/>
        </w:rPr>
      </w:pPr>
    </w:p>
    <w:p>
      <w:pPr>
        <w:ind w:left="1060" w:hanging="586"/>
        <w:spacing w:after="0" w:line="266" w:lineRule="auto"/>
        <w:tabs>
          <w:tab w:leader="none" w:pos="1060" w:val="left"/>
        </w:tabs>
        <w:numPr>
          <w:ilvl w:val="1"/>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omitted from the form of prospectus filed as part of the registration statement in reliance upon Rule 430A and contained in the form of prospectus filed by the registrant pursuant to Rule 424(b)(1) or (4) or 497(h) under the Securities Act shall be deemed to be part of the registration statement as of the time it was declared effective; and</w:t>
      </w:r>
    </w:p>
    <w:p>
      <w:pPr>
        <w:spacing w:after="0" w:line="135" w:lineRule="exact"/>
        <w:rPr>
          <w:rFonts w:ascii="Times New Roman" w:cs="Times New Roman" w:eastAsia="Times New Roman" w:hAnsi="Times New Roman"/>
          <w:sz w:val="14"/>
          <w:szCs w:val="14"/>
          <w:color w:val="auto"/>
        </w:rPr>
      </w:pPr>
    </w:p>
    <w:p>
      <w:pPr>
        <w:ind w:left="1060" w:hanging="586"/>
        <w:spacing w:after="0" w:line="266" w:lineRule="auto"/>
        <w:tabs>
          <w:tab w:leader="none" w:pos="1060" w:val="left"/>
        </w:tabs>
        <w:numPr>
          <w:ilvl w:val="1"/>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35" w:lineRule="exact"/>
        <w:rPr>
          <w:rFonts w:ascii="Times New Roman" w:cs="Times New Roman" w:eastAsia="Times New Roman" w:hAnsi="Times New Roman"/>
          <w:sz w:val="14"/>
          <w:szCs w:val="14"/>
          <w:color w:val="auto"/>
        </w:rPr>
      </w:pPr>
    </w:p>
    <w:p>
      <w:pPr>
        <w:jc w:val="both"/>
        <w:ind w:left="480" w:hanging="478"/>
        <w:spacing w:after="0" w:line="255" w:lineRule="auto"/>
        <w:tabs>
          <w:tab w:leader="none" w:pos="4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43" w:lineRule="exact"/>
        <w:rPr>
          <w:rFonts w:ascii="Times New Roman" w:cs="Times New Roman" w:eastAsia="Times New Roman" w:hAnsi="Times New Roman"/>
          <w:sz w:val="14"/>
          <w:szCs w:val="14"/>
          <w:color w:val="auto"/>
        </w:rPr>
      </w:pPr>
    </w:p>
    <w:p>
      <w:pPr>
        <w:ind w:left="480" w:hanging="478"/>
        <w:spacing w:after="0" w:line="266" w:lineRule="auto"/>
        <w:tabs>
          <w:tab w:leader="none" w:pos="4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an application for the purpose of determining the eligibility of the trustee to act under subsection (a) of Section 310 of the Trust Indenture Act in accordance with the rules and regulations prescribed by the SEC under Section 305(b)(2) of the Trust Indenture Act.</w:t>
      </w:r>
    </w:p>
    <w:p>
      <w:pPr>
        <w:spacing w:after="0" w:line="13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374015</wp:posOffset>
            </wp:positionV>
            <wp:extent cx="719074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783" w:right="31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Carlsbad, State of California, on March 11, 2026.</w:t>
      </w:r>
    </w:p>
    <w:p>
      <w:pPr>
        <w:spacing w:after="0" w:line="1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LINEAGE CELL THERAPEUTICS, INC.</w:t>
      </w:r>
    </w:p>
    <w:p>
      <w:pPr>
        <w:spacing w:after="0" w:line="167" w:lineRule="exact"/>
        <w:rPr>
          <w:sz w:val="20"/>
          <w:szCs w:val="20"/>
          <w:color w:val="auto"/>
        </w:rPr>
      </w:pPr>
    </w:p>
    <w:p>
      <w:pPr>
        <w:ind w:left="5640"/>
        <w:spacing w:after="0"/>
        <w:tabs>
          <w:tab w:leader="none" w:pos="5980" w:val="left"/>
        </w:tabs>
        <w:rPr>
          <w:sz w:val="20"/>
          <w:szCs w:val="20"/>
          <w:color w:val="auto"/>
        </w:rPr>
      </w:pPr>
      <w:r>
        <w:rPr>
          <w:rFonts w:ascii="Times New Roman" w:cs="Times New Roman" w:eastAsia="Times New Roman" w:hAnsi="Times New Roman"/>
          <w:sz w:val="14"/>
          <w:szCs w:val="14"/>
          <w:color w:val="auto"/>
        </w:rPr>
        <w:t>By:</w:t>
        <w:tab/>
        <w:t>/s/ Brian M. Culley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3811905</wp:posOffset>
            </wp:positionH>
            <wp:positionV relativeFrom="paragraph">
              <wp:posOffset>10160</wp:posOffset>
            </wp:positionV>
            <wp:extent cx="3354705" cy="133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3354705" cy="13335"/>
                    </a:xfrm>
                    <a:prstGeom prst="rect">
                      <a:avLst/>
                    </a:prstGeom>
                    <a:noFill/>
                  </pic:spPr>
                </pic:pic>
              </a:graphicData>
            </a:graphic>
          </wp:anchor>
        </w:drawing>
      </w:r>
    </w:p>
    <w:p>
      <w:pPr>
        <w:spacing w:after="0" w:line="4"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4"/>
          <w:szCs w:val="14"/>
          <w:color w:val="auto"/>
        </w:rPr>
        <w:t>Brian M. Culley</w:t>
      </w:r>
    </w:p>
    <w:p>
      <w:pPr>
        <w:spacing w:after="0" w:line="15"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7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KNOW ALL BY THESE PRESENTS, that each person whose signature appears below hereby constitutes and appoints Brian M. Culley and George A. Samuel III, and each of them, his or her true and lawful agent, proxy and attorney-in-fact, with full power of substitution and resubstitution, for him or her and in his or name, place and stead, in any and all capacities, to: (i) act on, sign and file with the Securities and Exchange Commission any and all amendments (including post-effective amendments) to this registration statement together with all schedules and exhibits thereto and any subsequent registration statement filed pursuant to Rule 462(b) under the Securities Act of 1933, as amended, together with all schedules and exhibits thereto; (ii) act on, sign and file such certificates, instruments, agreements and other documents as may be necessary or appropriate in connection therewith; (iii) act on and file any supplement to any prospectus included in this registration statement or any such amendment or any subsequent registration statement filed pursuant to Rule 462(b) under the Securities Act of 1933, as amended; and (iv) take any and all actions which may be necessary or appropriate to be done, as fully for all intents and purposes as he might or could do in person, hereby approving, ratifying and confirming all that such agent, proxy and attorney-in-fact or any of his or her substitutes may lawfully do or cause to be done by virtue thereof.</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Pursuant to the requirements of the Securities Act of 1933, this registration statement has been signed below by the following persons on behalf of the registrant in the capacities and on the dates indicated.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600" w:type="dxa"/>
            <w:vAlign w:val="bottom"/>
          </w:tcPr>
          <w:p>
            <w:pPr>
              <w:spacing w:after="0"/>
              <w:rPr>
                <w:sz w:val="20"/>
                <w:szCs w:val="20"/>
                <w:color w:val="auto"/>
              </w:rPr>
            </w:pPr>
            <w:r>
              <w:rPr>
                <w:rFonts w:ascii="Times New Roman" w:cs="Times New Roman" w:eastAsia="Times New Roman" w:hAnsi="Times New Roman"/>
                <w:sz w:val="14"/>
                <w:szCs w:val="14"/>
                <w:color w:val="auto"/>
              </w:rPr>
              <w:t>Signature</w:t>
            </w:r>
          </w:p>
        </w:tc>
        <w:tc>
          <w:tcPr>
            <w:tcW w:w="47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Title</w:t>
            </w:r>
          </w:p>
        </w:tc>
        <w:tc>
          <w:tcPr>
            <w:tcW w:w="240" w:type="dxa"/>
            <w:vAlign w:val="bottom"/>
          </w:tcPr>
          <w:p>
            <w:pPr>
              <w:spacing w:after="0"/>
              <w:rPr>
                <w:sz w:val="15"/>
                <w:szCs w:val="15"/>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4"/>
                <w:szCs w:val="14"/>
                <w:color w:val="auto"/>
              </w:rPr>
              <w:t>Date</w:t>
            </w:r>
          </w:p>
        </w:tc>
      </w:tr>
      <w:tr>
        <w:trPr>
          <w:trHeight w:val="22"/>
        </w:trPr>
        <w:tc>
          <w:tcPr>
            <w:tcW w:w="3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r>
      <w:tr>
        <w:trPr>
          <w:trHeight w:val="339"/>
        </w:trPr>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/s/ Brian M. Culley</w:t>
            </w:r>
          </w:p>
        </w:tc>
        <w:tc>
          <w:tcPr>
            <w:tcW w:w="47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Chief Executive Officer and Director</w:t>
            </w:r>
          </w:p>
        </w:tc>
        <w:tc>
          <w:tcPr>
            <w:tcW w:w="240" w:type="dxa"/>
            <w:vAlign w:val="bottom"/>
          </w:tcPr>
          <w:p>
            <w:pPr>
              <w:spacing w:after="0"/>
              <w:rPr>
                <w:sz w:val="24"/>
                <w:szCs w:val="24"/>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4"/>
                <w:szCs w:val="14"/>
                <w:color w:val="auto"/>
              </w:rPr>
              <w:t>March 11, 2026</w:t>
            </w:r>
          </w:p>
        </w:tc>
      </w:tr>
      <w:tr>
        <w:trPr>
          <w:trHeight w:val="176"/>
        </w:trPr>
        <w:tc>
          <w:tcPr>
            <w:tcW w:w="3600" w:type="dxa"/>
            <w:vAlign w:val="bottom"/>
          </w:tcPr>
          <w:p>
            <w:pPr>
              <w:spacing w:after="0"/>
              <w:rPr>
                <w:sz w:val="20"/>
                <w:szCs w:val="20"/>
                <w:color w:val="auto"/>
              </w:rPr>
            </w:pPr>
            <w:r>
              <w:rPr>
                <w:rFonts w:ascii="Times New Roman" w:cs="Times New Roman" w:eastAsia="Times New Roman" w:hAnsi="Times New Roman"/>
                <w:sz w:val="14"/>
                <w:szCs w:val="14"/>
                <w:color w:val="auto"/>
              </w:rPr>
              <w:t>Brian M. Culley</w:t>
            </w:r>
          </w:p>
        </w:tc>
        <w:tc>
          <w:tcPr>
            <w:tcW w:w="47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240" w:type="dxa"/>
            <w:vAlign w:val="bottom"/>
          </w:tcPr>
          <w:p>
            <w:pPr>
              <w:spacing w:after="0"/>
              <w:rPr>
                <w:sz w:val="15"/>
                <w:szCs w:val="15"/>
                <w:color w:val="auto"/>
              </w:rPr>
            </w:pPr>
          </w:p>
        </w:tc>
        <w:tc>
          <w:tcPr>
            <w:tcW w:w="2680" w:type="dxa"/>
            <w:vAlign w:val="bottom"/>
          </w:tcPr>
          <w:p>
            <w:pPr>
              <w:spacing w:after="0"/>
              <w:rPr>
                <w:sz w:val="15"/>
                <w:szCs w:val="15"/>
                <w:color w:val="auto"/>
              </w:rPr>
            </w:pPr>
          </w:p>
        </w:tc>
      </w:tr>
      <w:tr>
        <w:trPr>
          <w:trHeight w:val="327"/>
        </w:trPr>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/s/ Jill Ann Howe</w:t>
            </w:r>
          </w:p>
        </w:tc>
        <w:tc>
          <w:tcPr>
            <w:tcW w:w="47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Chief Financial Officer</w:t>
            </w:r>
          </w:p>
        </w:tc>
        <w:tc>
          <w:tcPr>
            <w:tcW w:w="240" w:type="dxa"/>
            <w:vAlign w:val="bottom"/>
          </w:tcPr>
          <w:p>
            <w:pPr>
              <w:spacing w:after="0"/>
              <w:rPr>
                <w:sz w:val="24"/>
                <w:szCs w:val="24"/>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4"/>
                <w:szCs w:val="14"/>
                <w:color w:val="auto"/>
              </w:rPr>
              <w:t>March 11, 2026</w:t>
            </w:r>
          </w:p>
        </w:tc>
      </w:tr>
      <w:tr>
        <w:trPr>
          <w:trHeight w:val="176"/>
        </w:trPr>
        <w:tc>
          <w:tcPr>
            <w:tcW w:w="3600" w:type="dxa"/>
            <w:vAlign w:val="bottom"/>
          </w:tcPr>
          <w:p>
            <w:pPr>
              <w:spacing w:after="0"/>
              <w:rPr>
                <w:sz w:val="20"/>
                <w:szCs w:val="20"/>
                <w:color w:val="auto"/>
              </w:rPr>
            </w:pPr>
            <w:r>
              <w:rPr>
                <w:rFonts w:ascii="Times New Roman" w:cs="Times New Roman" w:eastAsia="Times New Roman" w:hAnsi="Times New Roman"/>
                <w:sz w:val="14"/>
                <w:szCs w:val="14"/>
                <w:color w:val="auto"/>
              </w:rPr>
              <w:t>Jill Ann Howe</w:t>
            </w:r>
          </w:p>
        </w:tc>
        <w:tc>
          <w:tcPr>
            <w:tcW w:w="47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(Principal Financial and Accounting Officer)</w:t>
            </w:r>
          </w:p>
        </w:tc>
        <w:tc>
          <w:tcPr>
            <w:tcW w:w="240" w:type="dxa"/>
            <w:vAlign w:val="bottom"/>
          </w:tcPr>
          <w:p>
            <w:pPr>
              <w:spacing w:after="0"/>
              <w:rPr>
                <w:sz w:val="15"/>
                <w:szCs w:val="15"/>
                <w:color w:val="auto"/>
              </w:rPr>
            </w:pPr>
          </w:p>
        </w:tc>
        <w:tc>
          <w:tcPr>
            <w:tcW w:w="2680" w:type="dxa"/>
            <w:vAlign w:val="bottom"/>
          </w:tcPr>
          <w:p>
            <w:pPr>
              <w:spacing w:after="0"/>
              <w:rPr>
                <w:sz w:val="15"/>
                <w:szCs w:val="15"/>
                <w:color w:val="auto"/>
              </w:rPr>
            </w:pPr>
          </w:p>
        </w:tc>
      </w:tr>
      <w:tr>
        <w:trPr>
          <w:trHeight w:val="327"/>
        </w:trPr>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/s/ Dipti Amin</w:t>
            </w:r>
          </w:p>
        </w:tc>
        <w:tc>
          <w:tcPr>
            <w:tcW w:w="47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Director</w:t>
            </w:r>
          </w:p>
        </w:tc>
        <w:tc>
          <w:tcPr>
            <w:tcW w:w="240" w:type="dxa"/>
            <w:vAlign w:val="bottom"/>
          </w:tcPr>
          <w:p>
            <w:pPr>
              <w:spacing w:after="0"/>
              <w:rPr>
                <w:sz w:val="24"/>
                <w:szCs w:val="24"/>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4"/>
                <w:szCs w:val="14"/>
                <w:color w:val="auto"/>
              </w:rPr>
              <w:t>March 11, 2026</w:t>
            </w:r>
          </w:p>
        </w:tc>
      </w:tr>
      <w:tr>
        <w:trPr>
          <w:trHeight w:val="176"/>
        </w:trPr>
        <w:tc>
          <w:tcPr>
            <w:tcW w:w="3600" w:type="dxa"/>
            <w:vAlign w:val="bottom"/>
          </w:tcPr>
          <w:p>
            <w:pPr>
              <w:spacing w:after="0"/>
              <w:rPr>
                <w:sz w:val="20"/>
                <w:szCs w:val="20"/>
                <w:color w:val="auto"/>
              </w:rPr>
            </w:pPr>
            <w:r>
              <w:rPr>
                <w:rFonts w:ascii="Times New Roman" w:cs="Times New Roman" w:eastAsia="Times New Roman" w:hAnsi="Times New Roman"/>
                <w:sz w:val="14"/>
                <w:szCs w:val="14"/>
                <w:color w:val="auto"/>
              </w:rPr>
              <w:t>Dipti Amin</w:t>
            </w:r>
          </w:p>
        </w:tc>
        <w:tc>
          <w:tcPr>
            <w:tcW w:w="26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80" w:type="dxa"/>
            <w:vAlign w:val="bottom"/>
          </w:tcPr>
          <w:p>
            <w:pPr>
              <w:spacing w:after="0"/>
              <w:rPr>
                <w:sz w:val="15"/>
                <w:szCs w:val="15"/>
                <w:color w:val="auto"/>
              </w:rPr>
            </w:pPr>
          </w:p>
        </w:tc>
      </w:tr>
      <w:tr>
        <w:trPr>
          <w:trHeight w:val="327"/>
        </w:trPr>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/s/ Deborah Andrews</w:t>
            </w:r>
          </w:p>
        </w:tc>
        <w:tc>
          <w:tcPr>
            <w:tcW w:w="47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Director</w:t>
            </w:r>
          </w:p>
        </w:tc>
        <w:tc>
          <w:tcPr>
            <w:tcW w:w="240" w:type="dxa"/>
            <w:vAlign w:val="bottom"/>
          </w:tcPr>
          <w:p>
            <w:pPr>
              <w:spacing w:after="0"/>
              <w:rPr>
                <w:sz w:val="24"/>
                <w:szCs w:val="24"/>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4"/>
                <w:szCs w:val="14"/>
                <w:color w:val="auto"/>
              </w:rPr>
              <w:t>March 11, 2026</w:t>
            </w:r>
          </w:p>
        </w:tc>
      </w:tr>
      <w:tr>
        <w:trPr>
          <w:trHeight w:val="176"/>
        </w:trPr>
        <w:tc>
          <w:tcPr>
            <w:tcW w:w="3600" w:type="dxa"/>
            <w:vAlign w:val="bottom"/>
          </w:tcPr>
          <w:p>
            <w:pPr>
              <w:spacing w:after="0"/>
              <w:rPr>
                <w:sz w:val="20"/>
                <w:szCs w:val="20"/>
                <w:color w:val="auto"/>
              </w:rPr>
            </w:pPr>
            <w:r>
              <w:rPr>
                <w:rFonts w:ascii="Times New Roman" w:cs="Times New Roman" w:eastAsia="Times New Roman" w:hAnsi="Times New Roman"/>
                <w:sz w:val="14"/>
                <w:szCs w:val="14"/>
                <w:color w:val="auto"/>
              </w:rPr>
              <w:t>Deborah Andrews</w:t>
            </w:r>
          </w:p>
        </w:tc>
        <w:tc>
          <w:tcPr>
            <w:tcW w:w="26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80" w:type="dxa"/>
            <w:vAlign w:val="bottom"/>
          </w:tcPr>
          <w:p>
            <w:pPr>
              <w:spacing w:after="0"/>
              <w:rPr>
                <w:sz w:val="15"/>
                <w:szCs w:val="15"/>
                <w:color w:val="auto"/>
              </w:rPr>
            </w:pPr>
          </w:p>
        </w:tc>
      </w:tr>
      <w:tr>
        <w:trPr>
          <w:trHeight w:val="327"/>
        </w:trPr>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/s/ Neal C. Bradsher</w:t>
            </w:r>
          </w:p>
        </w:tc>
        <w:tc>
          <w:tcPr>
            <w:tcW w:w="47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Director</w:t>
            </w:r>
          </w:p>
        </w:tc>
        <w:tc>
          <w:tcPr>
            <w:tcW w:w="240" w:type="dxa"/>
            <w:vAlign w:val="bottom"/>
          </w:tcPr>
          <w:p>
            <w:pPr>
              <w:spacing w:after="0"/>
              <w:rPr>
                <w:sz w:val="24"/>
                <w:szCs w:val="24"/>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4"/>
                <w:szCs w:val="14"/>
                <w:color w:val="auto"/>
              </w:rPr>
              <w:t>March 11, 2026</w:t>
            </w:r>
          </w:p>
        </w:tc>
      </w:tr>
      <w:tr>
        <w:trPr>
          <w:trHeight w:val="176"/>
        </w:trPr>
        <w:tc>
          <w:tcPr>
            <w:tcW w:w="3600" w:type="dxa"/>
            <w:vAlign w:val="bottom"/>
          </w:tcPr>
          <w:p>
            <w:pPr>
              <w:spacing w:after="0"/>
              <w:rPr>
                <w:sz w:val="20"/>
                <w:szCs w:val="20"/>
                <w:color w:val="auto"/>
              </w:rPr>
            </w:pPr>
            <w:r>
              <w:rPr>
                <w:rFonts w:ascii="Times New Roman" w:cs="Times New Roman" w:eastAsia="Times New Roman" w:hAnsi="Times New Roman"/>
                <w:sz w:val="14"/>
                <w:szCs w:val="14"/>
                <w:color w:val="auto"/>
              </w:rPr>
              <w:t>Neal C. Bradsher</w:t>
            </w:r>
          </w:p>
        </w:tc>
        <w:tc>
          <w:tcPr>
            <w:tcW w:w="26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80" w:type="dxa"/>
            <w:vAlign w:val="bottom"/>
          </w:tcPr>
          <w:p>
            <w:pPr>
              <w:spacing w:after="0"/>
              <w:rPr>
                <w:sz w:val="15"/>
                <w:szCs w:val="15"/>
                <w:color w:val="auto"/>
              </w:rPr>
            </w:pPr>
          </w:p>
        </w:tc>
      </w:tr>
      <w:tr>
        <w:trPr>
          <w:trHeight w:val="317"/>
        </w:trPr>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/s/ Anula Jayasuriya</w:t>
            </w:r>
          </w:p>
        </w:tc>
        <w:tc>
          <w:tcPr>
            <w:tcW w:w="47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Director</w:t>
            </w:r>
          </w:p>
        </w:tc>
        <w:tc>
          <w:tcPr>
            <w:tcW w:w="240" w:type="dxa"/>
            <w:vAlign w:val="bottom"/>
          </w:tcPr>
          <w:p>
            <w:pPr>
              <w:spacing w:after="0"/>
              <w:rPr>
                <w:sz w:val="24"/>
                <w:szCs w:val="24"/>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4"/>
                <w:szCs w:val="14"/>
                <w:color w:val="auto"/>
              </w:rPr>
              <w:t>March 11, 2026</w:t>
            </w:r>
          </w:p>
        </w:tc>
      </w:tr>
      <w:tr>
        <w:trPr>
          <w:trHeight w:val="176"/>
        </w:trPr>
        <w:tc>
          <w:tcPr>
            <w:tcW w:w="3600" w:type="dxa"/>
            <w:vAlign w:val="bottom"/>
          </w:tcPr>
          <w:p>
            <w:pPr>
              <w:spacing w:after="0"/>
              <w:rPr>
                <w:sz w:val="20"/>
                <w:szCs w:val="20"/>
                <w:color w:val="auto"/>
              </w:rPr>
            </w:pPr>
            <w:r>
              <w:rPr>
                <w:rFonts w:ascii="Times New Roman" w:cs="Times New Roman" w:eastAsia="Times New Roman" w:hAnsi="Times New Roman"/>
                <w:sz w:val="14"/>
                <w:szCs w:val="14"/>
                <w:color w:val="auto"/>
              </w:rPr>
              <w:t>Anula Jayasuriya</w:t>
            </w:r>
          </w:p>
        </w:tc>
        <w:tc>
          <w:tcPr>
            <w:tcW w:w="26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80" w:type="dxa"/>
            <w:vAlign w:val="bottom"/>
          </w:tcPr>
          <w:p>
            <w:pPr>
              <w:spacing w:after="0"/>
              <w:rPr>
                <w:sz w:val="15"/>
                <w:szCs w:val="15"/>
                <w:color w:val="auto"/>
              </w:rPr>
            </w:pPr>
          </w:p>
        </w:tc>
      </w:tr>
      <w:tr>
        <w:trPr>
          <w:trHeight w:val="327"/>
        </w:trPr>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/s/ Michael H. Mulroy</w:t>
            </w:r>
          </w:p>
        </w:tc>
        <w:tc>
          <w:tcPr>
            <w:tcW w:w="47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Director</w:t>
            </w:r>
          </w:p>
        </w:tc>
        <w:tc>
          <w:tcPr>
            <w:tcW w:w="240" w:type="dxa"/>
            <w:vAlign w:val="bottom"/>
          </w:tcPr>
          <w:p>
            <w:pPr>
              <w:spacing w:after="0"/>
              <w:rPr>
                <w:sz w:val="24"/>
                <w:szCs w:val="24"/>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4"/>
                <w:szCs w:val="14"/>
                <w:color w:val="auto"/>
              </w:rPr>
              <w:t>March 11, 2026</w:t>
            </w:r>
          </w:p>
        </w:tc>
      </w:tr>
      <w:tr>
        <w:trPr>
          <w:trHeight w:val="176"/>
        </w:trPr>
        <w:tc>
          <w:tcPr>
            <w:tcW w:w="3600" w:type="dxa"/>
            <w:vAlign w:val="bottom"/>
          </w:tcPr>
          <w:p>
            <w:pPr>
              <w:spacing w:after="0"/>
              <w:rPr>
                <w:sz w:val="20"/>
                <w:szCs w:val="20"/>
                <w:color w:val="auto"/>
              </w:rPr>
            </w:pPr>
            <w:r>
              <w:rPr>
                <w:rFonts w:ascii="Times New Roman" w:cs="Times New Roman" w:eastAsia="Times New Roman" w:hAnsi="Times New Roman"/>
                <w:sz w:val="14"/>
                <w:szCs w:val="14"/>
                <w:color w:val="auto"/>
              </w:rPr>
              <w:t>Michael H. Mulroy</w:t>
            </w:r>
          </w:p>
        </w:tc>
        <w:tc>
          <w:tcPr>
            <w:tcW w:w="26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80" w:type="dxa"/>
            <w:vAlign w:val="bottom"/>
          </w:tcPr>
          <w:p>
            <w:pPr>
              <w:spacing w:after="0"/>
              <w:rPr>
                <w:sz w:val="15"/>
                <w:szCs w:val="15"/>
                <w:color w:val="auto"/>
              </w:rPr>
            </w:pPr>
          </w:p>
        </w:tc>
      </w:tr>
      <w:tr>
        <w:trPr>
          <w:trHeight w:val="327"/>
        </w:trPr>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/s/ Angus C. Russell</w:t>
            </w:r>
          </w:p>
        </w:tc>
        <w:tc>
          <w:tcPr>
            <w:tcW w:w="47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Director</w:t>
            </w:r>
          </w:p>
        </w:tc>
        <w:tc>
          <w:tcPr>
            <w:tcW w:w="240" w:type="dxa"/>
            <w:vAlign w:val="bottom"/>
          </w:tcPr>
          <w:p>
            <w:pPr>
              <w:spacing w:after="0"/>
              <w:rPr>
                <w:sz w:val="24"/>
                <w:szCs w:val="24"/>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4"/>
                <w:szCs w:val="14"/>
                <w:color w:val="auto"/>
              </w:rPr>
              <w:t>March 11, 2026</w:t>
            </w:r>
          </w:p>
        </w:tc>
      </w:tr>
      <w:tr>
        <w:trPr>
          <w:trHeight w:val="176"/>
        </w:trPr>
        <w:tc>
          <w:tcPr>
            <w:tcW w:w="3600" w:type="dxa"/>
            <w:vAlign w:val="bottom"/>
          </w:tcPr>
          <w:p>
            <w:pPr>
              <w:spacing w:after="0"/>
              <w:rPr>
                <w:sz w:val="20"/>
                <w:szCs w:val="20"/>
                <w:color w:val="auto"/>
              </w:rPr>
            </w:pPr>
            <w:r>
              <w:rPr>
                <w:rFonts w:ascii="Times New Roman" w:cs="Times New Roman" w:eastAsia="Times New Roman" w:hAnsi="Times New Roman"/>
                <w:sz w:val="14"/>
                <w:szCs w:val="14"/>
                <w:color w:val="auto"/>
              </w:rPr>
              <w:t>Angus C. Russell</w:t>
            </w:r>
          </w:p>
        </w:tc>
        <w:tc>
          <w:tcPr>
            <w:tcW w:w="26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80" w:type="dxa"/>
            <w:vAlign w:val="bottom"/>
          </w:tcPr>
          <w:p>
            <w:pPr>
              <w:spacing w:after="0"/>
              <w:rPr>
                <w:sz w:val="15"/>
                <w:szCs w:val="15"/>
                <w:color w:val="auto"/>
              </w:rPr>
            </w:pPr>
          </w:p>
        </w:tc>
      </w:tr>
      <w:tr>
        <w:trPr>
          <w:trHeight w:val="943"/>
        </w:trPr>
        <w:tc>
          <w:tcPr>
            <w:tcW w:w="36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5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7147560</wp:posOffset>
            </wp:positionH>
            <wp:positionV relativeFrom="paragraph">
              <wp:posOffset>-25400</wp:posOffset>
            </wp:positionV>
            <wp:extent cx="3175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-25400</wp:posOffset>
            </wp:positionV>
            <wp:extent cx="3175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31750" cy="38735"/>
                    </a:xfrm>
                    <a:prstGeom prst="rect">
                      <a:avLst/>
                    </a:prstGeom>
                    <a:noFill/>
                  </pic:spPr>
                </pic:pic>
              </a:graphicData>
            </a:graphic>
          </wp:anchor>
        </w:drawing>
      </w:r>
    </w:p>
    <w:p>
      <w:pPr>
        <w:sectPr>
          <w:pgSz w:w="11900" w:h="16838" w:orient="portrait"/>
          <w:cols w:equalWidth="0" w:num="1">
            <w:col w:w="11280"/>
          </w:cols>
          <w:pgMar w:left="300" w:top="779" w:right="31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4"/>
          <w:szCs w:val="14"/>
          <w:b w:val="1"/>
          <w:bCs w:val="1"/>
          <w:color w:val="auto"/>
        </w:rPr>
        <w:t>Exhibit 4.3</w:t>
      </w:r>
    </w:p>
    <w:p>
      <w:pPr>
        <w:spacing w:after="0" w:line="16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LINEAGE CELL THERAPEUTICS, INC.,</w:t>
      </w:r>
    </w:p>
    <w:p>
      <w:pPr>
        <w:spacing w:after="0" w:line="3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Iss</w:t>
      </w:r>
      <w:r>
        <w:rPr>
          <w:rFonts w:ascii="Times New Roman" w:cs="Times New Roman" w:eastAsia="Times New Roman" w:hAnsi="Times New Roman"/>
          <w:sz w:val="14"/>
          <w:szCs w:val="14"/>
          <w:color w:val="auto"/>
        </w:rPr>
        <w:t>u</w:t>
      </w:r>
      <w:r>
        <w:rPr>
          <w:rFonts w:ascii="Times New Roman" w:cs="Times New Roman" w:eastAsia="Times New Roman" w:hAnsi="Times New Roman"/>
          <w:sz w:val="14"/>
          <w:szCs w:val="14"/>
          <w:b w:val="1"/>
          <w:bCs w:val="1"/>
          <w:color w:val="auto"/>
        </w:rPr>
        <w:t>er</w:t>
      </w:r>
    </w:p>
    <w:p>
      <w:pPr>
        <w:spacing w:after="0" w:line="15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AND</w:t>
      </w:r>
    </w:p>
    <w:p>
      <w:pPr>
        <w:spacing w:after="0" w:line="16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[TRUSTEE],</w:t>
      </w:r>
    </w:p>
    <w:p>
      <w:pPr>
        <w:spacing w:after="0" w:line="16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4"/>
          <w:szCs w:val="14"/>
          <w:b w:val="1"/>
          <w:bCs w:val="1"/>
          <w:color w:val="auto"/>
        </w:rPr>
        <w:t>Trustee</w:t>
      </w:r>
    </w:p>
    <w:p>
      <w:pPr>
        <w:spacing w:after="0" w:line="34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INDENTURE</w:t>
      </w:r>
    </w:p>
    <w:p>
      <w:pPr>
        <w:spacing w:after="0" w:line="16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4"/>
          <w:szCs w:val="14"/>
          <w:b w:val="1"/>
          <w:bCs w:val="1"/>
          <w:color w:val="auto"/>
        </w:rPr>
        <w:t>Dated as of [●], 20__</w:t>
      </w:r>
    </w:p>
    <w:p>
      <w:pPr>
        <w:spacing w:after="0" w:line="342"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4"/>
          <w:szCs w:val="14"/>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-734695</wp:posOffset>
            </wp:positionH>
            <wp:positionV relativeFrom="paragraph">
              <wp:posOffset>1198245</wp:posOffset>
            </wp:positionV>
            <wp:extent cx="719074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0140"/>
          </w:cols>
          <w:pgMar w:left="1440" w:top="1108" w:right="31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9"/>
          <w:szCs w:val="9"/>
          <w:b w:val="1"/>
          <w:bCs w:val="1"/>
          <w:color w:val="auto"/>
        </w:rPr>
        <w:t>able</w:t>
      </w:r>
      <w:r>
        <w:rPr>
          <w:rFonts w:ascii="Times New Roman" w:cs="Times New Roman" w:eastAsia="Times New Roman" w:hAnsi="Times New Roman"/>
          <w:sz w:val="14"/>
          <w:szCs w:val="14"/>
          <w:b w:val="1"/>
          <w:bCs w:val="1"/>
          <w:color w:val="auto"/>
        </w:rPr>
        <w:t xml:space="preserve"> O</w:t>
      </w:r>
      <w:r>
        <w:rPr>
          <w:rFonts w:ascii="Times New Roman" w:cs="Times New Roman" w:eastAsia="Times New Roman" w:hAnsi="Times New Roman"/>
          <w:sz w:val="9"/>
          <w:szCs w:val="9"/>
          <w:b w:val="1"/>
          <w:bCs w:val="1"/>
          <w:color w:val="auto"/>
        </w:rPr>
        <w:t>f</w:t>
      </w:r>
      <w:r>
        <w:rPr>
          <w:rFonts w:ascii="Times New Roman" w:cs="Times New Roman" w:eastAsia="Times New Roman" w:hAnsi="Times New Roman"/>
          <w:sz w:val="14"/>
          <w:szCs w:val="14"/>
          <w:b w:val="1"/>
          <w:bCs w:val="1"/>
          <w:color w:val="auto"/>
        </w:rPr>
        <w:t xml:space="preserve"> C</w:t>
      </w:r>
      <w:r>
        <w:rPr>
          <w:rFonts w:ascii="Times New Roman" w:cs="Times New Roman" w:eastAsia="Times New Roman" w:hAnsi="Times New Roman"/>
          <w:sz w:val="9"/>
          <w:szCs w:val="9"/>
          <w:b w:val="1"/>
          <w:bCs w:val="1"/>
          <w:color w:val="auto"/>
        </w:rPr>
        <w:t>ontents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8280" w:type="dxa"/>
            <w:vAlign w:val="bottom"/>
          </w:tcPr>
          <w:p>
            <w:pPr>
              <w:spacing w:after="0"/>
              <w:rPr>
                <w:sz w:val="15"/>
                <w:szCs w:val="15"/>
                <w:color w:val="auto"/>
              </w:rPr>
            </w:pPr>
          </w:p>
        </w:tc>
        <w:tc>
          <w:tcPr>
            <w:tcW w:w="6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828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ARTICLE 1 DEFINITIONS</w:t>
            </w:r>
          </w:p>
        </w:tc>
        <w:tc>
          <w:tcPr>
            <w:tcW w:w="82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320" w:type="dxa"/>
            <w:vAlign w:val="bottom"/>
            <w:vMerge w:val="continue"/>
            <w:shd w:val="clear" w:color="auto" w:fill="CCEEFF"/>
          </w:tcPr>
          <w:p>
            <w:pPr>
              <w:spacing w:after="0"/>
              <w:rPr>
                <w:sz w:val="13"/>
                <w:szCs w:val="13"/>
                <w:color w:val="auto"/>
              </w:rPr>
            </w:pPr>
          </w:p>
        </w:tc>
        <w:tc>
          <w:tcPr>
            <w:tcW w:w="82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8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Section 1.01</w:t>
            </w:r>
          </w:p>
        </w:tc>
        <w:tc>
          <w:tcPr>
            <w:tcW w:w="828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4"/>
                <w:szCs w:val="14"/>
                <w:color w:val="auto"/>
              </w:rPr>
              <w:t>Definitions of Terms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10600" w:type="dxa"/>
            <w:vAlign w:val="bottom"/>
            <w:gridSpan w:val="2"/>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10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ARTICLE 2 ISSUE, DESCRIPTION, TERMS, EXECUTION, REGISTRATION AND EXCHANGE OF SECURITIES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8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Section 2.01</w:t>
            </w:r>
          </w:p>
        </w:tc>
        <w:tc>
          <w:tcPr>
            <w:tcW w:w="828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4"/>
                <w:szCs w:val="14"/>
                <w:color w:val="auto"/>
              </w:rPr>
              <w:t>Designation and Terms of Securities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3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2.02</w:t>
            </w:r>
          </w:p>
        </w:tc>
        <w:tc>
          <w:tcPr>
            <w:tcW w:w="828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Form of Securities and Trustee’s Certificate</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Section 2.03</w:t>
            </w:r>
          </w:p>
        </w:tc>
        <w:tc>
          <w:tcPr>
            <w:tcW w:w="828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4"/>
                <w:szCs w:val="14"/>
                <w:color w:val="auto"/>
              </w:rPr>
              <w:t>Denominations: Provisions for Payment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3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2.04</w:t>
            </w:r>
          </w:p>
        </w:tc>
        <w:tc>
          <w:tcPr>
            <w:tcW w:w="828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Execution and Authentications</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Section 2.05</w:t>
            </w:r>
          </w:p>
        </w:tc>
        <w:tc>
          <w:tcPr>
            <w:tcW w:w="828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4"/>
                <w:szCs w:val="14"/>
                <w:color w:val="auto"/>
              </w:rPr>
              <w:t>Registration of Transfer and Exchange</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3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2.06</w:t>
            </w:r>
          </w:p>
        </w:tc>
        <w:tc>
          <w:tcPr>
            <w:tcW w:w="828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Temporary Securities</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Section 2.07</w:t>
            </w:r>
          </w:p>
        </w:tc>
        <w:tc>
          <w:tcPr>
            <w:tcW w:w="828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4"/>
                <w:szCs w:val="14"/>
                <w:color w:val="auto"/>
              </w:rPr>
              <w:t>Mutilated, Destroyed, Lost or Stolen Securities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3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2.08</w:t>
            </w:r>
          </w:p>
        </w:tc>
        <w:tc>
          <w:tcPr>
            <w:tcW w:w="828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Cancellation</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Section 2.09</w:t>
            </w:r>
          </w:p>
        </w:tc>
        <w:tc>
          <w:tcPr>
            <w:tcW w:w="828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4"/>
                <w:szCs w:val="14"/>
                <w:color w:val="auto"/>
              </w:rPr>
              <w:t>Benefits of Indenture</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3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2.10</w:t>
            </w:r>
          </w:p>
        </w:tc>
        <w:tc>
          <w:tcPr>
            <w:tcW w:w="828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Authenticating Agent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Section 2.11</w:t>
            </w:r>
          </w:p>
        </w:tc>
        <w:tc>
          <w:tcPr>
            <w:tcW w:w="828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4"/>
                <w:szCs w:val="14"/>
                <w:color w:val="auto"/>
              </w:rPr>
              <w:t>Global Securities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3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2.12</w:t>
            </w:r>
          </w:p>
        </w:tc>
        <w:tc>
          <w:tcPr>
            <w:tcW w:w="828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CUSIP Numbers</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10600" w:type="dxa"/>
            <w:vAlign w:val="bottom"/>
            <w:gridSpan w:val="2"/>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10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3 REDEMPTION OF SECURITIES AND SINKING FUND PROVISIONS</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82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3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3.01</w:t>
            </w:r>
          </w:p>
        </w:tc>
        <w:tc>
          <w:tcPr>
            <w:tcW w:w="828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Redemption</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Section 3.02</w:t>
            </w:r>
          </w:p>
        </w:tc>
        <w:tc>
          <w:tcPr>
            <w:tcW w:w="828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4"/>
                <w:szCs w:val="14"/>
                <w:color w:val="auto"/>
              </w:rPr>
              <w:t>Notice of Redemption</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3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3.03</w:t>
            </w:r>
          </w:p>
        </w:tc>
        <w:tc>
          <w:tcPr>
            <w:tcW w:w="828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Payment Upon Redemption</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Section 3.04</w:t>
            </w:r>
          </w:p>
        </w:tc>
        <w:tc>
          <w:tcPr>
            <w:tcW w:w="828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4"/>
                <w:szCs w:val="14"/>
                <w:color w:val="auto"/>
              </w:rPr>
              <w:t>Sinking Fund</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3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3.05</w:t>
            </w:r>
          </w:p>
        </w:tc>
        <w:tc>
          <w:tcPr>
            <w:tcW w:w="828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Satisfaction of Sinking Fund Payments with Securities</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Section 3.06</w:t>
            </w:r>
          </w:p>
        </w:tc>
        <w:tc>
          <w:tcPr>
            <w:tcW w:w="828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4"/>
                <w:szCs w:val="14"/>
                <w:color w:val="auto"/>
              </w:rPr>
              <w:t>Redemption of Securities for Sinking Fund</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320" w:type="dxa"/>
            <w:vAlign w:val="bottom"/>
          </w:tcPr>
          <w:p>
            <w:pPr>
              <w:spacing w:after="0"/>
              <w:rPr>
                <w:sz w:val="14"/>
                <w:szCs w:val="14"/>
                <w:color w:val="auto"/>
              </w:rPr>
            </w:pPr>
          </w:p>
        </w:tc>
        <w:tc>
          <w:tcPr>
            <w:tcW w:w="8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ARTICLE 4 COVENANTS</w:t>
            </w:r>
          </w:p>
        </w:tc>
        <w:tc>
          <w:tcPr>
            <w:tcW w:w="82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8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Section 4.01</w:t>
            </w:r>
          </w:p>
        </w:tc>
        <w:tc>
          <w:tcPr>
            <w:tcW w:w="828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4"/>
                <w:szCs w:val="14"/>
                <w:color w:val="auto"/>
              </w:rPr>
              <w:t>Payment of Principal, Premium and Interest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3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4.02</w:t>
            </w:r>
          </w:p>
        </w:tc>
        <w:tc>
          <w:tcPr>
            <w:tcW w:w="828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Maintenance of Office or Agency</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Section 4.03</w:t>
            </w:r>
          </w:p>
        </w:tc>
        <w:tc>
          <w:tcPr>
            <w:tcW w:w="828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4"/>
                <w:szCs w:val="14"/>
                <w:color w:val="auto"/>
              </w:rPr>
              <w:t>Paying Agents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3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4.04</w:t>
            </w:r>
          </w:p>
        </w:tc>
        <w:tc>
          <w:tcPr>
            <w:tcW w:w="828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Appointment to Fill Vacancy in Office of Trustee</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20" w:type="dxa"/>
            <w:vAlign w:val="bottom"/>
            <w:vMerge w:val="restart"/>
          </w:tcPr>
          <w:p>
            <w:pPr>
              <w:spacing w:after="0"/>
              <w:rPr>
                <w:sz w:val="13"/>
                <w:szCs w:val="13"/>
                <w:color w:val="auto"/>
              </w:rPr>
            </w:pPr>
          </w:p>
        </w:tc>
        <w:tc>
          <w:tcPr>
            <w:tcW w:w="1060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10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ARTICLE 5 SECURITYHOLDERS’ LISTS AND REPORTS BY THE COMPANY AND THE TRUSTEE</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8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Section 5.01</w:t>
            </w:r>
          </w:p>
        </w:tc>
        <w:tc>
          <w:tcPr>
            <w:tcW w:w="82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Company to Furnish Trustee Names and Addresses of Securityholders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3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5.02</w:t>
            </w:r>
          </w:p>
        </w:tc>
        <w:tc>
          <w:tcPr>
            <w:tcW w:w="828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Preservation Of Information; Communications With Securityholders</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Section 5.03</w:t>
            </w:r>
          </w:p>
        </w:tc>
        <w:tc>
          <w:tcPr>
            <w:tcW w:w="82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Reports by the Company</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3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5.04</w:t>
            </w:r>
          </w:p>
        </w:tc>
        <w:tc>
          <w:tcPr>
            <w:tcW w:w="828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Reports by the Trustee</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10600" w:type="dxa"/>
            <w:vAlign w:val="bottom"/>
            <w:gridSpan w:val="2"/>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10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6 REMEDIES OF THE TRUSTEE AND SECURITYHOLDERS ON EVENT OF DEFAULT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82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3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6.01</w:t>
            </w:r>
          </w:p>
        </w:tc>
        <w:tc>
          <w:tcPr>
            <w:tcW w:w="828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Events of Default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Section 6.02</w:t>
            </w:r>
          </w:p>
        </w:tc>
        <w:tc>
          <w:tcPr>
            <w:tcW w:w="82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Collection of Indebtedness and Suits for Enforcement by Trustee</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3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6.03</w:t>
            </w:r>
          </w:p>
        </w:tc>
        <w:tc>
          <w:tcPr>
            <w:tcW w:w="828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Application of Moneys Collected</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Section 6.04</w:t>
            </w:r>
          </w:p>
        </w:tc>
        <w:tc>
          <w:tcPr>
            <w:tcW w:w="82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Limitation on Suits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3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6.05</w:t>
            </w:r>
          </w:p>
        </w:tc>
        <w:tc>
          <w:tcPr>
            <w:tcW w:w="828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Rights and Remedies Cumulative; Delay or Omission Not Waiver</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6"/>
        </w:trPr>
        <w:tc>
          <w:tcPr>
            <w:tcW w:w="20" w:type="dxa"/>
            <w:vAlign w:val="bottom"/>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82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7147560</wp:posOffset>
            </wp:positionH>
            <wp:positionV relativeFrom="paragraph">
              <wp:posOffset>-25400</wp:posOffset>
            </wp:positionV>
            <wp:extent cx="3175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-25400</wp:posOffset>
            </wp:positionV>
            <wp:extent cx="3175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31750" cy="38735"/>
                    </a:xfrm>
                    <a:prstGeom prst="rect">
                      <a:avLst/>
                    </a:prstGeom>
                    <a:noFill/>
                  </pic:spPr>
                </pic:pic>
              </a:graphicData>
            </a:graphic>
          </wp:anchor>
        </w:drawing>
      </w:r>
    </w:p>
    <w:p>
      <w:pPr>
        <w:sectPr>
          <w:pgSz w:w="11900" w:h="16838" w:orient="portrait"/>
          <w:cols w:equalWidth="0" w:num="1">
            <w:col w:w="11280"/>
          </w:cols>
          <w:pgMar w:left="300" w:top="1272" w:right="31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30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Section 6.06</w:t>
            </w:r>
          </w:p>
        </w:tc>
        <w:tc>
          <w:tcPr>
            <w:tcW w:w="5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Control by Securityholders</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0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6.07</w:t>
            </w:r>
          </w:p>
        </w:tc>
        <w:tc>
          <w:tcPr>
            <w:tcW w:w="58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Undertaking to Pay Costs</w:t>
            </w:r>
          </w:p>
        </w:tc>
        <w:tc>
          <w:tcPr>
            <w:tcW w:w="2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3040" w:type="dxa"/>
            <w:vAlign w:val="bottom"/>
            <w:shd w:val="clear" w:color="auto" w:fill="CCEEFF"/>
          </w:tcPr>
          <w:p>
            <w:pPr>
              <w:spacing w:after="0"/>
              <w:rPr>
                <w:sz w:val="14"/>
                <w:szCs w:val="14"/>
                <w:color w:val="auto"/>
              </w:rPr>
            </w:pPr>
          </w:p>
        </w:tc>
        <w:tc>
          <w:tcPr>
            <w:tcW w:w="5840" w:type="dxa"/>
            <w:vAlign w:val="bottom"/>
            <w:shd w:val="clear" w:color="auto" w:fill="CCEEFF"/>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ARTICLE 7 CONCERNING THE TRUSTEE</w:t>
            </w:r>
          </w:p>
        </w:tc>
        <w:tc>
          <w:tcPr>
            <w:tcW w:w="5840" w:type="dxa"/>
            <w:vAlign w:val="bottom"/>
          </w:tcPr>
          <w:p>
            <w:pPr>
              <w:spacing w:after="0"/>
              <w:rPr>
                <w:sz w:val="14"/>
                <w:szCs w:val="14"/>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040" w:type="dxa"/>
            <w:vAlign w:val="bottom"/>
            <w:shd w:val="clear" w:color="auto" w:fill="CCEEFF"/>
          </w:tcPr>
          <w:p>
            <w:pPr>
              <w:spacing w:after="0"/>
              <w:rPr>
                <w:sz w:val="14"/>
                <w:szCs w:val="14"/>
                <w:color w:val="auto"/>
              </w:rPr>
            </w:pPr>
          </w:p>
        </w:tc>
        <w:tc>
          <w:tcPr>
            <w:tcW w:w="5840" w:type="dxa"/>
            <w:vAlign w:val="bottom"/>
            <w:shd w:val="clear" w:color="auto" w:fill="CCEEFF"/>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0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7.01</w:t>
            </w:r>
          </w:p>
        </w:tc>
        <w:tc>
          <w:tcPr>
            <w:tcW w:w="58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Certain Duties and Responsibilities of Trustee</w:t>
            </w:r>
          </w:p>
        </w:tc>
        <w:tc>
          <w:tcPr>
            <w:tcW w:w="2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0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Section 7.02</w:t>
            </w:r>
          </w:p>
        </w:tc>
        <w:tc>
          <w:tcPr>
            <w:tcW w:w="5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Certain Rights of Trustee</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0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7.03</w:t>
            </w:r>
          </w:p>
        </w:tc>
        <w:tc>
          <w:tcPr>
            <w:tcW w:w="58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Trustee Not Responsible for Recitals or Issuance or Securities</w:t>
            </w:r>
          </w:p>
        </w:tc>
        <w:tc>
          <w:tcPr>
            <w:tcW w:w="2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0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Section 7.04</w:t>
            </w:r>
          </w:p>
        </w:tc>
        <w:tc>
          <w:tcPr>
            <w:tcW w:w="5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May Hold Securities</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0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7.05</w:t>
            </w:r>
          </w:p>
        </w:tc>
        <w:tc>
          <w:tcPr>
            <w:tcW w:w="58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Moneys Held in Trust</w:t>
            </w:r>
          </w:p>
        </w:tc>
        <w:tc>
          <w:tcPr>
            <w:tcW w:w="2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0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Section 7.06</w:t>
            </w:r>
          </w:p>
        </w:tc>
        <w:tc>
          <w:tcPr>
            <w:tcW w:w="5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Compensation and Reimbursement</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0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7.07</w:t>
            </w:r>
          </w:p>
        </w:tc>
        <w:tc>
          <w:tcPr>
            <w:tcW w:w="58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Reliance on Officer’s Certificate</w:t>
            </w:r>
          </w:p>
        </w:tc>
        <w:tc>
          <w:tcPr>
            <w:tcW w:w="2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0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Section 7.08</w:t>
            </w:r>
          </w:p>
        </w:tc>
        <w:tc>
          <w:tcPr>
            <w:tcW w:w="5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Disqualification; Conflicting Interests</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0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7.09</w:t>
            </w:r>
          </w:p>
        </w:tc>
        <w:tc>
          <w:tcPr>
            <w:tcW w:w="58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Corporate Trustee Required; Eligibility</w:t>
            </w:r>
          </w:p>
        </w:tc>
        <w:tc>
          <w:tcPr>
            <w:tcW w:w="2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0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Section 7.10</w:t>
            </w:r>
          </w:p>
        </w:tc>
        <w:tc>
          <w:tcPr>
            <w:tcW w:w="5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Resignation and Removal; Appointment of Successor</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0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7.11</w:t>
            </w:r>
          </w:p>
        </w:tc>
        <w:tc>
          <w:tcPr>
            <w:tcW w:w="58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Acceptance of Appointment By Successor</w:t>
            </w:r>
          </w:p>
        </w:tc>
        <w:tc>
          <w:tcPr>
            <w:tcW w:w="2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0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Section 7.12</w:t>
            </w:r>
          </w:p>
        </w:tc>
        <w:tc>
          <w:tcPr>
            <w:tcW w:w="5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Merger, Conversion, Consolidation or Succession to Business</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0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7.13</w:t>
            </w:r>
          </w:p>
        </w:tc>
        <w:tc>
          <w:tcPr>
            <w:tcW w:w="58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Preferential Collection of Claims Against the Company</w:t>
            </w:r>
          </w:p>
        </w:tc>
        <w:tc>
          <w:tcPr>
            <w:tcW w:w="2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0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Section 7.14</w:t>
            </w:r>
          </w:p>
        </w:tc>
        <w:tc>
          <w:tcPr>
            <w:tcW w:w="5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Notice of Default.</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880" w:type="dxa"/>
            <w:vAlign w:val="bottom"/>
            <w:gridSpan w:val="2"/>
          </w:tcPr>
          <w:p>
            <w:pPr>
              <w:spacing w:after="0"/>
              <w:rPr>
                <w:sz w:val="14"/>
                <w:szCs w:val="14"/>
                <w:color w:val="auto"/>
              </w:rPr>
            </w:pPr>
          </w:p>
        </w:tc>
        <w:tc>
          <w:tcPr>
            <w:tcW w:w="238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8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ARTICLE 8 CONCERNING THE SECURITYHOLDERS</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0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8.01</w:t>
            </w:r>
          </w:p>
        </w:tc>
        <w:tc>
          <w:tcPr>
            <w:tcW w:w="58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Evidence of Action by Securityholders</w:t>
            </w:r>
          </w:p>
        </w:tc>
        <w:tc>
          <w:tcPr>
            <w:tcW w:w="2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0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Section 8.02</w:t>
            </w:r>
          </w:p>
        </w:tc>
        <w:tc>
          <w:tcPr>
            <w:tcW w:w="5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Proof of Execution by Securityholders</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0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8.03</w:t>
            </w:r>
          </w:p>
        </w:tc>
        <w:tc>
          <w:tcPr>
            <w:tcW w:w="58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Who May be Deemed Owners</w:t>
            </w:r>
          </w:p>
        </w:tc>
        <w:tc>
          <w:tcPr>
            <w:tcW w:w="2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0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Section 8.04</w:t>
            </w:r>
          </w:p>
        </w:tc>
        <w:tc>
          <w:tcPr>
            <w:tcW w:w="5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Certain Securities Owned by Company Disregarded</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0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8.05</w:t>
            </w:r>
          </w:p>
        </w:tc>
        <w:tc>
          <w:tcPr>
            <w:tcW w:w="58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Actions Binding on Future Securityholders</w:t>
            </w:r>
          </w:p>
        </w:tc>
        <w:tc>
          <w:tcPr>
            <w:tcW w:w="2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040" w:type="dxa"/>
            <w:vAlign w:val="bottom"/>
            <w:shd w:val="clear" w:color="auto" w:fill="CCEEFF"/>
          </w:tcPr>
          <w:p>
            <w:pPr>
              <w:spacing w:after="0"/>
              <w:rPr>
                <w:sz w:val="14"/>
                <w:szCs w:val="14"/>
                <w:color w:val="auto"/>
              </w:rPr>
            </w:pPr>
          </w:p>
        </w:tc>
        <w:tc>
          <w:tcPr>
            <w:tcW w:w="5840" w:type="dxa"/>
            <w:vAlign w:val="bottom"/>
            <w:shd w:val="clear" w:color="auto" w:fill="CCEEFF"/>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0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ARTICLE 9 SUPPLEMENTAL INDENTURES</w:t>
            </w:r>
          </w:p>
        </w:tc>
        <w:tc>
          <w:tcPr>
            <w:tcW w:w="5840" w:type="dxa"/>
            <w:vAlign w:val="bottom"/>
          </w:tcPr>
          <w:p>
            <w:pPr>
              <w:spacing w:after="0"/>
              <w:rPr>
                <w:sz w:val="14"/>
                <w:szCs w:val="14"/>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0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Section 9.01</w:t>
            </w:r>
          </w:p>
        </w:tc>
        <w:tc>
          <w:tcPr>
            <w:tcW w:w="5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Supplemental Indentures Without the Consent of Securityholders</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0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9.02</w:t>
            </w:r>
          </w:p>
        </w:tc>
        <w:tc>
          <w:tcPr>
            <w:tcW w:w="58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Supplemental Indentures With Consent of Securityholders</w:t>
            </w:r>
          </w:p>
        </w:tc>
        <w:tc>
          <w:tcPr>
            <w:tcW w:w="2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0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Section 9.03</w:t>
            </w:r>
          </w:p>
        </w:tc>
        <w:tc>
          <w:tcPr>
            <w:tcW w:w="5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Effect of Supplemental Indentures</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0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9.04</w:t>
            </w:r>
          </w:p>
        </w:tc>
        <w:tc>
          <w:tcPr>
            <w:tcW w:w="58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Securities Affected by Supplemental Indentures</w:t>
            </w:r>
          </w:p>
        </w:tc>
        <w:tc>
          <w:tcPr>
            <w:tcW w:w="2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0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Section 9.05</w:t>
            </w:r>
          </w:p>
        </w:tc>
        <w:tc>
          <w:tcPr>
            <w:tcW w:w="5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Execution of Supplemental Indentures</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0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ARTICLE 10 SUCCESSOR ENTITY</w:t>
            </w:r>
          </w:p>
        </w:tc>
        <w:tc>
          <w:tcPr>
            <w:tcW w:w="5840" w:type="dxa"/>
            <w:vAlign w:val="bottom"/>
            <w:shd w:val="clear" w:color="auto" w:fill="CCEEFF"/>
          </w:tcPr>
          <w:p>
            <w:pPr>
              <w:spacing w:after="0"/>
              <w:rPr>
                <w:sz w:val="14"/>
                <w:szCs w:val="14"/>
                <w:color w:val="auto"/>
              </w:rPr>
            </w:pP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0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10.01</w:t>
            </w:r>
          </w:p>
        </w:tc>
        <w:tc>
          <w:tcPr>
            <w:tcW w:w="58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Company May Consolidate, Etc.</w:t>
            </w:r>
          </w:p>
        </w:tc>
        <w:tc>
          <w:tcPr>
            <w:tcW w:w="2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0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Section 10.02</w:t>
            </w:r>
          </w:p>
        </w:tc>
        <w:tc>
          <w:tcPr>
            <w:tcW w:w="5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Successor Entity Substituted</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880" w:type="dxa"/>
            <w:vAlign w:val="bottom"/>
            <w:gridSpan w:val="2"/>
          </w:tcPr>
          <w:p>
            <w:pPr>
              <w:spacing w:after="0"/>
              <w:rPr>
                <w:sz w:val="14"/>
                <w:szCs w:val="14"/>
                <w:color w:val="auto"/>
              </w:rPr>
            </w:pPr>
          </w:p>
        </w:tc>
        <w:tc>
          <w:tcPr>
            <w:tcW w:w="238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8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ARTICLE 11 SATISFACTION AND DISCHARGE</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0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11.01</w:t>
            </w:r>
          </w:p>
        </w:tc>
        <w:tc>
          <w:tcPr>
            <w:tcW w:w="58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Satisfaction and Discharge of Indenture</w:t>
            </w:r>
          </w:p>
        </w:tc>
        <w:tc>
          <w:tcPr>
            <w:tcW w:w="2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0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Section 11.02</w:t>
            </w:r>
          </w:p>
        </w:tc>
        <w:tc>
          <w:tcPr>
            <w:tcW w:w="5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Discharge of Obligations</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0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11.03</w:t>
            </w:r>
          </w:p>
        </w:tc>
        <w:tc>
          <w:tcPr>
            <w:tcW w:w="58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Deposited Moneys to be Held in Trust</w:t>
            </w:r>
          </w:p>
        </w:tc>
        <w:tc>
          <w:tcPr>
            <w:tcW w:w="2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0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Section 11.04</w:t>
            </w:r>
          </w:p>
        </w:tc>
        <w:tc>
          <w:tcPr>
            <w:tcW w:w="5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Payment of Moneys Held by Paying Agents</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0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11.05</w:t>
            </w:r>
          </w:p>
        </w:tc>
        <w:tc>
          <w:tcPr>
            <w:tcW w:w="58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Repayment to Company</w:t>
            </w:r>
          </w:p>
        </w:tc>
        <w:tc>
          <w:tcPr>
            <w:tcW w:w="2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880" w:type="dxa"/>
            <w:vAlign w:val="bottom"/>
            <w:gridSpan w:val="2"/>
            <w:shd w:val="clear" w:color="auto" w:fill="CCEEFF"/>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8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ARTICLE 12 IMMUNITY OF INCORPORATORS, SHAREHOLDERS, OFFICERS AND DIRECTORS</w:t>
            </w:r>
          </w:p>
        </w:tc>
        <w:tc>
          <w:tcPr>
            <w:tcW w:w="2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0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Section 12.01</w:t>
            </w:r>
          </w:p>
        </w:tc>
        <w:tc>
          <w:tcPr>
            <w:tcW w:w="5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No Recourse</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0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w w:val="97"/>
              </w:rPr>
              <w:t>ARTICLE 13 MISCELLANEOUS PROVISIONS</w:t>
            </w:r>
          </w:p>
        </w:tc>
        <w:tc>
          <w:tcPr>
            <w:tcW w:w="5840" w:type="dxa"/>
            <w:vAlign w:val="bottom"/>
            <w:shd w:val="clear" w:color="auto" w:fill="CCEEFF"/>
          </w:tcPr>
          <w:p>
            <w:pPr>
              <w:spacing w:after="0"/>
              <w:rPr>
                <w:sz w:val="14"/>
                <w:szCs w:val="14"/>
                <w:color w:val="auto"/>
              </w:rPr>
            </w:pP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0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13.01</w:t>
            </w:r>
          </w:p>
        </w:tc>
        <w:tc>
          <w:tcPr>
            <w:tcW w:w="58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Effect on Successors and Assigns</w:t>
            </w:r>
          </w:p>
        </w:tc>
        <w:tc>
          <w:tcPr>
            <w:tcW w:w="2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0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Section 13.02</w:t>
            </w:r>
          </w:p>
        </w:tc>
        <w:tc>
          <w:tcPr>
            <w:tcW w:w="5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Actions by Successor</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0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13.03</w:t>
            </w:r>
          </w:p>
        </w:tc>
        <w:tc>
          <w:tcPr>
            <w:tcW w:w="58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Surrender of Company Powers</w:t>
            </w:r>
          </w:p>
        </w:tc>
        <w:tc>
          <w:tcPr>
            <w:tcW w:w="2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0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Section 13.04</w:t>
            </w:r>
          </w:p>
        </w:tc>
        <w:tc>
          <w:tcPr>
            <w:tcW w:w="5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Notices</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0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13.05</w:t>
            </w:r>
          </w:p>
        </w:tc>
        <w:tc>
          <w:tcPr>
            <w:tcW w:w="58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Governing Law; Jury Trial Waiver</w:t>
            </w:r>
          </w:p>
        </w:tc>
        <w:tc>
          <w:tcPr>
            <w:tcW w:w="2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0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Section 13.06</w:t>
            </w:r>
          </w:p>
        </w:tc>
        <w:tc>
          <w:tcPr>
            <w:tcW w:w="5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Treatment of Securities as Debt</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7"/>
        </w:trPr>
        <w:tc>
          <w:tcPr>
            <w:tcW w:w="20" w:type="dxa"/>
            <w:vAlign w:val="bottom"/>
          </w:tcPr>
          <w:p>
            <w:pPr>
              <w:spacing w:after="0"/>
              <w:rPr>
                <w:sz w:val="24"/>
                <w:szCs w:val="24"/>
                <w:color w:val="auto"/>
              </w:rPr>
            </w:pPr>
          </w:p>
        </w:tc>
        <w:tc>
          <w:tcPr>
            <w:tcW w:w="3040" w:type="dxa"/>
            <w:vAlign w:val="bottom"/>
            <w:tcBorders>
              <w:bottom w:val="single" w:sz="8" w:color="9A9A9A"/>
            </w:tcBorders>
          </w:tcPr>
          <w:p>
            <w:pPr>
              <w:spacing w:after="0"/>
              <w:rPr>
                <w:sz w:val="24"/>
                <w:szCs w:val="24"/>
                <w:color w:val="auto"/>
              </w:rPr>
            </w:pPr>
          </w:p>
        </w:tc>
        <w:tc>
          <w:tcPr>
            <w:tcW w:w="584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7147560</wp:posOffset>
            </wp:positionH>
            <wp:positionV relativeFrom="paragraph">
              <wp:posOffset>-25400</wp:posOffset>
            </wp:positionV>
            <wp:extent cx="3175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-25400</wp:posOffset>
            </wp:positionV>
            <wp:extent cx="3175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0">
                      <a:extLst>
                        <a:ext uri="{28A0092B-C50C-407E-A947-70E740481C1C}"/>
                      </a:extLst>
                    </a:blip>
                    <a:srcRect/>
                    <a:stretch>
                      <a:fillRect/>
                    </a:stretch>
                  </pic:blipFill>
                  <pic:spPr bwMode="auto">
                    <a:xfrm>
                      <a:off x="0" y="0"/>
                      <a:ext cx="31750" cy="38735"/>
                    </a:xfrm>
                    <a:prstGeom prst="rect">
                      <a:avLst/>
                    </a:prstGeom>
                    <a:noFill/>
                  </pic:spPr>
                </pic:pic>
              </a:graphicData>
            </a:graphic>
          </wp:anchor>
        </w:drawing>
      </w:r>
    </w:p>
    <w:p>
      <w:pPr>
        <w:sectPr>
          <w:pgSz w:w="11900" w:h="16838" w:orient="portrait"/>
          <w:cols w:equalWidth="0" w:num="1">
            <w:col w:w="11280"/>
          </w:cols>
          <w:pgMar w:left="300" w:top="1124" w:right="31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76"/>
        </w:trPr>
        <w:tc>
          <w:tcPr>
            <w:tcW w:w="20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13.07</w:t>
            </w:r>
          </w:p>
        </w:tc>
        <w:tc>
          <w:tcPr>
            <w:tcW w:w="652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Certificates and Opinions as to Conditions Precedent</w:t>
            </w:r>
          </w:p>
        </w:tc>
        <w:tc>
          <w:tcPr>
            <w:tcW w:w="2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165"/>
        </w:trPr>
        <w:tc>
          <w:tcPr>
            <w:tcW w:w="20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Section 13.08</w:t>
            </w:r>
          </w:p>
        </w:tc>
        <w:tc>
          <w:tcPr>
            <w:tcW w:w="652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Payments on Business Days</w:t>
            </w:r>
          </w:p>
        </w:tc>
        <w:tc>
          <w:tcPr>
            <w:tcW w:w="2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164"/>
        </w:trPr>
        <w:tc>
          <w:tcPr>
            <w:tcW w:w="20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13.09</w:t>
            </w:r>
          </w:p>
        </w:tc>
        <w:tc>
          <w:tcPr>
            <w:tcW w:w="652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Conflict with Trust Indenture Act</w:t>
            </w:r>
          </w:p>
        </w:tc>
        <w:tc>
          <w:tcPr>
            <w:tcW w:w="2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164"/>
        </w:trPr>
        <w:tc>
          <w:tcPr>
            <w:tcW w:w="20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Section 13.10</w:t>
            </w:r>
          </w:p>
        </w:tc>
        <w:tc>
          <w:tcPr>
            <w:tcW w:w="652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Counterparts</w:t>
            </w:r>
          </w:p>
        </w:tc>
        <w:tc>
          <w:tcPr>
            <w:tcW w:w="2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164"/>
        </w:trPr>
        <w:tc>
          <w:tcPr>
            <w:tcW w:w="20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13.11</w:t>
            </w:r>
          </w:p>
        </w:tc>
        <w:tc>
          <w:tcPr>
            <w:tcW w:w="652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Separability</w:t>
            </w:r>
          </w:p>
        </w:tc>
        <w:tc>
          <w:tcPr>
            <w:tcW w:w="2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164"/>
        </w:trPr>
        <w:tc>
          <w:tcPr>
            <w:tcW w:w="20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Section 13.12</w:t>
            </w:r>
          </w:p>
        </w:tc>
        <w:tc>
          <w:tcPr>
            <w:tcW w:w="652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Compliance Certificates</w:t>
            </w:r>
          </w:p>
        </w:tc>
        <w:tc>
          <w:tcPr>
            <w:tcW w:w="2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164"/>
        </w:trPr>
        <w:tc>
          <w:tcPr>
            <w:tcW w:w="20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13.13</w:t>
            </w:r>
          </w:p>
        </w:tc>
        <w:tc>
          <w:tcPr>
            <w:tcW w:w="652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Patriot Act</w:t>
            </w:r>
          </w:p>
        </w:tc>
        <w:tc>
          <w:tcPr>
            <w:tcW w:w="2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164"/>
        </w:trPr>
        <w:tc>
          <w:tcPr>
            <w:tcW w:w="20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Section 13.14</w:t>
            </w:r>
          </w:p>
        </w:tc>
        <w:tc>
          <w:tcPr>
            <w:tcW w:w="652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Force Majeure</w:t>
            </w:r>
          </w:p>
        </w:tc>
        <w:tc>
          <w:tcPr>
            <w:tcW w:w="2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176"/>
        </w:trPr>
        <w:tc>
          <w:tcPr>
            <w:tcW w:w="20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13.15</w:t>
            </w:r>
          </w:p>
        </w:tc>
        <w:tc>
          <w:tcPr>
            <w:tcW w:w="652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Table of Contents; Headings</w:t>
            </w:r>
          </w:p>
        </w:tc>
        <w:tc>
          <w:tcPr>
            <w:tcW w:w="2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1220"/>
        </w:trPr>
        <w:tc>
          <w:tcPr>
            <w:tcW w:w="2060" w:type="dxa"/>
            <w:vAlign w:val="bottom"/>
            <w:tcBorders>
              <w:bottom w:val="single" w:sz="8" w:color="9A9A9A"/>
            </w:tcBorders>
          </w:tcPr>
          <w:p>
            <w:pPr>
              <w:spacing w:after="0"/>
              <w:rPr>
                <w:sz w:val="24"/>
                <w:szCs w:val="24"/>
                <w:color w:val="auto"/>
              </w:rPr>
            </w:pPr>
          </w:p>
        </w:tc>
        <w:tc>
          <w:tcPr>
            <w:tcW w:w="652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7147560</wp:posOffset>
            </wp:positionH>
            <wp:positionV relativeFrom="paragraph">
              <wp:posOffset>-25400</wp:posOffset>
            </wp:positionV>
            <wp:extent cx="3175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1">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-25400</wp:posOffset>
            </wp:positionV>
            <wp:extent cx="3175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2">
                      <a:extLst>
                        <a:ext uri="{28A0092B-C50C-407E-A947-70E740481C1C}"/>
                      </a:extLst>
                    </a:blip>
                    <a:srcRect/>
                    <a:stretch>
                      <a:fillRect/>
                    </a:stretch>
                  </pic:blipFill>
                  <pic:spPr bwMode="auto">
                    <a:xfrm>
                      <a:off x="0" y="0"/>
                      <a:ext cx="31750" cy="38735"/>
                    </a:xfrm>
                    <a:prstGeom prst="rect">
                      <a:avLst/>
                    </a:prstGeom>
                    <a:noFill/>
                  </pic:spPr>
                </pic:pic>
              </a:graphicData>
            </a:graphic>
          </wp:anchor>
        </w:drawing>
      </w:r>
    </w:p>
    <w:p>
      <w:pPr>
        <w:sectPr>
          <w:pgSz w:w="11900" w:h="16838" w:orient="portrait"/>
          <w:cols w:equalWidth="0" w:num="1">
            <w:col w:w="11280"/>
          </w:cols>
          <w:pgMar w:left="300" w:top="1112" w:right="31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4"/>
          <w:szCs w:val="14"/>
          <w:b w:val="1"/>
          <w:bCs w:val="1"/>
          <w:color w:val="auto"/>
        </w:rPr>
        <w:t>INDENTURE</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I</w:t>
      </w:r>
      <w:r>
        <w:rPr>
          <w:rFonts w:ascii="Times New Roman" w:cs="Times New Roman" w:eastAsia="Times New Roman" w:hAnsi="Times New Roman"/>
          <w:sz w:val="9"/>
          <w:szCs w:val="9"/>
          <w:b w:val="1"/>
          <w:bCs w:val="1"/>
          <w:color w:val="auto"/>
        </w:rPr>
        <w:t>ndenture</w:t>
      </w:r>
      <w:r>
        <w:rPr>
          <w:rFonts w:ascii="Times New Roman" w:cs="Times New Roman" w:eastAsia="Times New Roman" w:hAnsi="Times New Roman"/>
          <w:sz w:val="14"/>
          <w:szCs w:val="14"/>
          <w:color w:val="auto"/>
        </w:rPr>
        <w:t>, dated as of [●], 20__, among</w:t>
      </w:r>
      <w:r>
        <w:rPr>
          <w:rFonts w:ascii="Times New Roman" w:cs="Times New Roman" w:eastAsia="Times New Roman" w:hAnsi="Times New Roman"/>
          <w:sz w:val="14"/>
          <w:szCs w:val="14"/>
          <w:b w:val="1"/>
          <w:bCs w:val="1"/>
          <w:color w:val="auto"/>
        </w:rPr>
        <w:t xml:space="preserve"> L</w:t>
      </w:r>
      <w:r>
        <w:rPr>
          <w:rFonts w:ascii="Times New Roman" w:cs="Times New Roman" w:eastAsia="Times New Roman" w:hAnsi="Times New Roman"/>
          <w:sz w:val="9"/>
          <w:szCs w:val="9"/>
          <w:b w:val="1"/>
          <w:bCs w:val="1"/>
          <w:color w:val="auto"/>
        </w:rPr>
        <w:t>ineage</w:t>
      </w:r>
      <w:r>
        <w:rPr>
          <w:rFonts w:ascii="Times New Roman" w:cs="Times New Roman" w:eastAsia="Times New Roman" w:hAnsi="Times New Roman"/>
          <w:sz w:val="14"/>
          <w:szCs w:val="14"/>
          <w:b w:val="1"/>
          <w:bCs w:val="1"/>
          <w:color w:val="auto"/>
        </w:rPr>
        <w:t xml:space="preserve"> C</w:t>
      </w:r>
      <w:r>
        <w:rPr>
          <w:rFonts w:ascii="Times New Roman" w:cs="Times New Roman" w:eastAsia="Times New Roman" w:hAnsi="Times New Roman"/>
          <w:sz w:val="9"/>
          <w:szCs w:val="9"/>
          <w:b w:val="1"/>
          <w:bCs w:val="1"/>
          <w:color w:val="auto"/>
        </w:rPr>
        <w:t>ell</w:t>
      </w:r>
      <w:r>
        <w:rPr>
          <w:rFonts w:ascii="Times New Roman" w:cs="Times New Roman" w:eastAsia="Times New Roman" w:hAnsi="Times New Roman"/>
          <w:sz w:val="14"/>
          <w:szCs w:val="14"/>
          <w:b w:val="1"/>
          <w:bCs w:val="1"/>
          <w:color w:val="auto"/>
        </w:rPr>
        <w:t xml:space="preserve"> T</w:t>
      </w:r>
      <w:r>
        <w:rPr>
          <w:rFonts w:ascii="Times New Roman" w:cs="Times New Roman" w:eastAsia="Times New Roman" w:hAnsi="Times New Roman"/>
          <w:sz w:val="9"/>
          <w:szCs w:val="9"/>
          <w:b w:val="1"/>
          <w:bCs w:val="1"/>
          <w:color w:val="auto"/>
        </w:rPr>
        <w:t>herapeutics</w:t>
      </w:r>
      <w:r>
        <w:rPr>
          <w:rFonts w:ascii="Times New Roman" w:cs="Times New Roman" w:eastAsia="Times New Roman" w:hAnsi="Times New Roman"/>
          <w:sz w:val="14"/>
          <w:szCs w:val="14"/>
          <w:b w:val="1"/>
          <w:bCs w:val="1"/>
          <w:color w:val="auto"/>
        </w:rPr>
        <w:t>, I</w:t>
      </w:r>
      <w:r>
        <w:rPr>
          <w:rFonts w:ascii="Times New Roman" w:cs="Times New Roman" w:eastAsia="Times New Roman" w:hAnsi="Times New Roman"/>
          <w:sz w:val="9"/>
          <w:szCs w:val="9"/>
          <w:b w:val="1"/>
          <w:bCs w:val="1"/>
          <w:color w:val="auto"/>
        </w:rPr>
        <w:t>nc</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a California corporation (the “Company”), and [</w:t>
      </w: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9"/>
          <w:szCs w:val="9"/>
          <w:b w:val="1"/>
          <w:bCs w:val="1"/>
          <w:color w:val="auto"/>
        </w:rPr>
        <w:t>rustee</w:t>
      </w:r>
      <w:r>
        <w:rPr>
          <w:rFonts w:ascii="Times New Roman" w:cs="Times New Roman" w:eastAsia="Times New Roman" w:hAnsi="Times New Roman"/>
          <w:sz w:val="14"/>
          <w:szCs w:val="14"/>
          <w:color w:val="auto"/>
        </w:rPr>
        <w:t>], as trustee (the “Trustee”):</w:t>
      </w:r>
    </w:p>
    <w:p>
      <w:pPr>
        <w:spacing w:after="0" w:line="167" w:lineRule="exact"/>
        <w:rPr>
          <w:sz w:val="20"/>
          <w:szCs w:val="20"/>
          <w:color w:val="auto"/>
        </w:rPr>
      </w:pPr>
    </w:p>
    <w:p>
      <w:pPr>
        <w:jc w:val="both"/>
        <w:ind w:firstLine="752"/>
        <w:spacing w:after="0" w:line="258" w:lineRule="auto"/>
        <w:rPr>
          <w:sz w:val="20"/>
          <w:szCs w:val="20"/>
          <w:color w:val="auto"/>
        </w:rPr>
      </w:pPr>
      <w:r>
        <w:rPr>
          <w:rFonts w:ascii="Times New Roman" w:cs="Times New Roman" w:eastAsia="Times New Roman" w:hAnsi="Times New Roman"/>
          <w:sz w:val="14"/>
          <w:szCs w:val="14"/>
          <w:b w:val="1"/>
          <w:bCs w:val="1"/>
          <w:color w:val="auto"/>
        </w:rPr>
        <w:t>W</w:t>
      </w:r>
      <w:r>
        <w:rPr>
          <w:rFonts w:ascii="Times New Roman" w:cs="Times New Roman" w:eastAsia="Times New Roman" w:hAnsi="Times New Roman"/>
          <w:sz w:val="9"/>
          <w:szCs w:val="9"/>
          <w:b w:val="1"/>
          <w:bCs w:val="1"/>
          <w:color w:val="auto"/>
        </w:rPr>
        <w:t>hereas</w:t>
      </w:r>
      <w:r>
        <w:rPr>
          <w:rFonts w:ascii="Times New Roman" w:cs="Times New Roman" w:eastAsia="Times New Roman" w:hAnsi="Times New Roman"/>
          <w:sz w:val="14"/>
          <w:szCs w:val="14"/>
          <w:color w:val="auto"/>
        </w:rPr>
        <w:t>, for its lawful corporate purposes, the Company has duly authorized the execution and delivery of this Indenture to provide for the issuance of debt securities (hereinafter referred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as the “Securities”), in an unlimited aggregate principal amount to be issued from time to time in one or more series as in this Indenture provided, as registered Securities without coupons, to be authenticated by the certificate of the Trustee;</w:t>
      </w:r>
    </w:p>
    <w:p>
      <w:pPr>
        <w:spacing w:after="0" w:line="13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W</w:t>
      </w:r>
      <w:r>
        <w:rPr>
          <w:rFonts w:ascii="Times New Roman" w:cs="Times New Roman" w:eastAsia="Times New Roman" w:hAnsi="Times New Roman"/>
          <w:sz w:val="9"/>
          <w:szCs w:val="9"/>
          <w:b w:val="1"/>
          <w:bCs w:val="1"/>
          <w:color w:val="auto"/>
        </w:rPr>
        <w:t>hereas</w:t>
      </w:r>
      <w:r>
        <w:rPr>
          <w:rFonts w:ascii="Times New Roman" w:cs="Times New Roman" w:eastAsia="Times New Roman" w:hAnsi="Times New Roman"/>
          <w:sz w:val="14"/>
          <w:szCs w:val="14"/>
          <w:color w:val="auto"/>
        </w:rPr>
        <w:t>, to provide the terms and conditions upon which the Securities are to be authenticated, issued and delivered, the Company has duly authorized the execution of this Indenture; and</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W</w:t>
      </w:r>
      <w:r>
        <w:rPr>
          <w:rFonts w:ascii="Times New Roman" w:cs="Times New Roman" w:eastAsia="Times New Roman" w:hAnsi="Times New Roman"/>
          <w:sz w:val="9"/>
          <w:szCs w:val="9"/>
          <w:b w:val="1"/>
          <w:bCs w:val="1"/>
          <w:color w:val="auto"/>
        </w:rPr>
        <w:t>hereas</w:t>
      </w:r>
      <w:r>
        <w:rPr>
          <w:rFonts w:ascii="Times New Roman" w:cs="Times New Roman" w:eastAsia="Times New Roman" w:hAnsi="Times New Roman"/>
          <w:sz w:val="14"/>
          <w:szCs w:val="14"/>
          <w:color w:val="auto"/>
        </w:rPr>
        <w:t>, all things necessary to make this Indenture a valid agreement of the Company, in accordance with its terms, have been done.</w:t>
      </w:r>
    </w:p>
    <w:p>
      <w:pPr>
        <w:spacing w:after="0" w:line="167" w:lineRule="exact"/>
        <w:rPr>
          <w:sz w:val="20"/>
          <w:szCs w:val="20"/>
          <w:color w:val="auto"/>
        </w:rPr>
      </w:pPr>
    </w:p>
    <w:p>
      <w:pPr>
        <w:jc w:val="both"/>
        <w:ind w:firstLine="752"/>
        <w:spacing w:after="0" w:line="272" w:lineRule="auto"/>
        <w:rPr>
          <w:sz w:val="20"/>
          <w:szCs w:val="20"/>
          <w:color w:val="auto"/>
        </w:rPr>
      </w:pP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9"/>
          <w:szCs w:val="9"/>
          <w:b w:val="1"/>
          <w:bCs w:val="1"/>
          <w:color w:val="auto"/>
        </w:rPr>
        <w:t>ow</w:t>
      </w:r>
      <w:r>
        <w:rPr>
          <w:rFonts w:ascii="Times New Roman" w:cs="Times New Roman" w:eastAsia="Times New Roman" w:hAnsi="Times New Roman"/>
          <w:sz w:val="14"/>
          <w:szCs w:val="14"/>
          <w:b w:val="1"/>
          <w:bCs w:val="1"/>
          <w:color w:val="auto"/>
        </w:rPr>
        <w:t>, T</w:t>
      </w:r>
      <w:r>
        <w:rPr>
          <w:rFonts w:ascii="Times New Roman" w:cs="Times New Roman" w:eastAsia="Times New Roman" w:hAnsi="Times New Roman"/>
          <w:sz w:val="9"/>
          <w:szCs w:val="9"/>
          <w:b w:val="1"/>
          <w:bCs w:val="1"/>
          <w:color w:val="auto"/>
        </w:rPr>
        <w:t>herefore</w:t>
      </w:r>
      <w:r>
        <w:rPr>
          <w:rFonts w:ascii="Times New Roman" w:cs="Times New Roman" w:eastAsia="Times New Roman" w:hAnsi="Times New Roman"/>
          <w:sz w:val="14"/>
          <w:szCs w:val="14"/>
          <w:color w:val="auto"/>
        </w:rPr>
        <w:t>, in consideration of the premises and the purchase of the Securities by the holders thereof, it is mutually covenanted and agreed as follows for the equal and ratable benefit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holders of Securities: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1</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DEFINITIONS</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Section 1.01 Definitions of Terms</w:t>
      </w:r>
      <w:r>
        <w:rPr>
          <w:rFonts w:ascii="Times New Roman" w:cs="Times New Roman" w:eastAsia="Times New Roman" w:hAnsi="Times New Roman"/>
          <w:sz w:val="14"/>
          <w:szCs w:val="14"/>
          <w:color w:val="auto"/>
        </w:rPr>
        <w:t>.</w:t>
      </w:r>
    </w:p>
    <w:p>
      <w:pPr>
        <w:spacing w:after="0" w:line="171" w:lineRule="exact"/>
        <w:rPr>
          <w:sz w:val="20"/>
          <w:szCs w:val="20"/>
          <w:color w:val="auto"/>
        </w:rPr>
      </w:pPr>
    </w:p>
    <w:p>
      <w:pPr>
        <w:jc w:val="both"/>
        <w:ind w:firstLine="752"/>
        <w:spacing w:after="0" w:line="250" w:lineRule="auto"/>
        <w:rPr>
          <w:sz w:val="20"/>
          <w:szCs w:val="20"/>
          <w:color w:val="auto"/>
        </w:rPr>
      </w:pPr>
      <w:r>
        <w:rPr>
          <w:rFonts w:ascii="Times New Roman" w:cs="Times New Roman" w:eastAsia="Times New Roman" w:hAnsi="Times New Roman"/>
          <w:sz w:val="14"/>
          <w:szCs w:val="14"/>
          <w:color w:val="auto"/>
        </w:rPr>
        <w:t>The terms defined in this Section (except as in this Indenture or any indenture supplemental hereto otherwise expressly provided or unless the context otherwise requires) for all purposes of this Indenture and of any indenture supplemental hereto shall have the respective meanings specified in this Section and shall include the plural as well as the singular. All other terms used in this Indenture that are defined in the Trust Indenture Act of 1939, as amended, or that are by reference in such Act defined in the Securities Act of 1933, as amended (except as herein or any indenture supplemental hereto otherwise expressly provided or unless the context otherwise requires), shall have the meanings assigned to such terms in said Trust Indenture Act and in said Securities Act as in force at the date of the execution of this instrument.</w:t>
      </w:r>
    </w:p>
    <w:p>
      <w:pPr>
        <w:spacing w:after="0" w:line="14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Authenticating Agent</w:t>
      </w:r>
      <w:r>
        <w:rPr>
          <w:rFonts w:ascii="Times New Roman" w:cs="Times New Roman" w:eastAsia="Times New Roman" w:hAnsi="Times New Roman"/>
          <w:sz w:val="14"/>
          <w:szCs w:val="14"/>
          <w:color w:val="auto"/>
        </w:rPr>
        <w:t>” means the Trustee or an authenticating agent with respect to all or any of the series of Securities appointed by the Trustee pursuant to Section 2.10.</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Bankruptcy Law</w:t>
      </w:r>
      <w:r>
        <w:rPr>
          <w:rFonts w:ascii="Times New Roman" w:cs="Times New Roman" w:eastAsia="Times New Roman" w:hAnsi="Times New Roman"/>
          <w:sz w:val="14"/>
          <w:szCs w:val="14"/>
          <w:color w:val="auto"/>
        </w:rPr>
        <w:t>” means Title 11, U.S. Code, or any similar federal or state law for the relief of debtors.</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Board of Directors</w:t>
      </w:r>
      <w:r>
        <w:rPr>
          <w:rFonts w:ascii="Times New Roman" w:cs="Times New Roman" w:eastAsia="Times New Roman" w:hAnsi="Times New Roman"/>
          <w:sz w:val="14"/>
          <w:szCs w:val="14"/>
          <w:color w:val="auto"/>
        </w:rPr>
        <w:t>” means the Board of Directors (or the functional equivalent thereof) of the Company or any duly authorized committee of such Board.</w:t>
      </w:r>
    </w:p>
    <w:p>
      <w:pPr>
        <w:spacing w:after="0" w:line="167" w:lineRule="exact"/>
        <w:rPr>
          <w:sz w:val="20"/>
          <w:szCs w:val="20"/>
          <w:color w:val="auto"/>
        </w:rPr>
      </w:pPr>
    </w:p>
    <w:p>
      <w:pPr>
        <w:jc w:val="both"/>
        <w:ind w:firstLine="752"/>
        <w:spacing w:after="0" w:line="27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Board Resolution</w:t>
      </w:r>
      <w:r>
        <w:rPr>
          <w:rFonts w:ascii="Times New Roman" w:cs="Times New Roman" w:eastAsia="Times New Roman" w:hAnsi="Times New Roman"/>
          <w:sz w:val="14"/>
          <w:szCs w:val="14"/>
          <w:color w:val="auto"/>
        </w:rPr>
        <w:t>” means a copy of a resolution certified by the Secretary or an Assistant Secretary of the Company to have been duly adopted by the Board of Directors (or duly authorized committee thereof) and to be in full force and effect on the date of such certification.</w:t>
      </w:r>
    </w:p>
    <w:p>
      <w:pPr>
        <w:spacing w:after="0" w:line="127" w:lineRule="exact"/>
        <w:rPr>
          <w:sz w:val="20"/>
          <w:szCs w:val="20"/>
          <w:color w:val="auto"/>
        </w:rPr>
      </w:pPr>
    </w:p>
    <w:p>
      <w:pPr>
        <w:jc w:val="both"/>
        <w:ind w:firstLine="752"/>
        <w:spacing w:after="0" w:line="27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Business Day</w:t>
      </w:r>
      <w:r>
        <w:rPr>
          <w:rFonts w:ascii="Times New Roman" w:cs="Times New Roman" w:eastAsia="Times New Roman" w:hAnsi="Times New Roman"/>
          <w:sz w:val="14"/>
          <w:szCs w:val="14"/>
          <w:color w:val="auto"/>
        </w:rPr>
        <w:t>” means, with respect to any series of Securities, any day other than a day on which federal or state banking institutions in the Borough of Manhattan, the City of New York, or in the city of the Corporate Trust Office of the Trustee, are authorized or obligated by law, executive order or regulation to close.</w:t>
      </w:r>
    </w:p>
    <w:p>
      <w:pPr>
        <w:spacing w:after="0" w:line="127" w:lineRule="exact"/>
        <w:rPr>
          <w:sz w:val="20"/>
          <w:szCs w:val="20"/>
          <w:color w:val="auto"/>
        </w:rPr>
      </w:pPr>
    </w:p>
    <w:p>
      <w:pPr>
        <w:jc w:val="both"/>
        <w:ind w:firstLine="752"/>
        <w:spacing w:after="0" w:line="27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Commission</w:t>
      </w:r>
      <w:r>
        <w:rPr>
          <w:rFonts w:ascii="Times New Roman" w:cs="Times New Roman" w:eastAsia="Times New Roman" w:hAnsi="Times New Roman"/>
          <w:sz w:val="14"/>
          <w:szCs w:val="14"/>
          <w:color w:val="auto"/>
        </w:rPr>
        <w:t>” means the Securities and Exchange Commission, as from time to time constituted, created under the Exchange Act, or, if at any time after the execution of this instrument such Commission is not existing and performing the duties now assigned to it under the Trust Indenture Act, then the body performing such duties at such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756285</wp:posOffset>
            </wp:positionV>
            <wp:extent cx="719074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3">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108" w:right="319" w:bottom="1440" w:gutter="0" w:footer="0" w:header="0"/>
        </w:sectPr>
      </w:pPr>
    </w:p>
    <w:bookmarkStart w:id="33" w:name="page34"/>
    <w:bookmarkEnd w:id="33"/>
    <w:p>
      <w:pPr>
        <w:jc w:val="both"/>
        <w:ind w:firstLine="752"/>
        <w:spacing w:after="0" w:line="27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Company</w:t>
      </w:r>
      <w:r>
        <w:rPr>
          <w:rFonts w:ascii="Times New Roman" w:cs="Times New Roman" w:eastAsia="Times New Roman" w:hAnsi="Times New Roman"/>
          <w:sz w:val="14"/>
          <w:szCs w:val="14"/>
          <w:color w:val="auto"/>
        </w:rPr>
        <w:t xml:space="preserve">” means </w:t>
      </w:r>
      <w:r>
        <w:rPr>
          <w:rFonts w:ascii="Times New Roman" w:cs="Times New Roman" w:eastAsia="Times New Roman" w:hAnsi="Times New Roman"/>
          <w:sz w:val="14"/>
          <w:szCs w:val="14"/>
          <w:b w:val="1"/>
          <w:bCs w:val="1"/>
          <w:color w:val="auto"/>
        </w:rPr>
        <w:t>L</w:t>
      </w:r>
      <w:r>
        <w:rPr>
          <w:rFonts w:ascii="Times New Roman" w:cs="Times New Roman" w:eastAsia="Times New Roman" w:hAnsi="Times New Roman"/>
          <w:sz w:val="9"/>
          <w:szCs w:val="9"/>
          <w:b w:val="1"/>
          <w:bCs w:val="1"/>
          <w:color w:val="auto"/>
        </w:rPr>
        <w:t>ineage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C</w:t>
      </w:r>
      <w:r>
        <w:rPr>
          <w:rFonts w:ascii="Times New Roman" w:cs="Times New Roman" w:eastAsia="Times New Roman" w:hAnsi="Times New Roman"/>
          <w:sz w:val="9"/>
          <w:szCs w:val="9"/>
          <w:b w:val="1"/>
          <w:bCs w:val="1"/>
          <w:color w:val="auto"/>
        </w:rPr>
        <w:t>ell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9"/>
          <w:szCs w:val="9"/>
          <w:b w:val="1"/>
          <w:bCs w:val="1"/>
          <w:color w:val="auto"/>
        </w:rPr>
        <w:t>herapeutics</w:t>
      </w:r>
      <w:r>
        <w:rPr>
          <w:rFonts w:ascii="Times New Roman" w:cs="Times New Roman" w:eastAsia="Times New Roman" w:hAnsi="Times New Roman"/>
          <w:sz w:val="14"/>
          <w:szCs w:val="14"/>
          <w:b w:val="1"/>
          <w:bCs w:val="1"/>
          <w:color w:val="auto"/>
        </w:rPr>
        <w:t>, I</w:t>
      </w:r>
      <w:r>
        <w:rPr>
          <w:rFonts w:ascii="Times New Roman" w:cs="Times New Roman" w:eastAsia="Times New Roman" w:hAnsi="Times New Roman"/>
          <w:sz w:val="9"/>
          <w:szCs w:val="9"/>
          <w:b w:val="1"/>
          <w:bCs w:val="1"/>
          <w:color w:val="auto"/>
        </w:rPr>
        <w:t>nc</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a corporation duly organized and existing under the laws of the State of </w:t>
      </w:r>
      <w:r>
        <w:rPr>
          <w:rFonts w:ascii="Times New Roman" w:cs="Times New Roman" w:eastAsia="Times New Roman" w:hAnsi="Times New Roman"/>
          <w:sz w:val="14"/>
          <w:szCs w:val="14"/>
          <w:b w:val="1"/>
          <w:bCs w:val="1"/>
          <w:color w:val="auto"/>
        </w:rPr>
        <w:t>C</w:t>
      </w:r>
      <w:r>
        <w:rPr>
          <w:rFonts w:ascii="Times New Roman" w:cs="Times New Roman" w:eastAsia="Times New Roman" w:hAnsi="Times New Roman"/>
          <w:sz w:val="9"/>
          <w:szCs w:val="9"/>
          <w:b w:val="1"/>
          <w:bCs w:val="1"/>
          <w:color w:val="auto"/>
        </w:rPr>
        <w:t>alifornia</w:t>
      </w:r>
      <w:r>
        <w:rPr>
          <w:rFonts w:ascii="Times New Roman" w:cs="Times New Roman" w:eastAsia="Times New Roman" w:hAnsi="Times New Roman"/>
          <w:sz w:val="14"/>
          <w:szCs w:val="14"/>
          <w:color w:val="auto"/>
        </w:rPr>
        <w:t>, and, subject to the provisions of Article Ten, shall also include its successors and assigns.</w:t>
      </w:r>
    </w:p>
    <w:p>
      <w:pPr>
        <w:spacing w:after="0" w:line="127" w:lineRule="exact"/>
        <w:rPr>
          <w:sz w:val="20"/>
          <w:szCs w:val="20"/>
          <w:color w:val="auto"/>
        </w:rPr>
      </w:pPr>
    </w:p>
    <w:p>
      <w:pPr>
        <w:jc w:val="both"/>
        <w:ind w:firstLine="752"/>
        <w:spacing w:after="0" w:line="27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Corporate Trust Office</w:t>
      </w:r>
      <w:r>
        <w:rPr>
          <w:rFonts w:ascii="Times New Roman" w:cs="Times New Roman" w:eastAsia="Times New Roman" w:hAnsi="Times New Roman"/>
          <w:sz w:val="14"/>
          <w:szCs w:val="14"/>
          <w:color w:val="auto"/>
        </w:rPr>
        <w:t>” means the office of the Trustee at which, at any particular time, its corporate trust business shall be principally administered, which office at the date hereof is located at ____________________________________.</w:t>
      </w:r>
    </w:p>
    <w:p>
      <w:pPr>
        <w:spacing w:after="0" w:line="1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Custodian</w:t>
      </w:r>
      <w:r>
        <w:rPr>
          <w:rFonts w:ascii="Times New Roman" w:cs="Times New Roman" w:eastAsia="Times New Roman" w:hAnsi="Times New Roman"/>
          <w:sz w:val="14"/>
          <w:szCs w:val="14"/>
          <w:color w:val="auto"/>
        </w:rPr>
        <w:t>” means any receiver, trustee, assignee, liquidator or similar official under any Bankruptcy Law.</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Defaulted Interest</w:t>
      </w:r>
      <w:r>
        <w:rPr>
          <w:rFonts w:ascii="Times New Roman" w:cs="Times New Roman" w:eastAsia="Times New Roman" w:hAnsi="Times New Roman"/>
          <w:sz w:val="14"/>
          <w:szCs w:val="14"/>
          <w:color w:val="auto"/>
        </w:rPr>
        <w:t>” has the meaning set forth in Section 2.03.</w:t>
      </w:r>
    </w:p>
    <w:p>
      <w:pPr>
        <w:spacing w:after="0" w:line="167" w:lineRule="exact"/>
        <w:rPr>
          <w:sz w:val="20"/>
          <w:szCs w:val="20"/>
          <w:color w:val="auto"/>
        </w:rPr>
      </w:pPr>
    </w:p>
    <w:p>
      <w:pPr>
        <w:jc w:val="both"/>
        <w:ind w:firstLine="752"/>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Depositary</w:t>
      </w:r>
      <w:r>
        <w:rPr>
          <w:rFonts w:ascii="Times New Roman" w:cs="Times New Roman" w:eastAsia="Times New Roman" w:hAnsi="Times New Roman"/>
          <w:sz w:val="14"/>
          <w:szCs w:val="14"/>
          <w:color w:val="auto"/>
        </w:rPr>
        <w:t>” means, with respect to Securities of any series for which the Company shall determine that such Securities will be issued as a Global Security, The Depository Trust Company, another clearing agency, or any successor registered as a clearing agency under the Exchange Act, or other applicable statute or regulation, which, in each case, shall be designated by the Company pursuant to either Section 2.01 or 2.11.</w:t>
      </w:r>
    </w:p>
    <w:p>
      <w:pPr>
        <w:spacing w:after="0" w:line="13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Event of Default</w:t>
      </w:r>
      <w:r>
        <w:rPr>
          <w:rFonts w:ascii="Times New Roman" w:cs="Times New Roman" w:eastAsia="Times New Roman" w:hAnsi="Times New Roman"/>
          <w:sz w:val="14"/>
          <w:szCs w:val="14"/>
          <w:color w:val="auto"/>
        </w:rPr>
        <w:t>” means, with respect to Securities of a particular series, any event specified in Section 6.01, continued for the period of time, if any, therein designated.</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Exchange Act</w:t>
      </w:r>
      <w:r>
        <w:rPr>
          <w:rFonts w:ascii="Times New Roman" w:cs="Times New Roman" w:eastAsia="Times New Roman" w:hAnsi="Times New Roman"/>
          <w:sz w:val="14"/>
          <w:szCs w:val="14"/>
          <w:color w:val="auto"/>
        </w:rPr>
        <w:t>” means the United States Securities and Exchange Act of 1934, as amended, and the rules and regulations promulgated by the Commission thereunder.</w:t>
      </w:r>
    </w:p>
    <w:p>
      <w:pPr>
        <w:spacing w:after="0" w:line="167" w:lineRule="exact"/>
        <w:rPr>
          <w:sz w:val="20"/>
          <w:szCs w:val="20"/>
          <w:color w:val="auto"/>
        </w:rPr>
      </w:pPr>
    </w:p>
    <w:p>
      <w:pPr>
        <w:jc w:val="both"/>
        <w:ind w:firstLine="752"/>
        <w:spacing w:after="0" w:line="254" w:lineRule="auto"/>
        <w:rPr>
          <w:sz w:val="20"/>
          <w:szCs w:val="20"/>
          <w:color w:val="auto"/>
        </w:rPr>
      </w:pPr>
      <w:r>
        <w:rPr>
          <w:rFonts w:ascii="Times New Roman" w:cs="Times New Roman" w:eastAsia="Times New Roman" w:hAnsi="Times New Roman"/>
          <w:sz w:val="14"/>
          <w:szCs w:val="14"/>
          <w:color w:val="auto"/>
        </w:rPr>
        <w:t>The term “</w:t>
      </w:r>
      <w:r>
        <w:rPr>
          <w:rFonts w:ascii="Times New Roman" w:cs="Times New Roman" w:eastAsia="Times New Roman" w:hAnsi="Times New Roman"/>
          <w:sz w:val="14"/>
          <w:szCs w:val="14"/>
          <w:b w:val="1"/>
          <w:bCs w:val="1"/>
          <w:i w:val="1"/>
          <w:iCs w:val="1"/>
          <w:color w:val="auto"/>
        </w:rPr>
        <w:t>given</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i w:val="1"/>
          <w:iCs w:val="1"/>
          <w:color w:val="auto"/>
        </w:rPr>
        <w:t>mailed</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i w:val="1"/>
          <w:iCs w:val="1"/>
          <w:color w:val="auto"/>
        </w:rPr>
        <w:t>notify</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b w:val="1"/>
          <w:bCs w:val="1"/>
          <w:i w:val="1"/>
          <w:iCs w:val="1"/>
          <w:color w:val="auto"/>
        </w:rPr>
        <w:t>sent</w:t>
      </w:r>
      <w:r>
        <w:rPr>
          <w:rFonts w:ascii="Times New Roman" w:cs="Times New Roman" w:eastAsia="Times New Roman" w:hAnsi="Times New Roman"/>
          <w:sz w:val="14"/>
          <w:szCs w:val="14"/>
          <w:color w:val="auto"/>
        </w:rPr>
        <w:t>” with respect to any notice to be given to a Securityholder pursuant to this Indenture, shall mean notice (x) given to the Depositary (or its designee) pursuant to the standing instructions from the Depositary or its designee, including by electronic mail in accordance with accepted practices or procedures at the Depositary (in the case of a Global Security) or (y) mailed to such Securityholder by first class mail, postage prepaid, at its address as it appears on the Security Register (in the case of a definitive Security). Notice so “given” shall be deemed to include any notice to be “mailed” or “delivered,” as applicable, under this Indenture.</w:t>
      </w:r>
    </w:p>
    <w:p>
      <w:pPr>
        <w:spacing w:after="0" w:line="139" w:lineRule="exact"/>
        <w:rPr>
          <w:sz w:val="20"/>
          <w:szCs w:val="20"/>
          <w:color w:val="auto"/>
        </w:rPr>
      </w:pPr>
    </w:p>
    <w:p>
      <w:pPr>
        <w:jc w:val="both"/>
        <w:ind w:firstLine="752"/>
        <w:spacing w:after="0" w:line="27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Global Security</w:t>
      </w:r>
      <w:r>
        <w:rPr>
          <w:rFonts w:ascii="Times New Roman" w:cs="Times New Roman" w:eastAsia="Times New Roman" w:hAnsi="Times New Roman"/>
          <w:sz w:val="14"/>
          <w:szCs w:val="14"/>
          <w:color w:val="auto"/>
        </w:rPr>
        <w:t>” means a Security issued to evidence all or a part of any series of Securities which is executed by the Company and authenticated and delivered by the Trustee to the Depositary or pursuant to the Depositary’s instruction, all in accordance with the Indenture, which shall be registered in the name of the Depositary or its nominee.</w:t>
      </w:r>
    </w:p>
    <w:p>
      <w:pPr>
        <w:spacing w:after="0" w:line="127" w:lineRule="exact"/>
        <w:rPr>
          <w:sz w:val="20"/>
          <w:szCs w:val="20"/>
          <w:color w:val="auto"/>
        </w:rPr>
      </w:pPr>
    </w:p>
    <w:p>
      <w:pPr>
        <w:jc w:val="both"/>
        <w:ind w:firstLine="752"/>
        <w:spacing w:after="0" w:line="24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Governmental Obligations</w:t>
      </w:r>
      <w:r>
        <w:rPr>
          <w:rFonts w:ascii="Times New Roman" w:cs="Times New Roman" w:eastAsia="Times New Roman" w:hAnsi="Times New Roman"/>
          <w:sz w:val="14"/>
          <w:szCs w:val="14"/>
          <w:color w:val="auto"/>
        </w:rPr>
        <w:t>” means securities that are (a) direct obligations of the United States of America for the payment of which its full faith and credit is pledged or (b) obligations of a Person 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at any time prior to the stated maturity of the Securities, and shall also include a depositary receipt issued by a bank or trust company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spacing w:after="0" w:line="14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herein</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i w:val="1"/>
          <w:iCs w:val="1"/>
          <w:color w:val="auto"/>
        </w:rPr>
        <w:t>hereof</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b w:val="1"/>
          <w:bCs w:val="1"/>
          <w:i w:val="1"/>
          <w:iCs w:val="1"/>
          <w:color w:val="auto"/>
        </w:rPr>
        <w:t>hereunder</w:t>
      </w:r>
      <w:r>
        <w:rPr>
          <w:rFonts w:ascii="Times New Roman" w:cs="Times New Roman" w:eastAsia="Times New Roman" w:hAnsi="Times New Roman"/>
          <w:sz w:val="14"/>
          <w:szCs w:val="14"/>
          <w:color w:val="auto"/>
        </w:rPr>
        <w:t>”, and other words of similar import, refer to this Indenture as a whole and not to any particular Article, Section or other subdivision.</w:t>
      </w:r>
    </w:p>
    <w:p>
      <w:pPr>
        <w:spacing w:after="0" w:line="167" w:lineRule="exact"/>
        <w:rPr>
          <w:sz w:val="20"/>
          <w:szCs w:val="20"/>
          <w:color w:val="auto"/>
        </w:rPr>
      </w:pPr>
    </w:p>
    <w:p>
      <w:pPr>
        <w:jc w:val="both"/>
        <w:ind w:firstLine="752"/>
        <w:spacing w:after="0" w:line="27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Indenture</w:t>
      </w:r>
      <w:r>
        <w:rPr>
          <w:rFonts w:ascii="Times New Roman" w:cs="Times New Roman" w:eastAsia="Times New Roman" w:hAnsi="Times New Roman"/>
          <w:sz w:val="14"/>
          <w:szCs w:val="14"/>
          <w:color w:val="auto"/>
        </w:rPr>
        <w:t>” means this instrument as originally executed or as it may from time to time be supplemented or amended by one or more indentures supplemental hereto entered into in accordance with the terms hereof and shall include the terms of particular series of Securities established as contemplated by Section 2.01.</w:t>
      </w:r>
    </w:p>
    <w:p>
      <w:pPr>
        <w:spacing w:after="0" w:line="127" w:lineRule="exact"/>
        <w:rPr>
          <w:sz w:val="20"/>
          <w:szCs w:val="20"/>
          <w:color w:val="auto"/>
        </w:rPr>
      </w:pPr>
    </w:p>
    <w:p>
      <w:pPr>
        <w:jc w:val="both"/>
        <w:ind w:firstLine="752"/>
        <w:spacing w:after="0" w:line="27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Interest Payment Date</w:t>
      </w:r>
      <w:r>
        <w:rPr>
          <w:rFonts w:ascii="Times New Roman" w:cs="Times New Roman" w:eastAsia="Times New Roman" w:hAnsi="Times New Roman"/>
          <w:sz w:val="14"/>
          <w:szCs w:val="14"/>
          <w:color w:val="auto"/>
        </w:rPr>
        <w:t>”, when used with respect to any installment of interest on a Security of a particular series, means the date specified in such Security or in a Board Resolution or in an indenture supplemental hereto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652145</wp:posOffset>
            </wp:positionV>
            <wp:extent cx="719074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4">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108"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color w:val="auto"/>
        </w:rPr>
        <w:t>respect to such series as the fixed date on which an installment of interest with respect to Securities of that series is due and payable.</w:t>
      </w:r>
    </w:p>
    <w:p>
      <w:pPr>
        <w:spacing w:after="0" w:line="163" w:lineRule="exact"/>
        <w:rPr>
          <w:sz w:val="20"/>
          <w:szCs w:val="20"/>
          <w:color w:val="auto"/>
        </w:rPr>
      </w:pPr>
    </w:p>
    <w:p>
      <w:pPr>
        <w:jc w:val="both"/>
        <w:ind w:firstLine="752"/>
        <w:spacing w:after="0" w:line="27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Officer</w:t>
      </w:r>
      <w:r>
        <w:rPr>
          <w:rFonts w:ascii="Times New Roman" w:cs="Times New Roman" w:eastAsia="Times New Roman" w:hAnsi="Times New Roman"/>
          <w:sz w:val="14"/>
          <w:szCs w:val="14"/>
          <w:color w:val="auto"/>
        </w:rPr>
        <w:t>” means, with respect to the Company, the chairman of the Board of Directors, a chief executive officer, a president, a chief financial officer, a chief operating officer, any executive vice president, any senior vice president, any vice president, the treasurer or any assistant treasurer, the controller or any assistant controller or the secretary or any assistant secretary.</w:t>
      </w:r>
    </w:p>
    <w:p>
      <w:pPr>
        <w:spacing w:after="0" w:line="1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Officer’s Certificate</w:t>
      </w:r>
      <w:r>
        <w:rPr>
          <w:rFonts w:ascii="Times New Roman" w:cs="Times New Roman" w:eastAsia="Times New Roman" w:hAnsi="Times New Roman"/>
          <w:sz w:val="13"/>
          <w:szCs w:val="13"/>
          <w:color w:val="auto"/>
        </w:rPr>
        <w:t>” means a certificate signed by any Officer. Each such certificate shall include the statements provided for in Section 13.07, if and to the extent required by the provisions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thereof.</w:t>
      </w:r>
    </w:p>
    <w:p>
      <w:pPr>
        <w:spacing w:after="0" w:line="152" w:lineRule="exact"/>
        <w:rPr>
          <w:sz w:val="20"/>
          <w:szCs w:val="20"/>
          <w:color w:val="auto"/>
        </w:rPr>
      </w:pPr>
    </w:p>
    <w:p>
      <w:pPr>
        <w:jc w:val="both"/>
        <w:ind w:firstLine="752"/>
        <w:spacing w:after="0" w:line="27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Opinion of Counsel</w:t>
      </w:r>
      <w:r>
        <w:rPr>
          <w:rFonts w:ascii="Times New Roman" w:cs="Times New Roman" w:eastAsia="Times New Roman" w:hAnsi="Times New Roman"/>
          <w:sz w:val="14"/>
          <w:szCs w:val="14"/>
          <w:color w:val="auto"/>
        </w:rPr>
        <w:t>” means an opinion in writing subject to customary exceptions of legal counsel, who may be an employee of or counsel for the Company, that is delivered to the Trustee in accordance with the terms hereof. Each such opinion shall include the statements provided for in Section 13.07, if and to the extent required by the provisions thereof.</w:t>
      </w:r>
    </w:p>
    <w:p>
      <w:pPr>
        <w:spacing w:after="0" w:line="127" w:lineRule="exact"/>
        <w:rPr>
          <w:sz w:val="20"/>
          <w:szCs w:val="20"/>
          <w:color w:val="auto"/>
        </w:rPr>
      </w:pPr>
    </w:p>
    <w:p>
      <w:pPr>
        <w:jc w:val="both"/>
        <w:ind w:firstLine="752"/>
        <w:spacing w:after="0" w:line="24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Outstanding</w:t>
      </w:r>
      <w:r>
        <w:rPr>
          <w:rFonts w:ascii="Times New Roman" w:cs="Times New Roman" w:eastAsia="Times New Roman" w:hAnsi="Times New Roman"/>
          <w:sz w:val="14"/>
          <w:szCs w:val="14"/>
          <w:color w:val="auto"/>
        </w:rPr>
        <w:t>”, when used with reference to Securities of any series, means, subject to the provisions of Section 8.04, as of any particular time, all Securities of that series theretofore authenticated and delivered by the Trustee under this Indenture, except (a) Securities theretofore canceled by the Trustee or any paying agent, or delivered to the Trustee or any paying agent for cancellation or that have previously been canceled; (b) Securities or portions thereof for the payment or redemption of which moneys or Governmental Obligations in the necessary amount shall have been deposited in trust with the Trustee or with any paying agent (other than the Company) or shall have been set aside and segregated in trust by the Company (if the Company shall act as its own paying agent); provided, however, that if such Securities or portions of such Securities are to be redeemed prior to the maturity thereof, notice of such redemption shall have been given as provided in Article Three, or provision satisfactory to the Trustee shall have been made for giving such notice; and (c) Securities in lieu of or in substitution for which other Securities shall have been authenticated and delivered pursuant to the terms of Section 2.07.</w:t>
      </w:r>
    </w:p>
    <w:p>
      <w:pPr>
        <w:spacing w:after="0" w:line="144" w:lineRule="exact"/>
        <w:rPr>
          <w:sz w:val="20"/>
          <w:szCs w:val="20"/>
          <w:color w:val="auto"/>
        </w:rPr>
      </w:pPr>
    </w:p>
    <w:p>
      <w:pPr>
        <w:jc w:val="both"/>
        <w:ind w:firstLine="752"/>
        <w:spacing w:after="0" w:line="27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Person</w:t>
      </w:r>
      <w:r>
        <w:rPr>
          <w:rFonts w:ascii="Times New Roman" w:cs="Times New Roman" w:eastAsia="Times New Roman" w:hAnsi="Times New Roman"/>
          <w:sz w:val="14"/>
          <w:szCs w:val="14"/>
          <w:color w:val="auto"/>
        </w:rPr>
        <w:t>” means any individual, corporation, partnership, joint venture, joint-stock company, limited liability company, association, trust, unincorporated organization, any other entity or organization, including a government or political subdivision or an agency or instrumentality thereof.</w:t>
      </w:r>
    </w:p>
    <w:p>
      <w:pPr>
        <w:spacing w:after="0" w:line="127" w:lineRule="exact"/>
        <w:rPr>
          <w:sz w:val="20"/>
          <w:szCs w:val="20"/>
          <w:color w:val="auto"/>
        </w:rPr>
      </w:pPr>
    </w:p>
    <w:p>
      <w:pPr>
        <w:jc w:val="both"/>
        <w:ind w:firstLine="752"/>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Predecessor Security</w:t>
      </w:r>
      <w:r>
        <w:rPr>
          <w:rFonts w:ascii="Times New Roman" w:cs="Times New Roman" w:eastAsia="Times New Roman" w:hAnsi="Times New Roman"/>
          <w:sz w:val="14"/>
          <w:szCs w:val="14"/>
          <w:color w:val="auto"/>
        </w:rPr>
        <w:t>” of any particular Security means every previous Security evidencing all or a portion of the same debt as that evidenced by such particular Security; and, for the purposes of this definition, any Security authenticated and delivered under Section 2.07 in lieu of a lost, destroyed or stolen Security shall be deemed to evidence the same debt as the lost, destroyed or stolen Security.</w:t>
      </w:r>
    </w:p>
    <w:p>
      <w:pPr>
        <w:spacing w:after="0" w:line="137" w:lineRule="exact"/>
        <w:rPr>
          <w:sz w:val="20"/>
          <w:szCs w:val="20"/>
          <w:color w:val="auto"/>
        </w:rPr>
      </w:pPr>
    </w:p>
    <w:p>
      <w:pPr>
        <w:jc w:val="both"/>
        <w:ind w:firstLine="752"/>
        <w:spacing w:after="0" w:line="28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Responsible Officer</w:t>
      </w:r>
      <w:r>
        <w:rPr>
          <w:rFonts w:ascii="Times New Roman" w:cs="Times New Roman" w:eastAsia="Times New Roman" w:hAnsi="Times New Roman"/>
          <w:sz w:val="13"/>
          <w:szCs w:val="13"/>
          <w:color w:val="auto"/>
        </w:rPr>
        <w:t>” when used with respect to the Trustee means any officer within the Corporate Trust Office of the Trustee (or any successor group of the Trustee) or any other officer of the Trustee customarily performing functions similar to those performed by any of the above designated officers and also means, with respect to a particular corporate trust matter, any other officer to whom such matter is referred because of his or her knowledge of and familiarity with the particular subject and in each case who shall have direct responsibility for the administration of this Indenture.</w:t>
      </w:r>
    </w:p>
    <w:p>
      <w:pPr>
        <w:spacing w:after="0" w:line="1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Securities</w:t>
      </w:r>
      <w:r>
        <w:rPr>
          <w:rFonts w:ascii="Times New Roman" w:cs="Times New Roman" w:eastAsia="Times New Roman" w:hAnsi="Times New Roman"/>
          <w:sz w:val="14"/>
          <w:szCs w:val="14"/>
          <w:color w:val="auto"/>
        </w:rPr>
        <w:t>” has the meaning stated in the first recital of this Indenture and more particularly means any Securities authenticated and delivered under this Indenture.</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Securities Act</w:t>
      </w:r>
      <w:r>
        <w:rPr>
          <w:rFonts w:ascii="Times New Roman" w:cs="Times New Roman" w:eastAsia="Times New Roman" w:hAnsi="Times New Roman"/>
          <w:sz w:val="14"/>
          <w:szCs w:val="14"/>
          <w:color w:val="auto"/>
        </w:rPr>
        <w:t>” means the Securities Act of 1933, as amended.</w:t>
      </w:r>
    </w:p>
    <w:p>
      <w:pPr>
        <w:spacing w:after="0" w:line="167" w:lineRule="exact"/>
        <w:rPr>
          <w:sz w:val="20"/>
          <w:szCs w:val="20"/>
          <w:color w:val="auto"/>
        </w:rPr>
      </w:pPr>
    </w:p>
    <w:p>
      <w:pPr>
        <w:jc w:val="both"/>
        <w:ind w:firstLine="752"/>
        <w:spacing w:after="0" w:line="27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Securityholder</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i w:val="1"/>
          <w:iCs w:val="1"/>
          <w:color w:val="auto"/>
        </w:rPr>
        <w:t>holder of Securities</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i w:val="1"/>
          <w:iCs w:val="1"/>
          <w:color w:val="auto"/>
        </w:rPr>
        <w:t>registered holder</w:t>
      </w:r>
      <w:r>
        <w:rPr>
          <w:rFonts w:ascii="Times New Roman" w:cs="Times New Roman" w:eastAsia="Times New Roman" w:hAnsi="Times New Roman"/>
          <w:sz w:val="14"/>
          <w:szCs w:val="14"/>
          <w:color w:val="auto"/>
        </w:rPr>
        <w:t>”, or other similar term, means the Person or Persons in whose name or names a particular Security is registered on the Security Register kept for that purpose in accordance with the terms of this Indenture.</w:t>
      </w:r>
    </w:p>
    <w:p>
      <w:pPr>
        <w:spacing w:after="0" w:line="1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Security Register</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b w:val="1"/>
          <w:bCs w:val="1"/>
          <w:i w:val="1"/>
          <w:iCs w:val="1"/>
          <w:color w:val="auto"/>
        </w:rPr>
        <w:t>Security Registrar</w:t>
      </w:r>
      <w:r>
        <w:rPr>
          <w:rFonts w:ascii="Times New Roman" w:cs="Times New Roman" w:eastAsia="Times New Roman" w:hAnsi="Times New Roman"/>
          <w:sz w:val="14"/>
          <w:szCs w:val="14"/>
          <w:color w:val="auto"/>
        </w:rPr>
        <w:t>” shall have the meanings as set forth in Section 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781685</wp:posOffset>
            </wp:positionV>
            <wp:extent cx="719074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111" w:right="319" w:bottom="1440" w:gutter="0" w:footer="0" w:header="0"/>
        </w:sectPr>
      </w:pPr>
    </w:p>
    <w:bookmarkStart w:id="35" w:name="page36"/>
    <w:bookmarkEnd w:id="35"/>
    <w:p>
      <w:pPr>
        <w:jc w:val="both"/>
        <w:ind w:firstLine="752"/>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Subsidiary</w:t>
      </w:r>
      <w:r>
        <w:rPr>
          <w:rFonts w:ascii="Times New Roman" w:cs="Times New Roman" w:eastAsia="Times New Roman" w:hAnsi="Times New Roman"/>
          <w:sz w:val="14"/>
          <w:szCs w:val="14"/>
          <w:color w:val="auto"/>
        </w:rPr>
        <w:t>” means, with respect to any Person, any corporation, association, partnership or other business entity of which more than 50% of the total voting power of shares of capital stock or other interests (including partnership interests) entitled (without regard to the occurrence of any contingency) to vote in the election of directors, managers, general partners or trustees thereof is at the time owned or controlled, directly or indirectly, by (i) such Person; (ii) such Person and one or more Subsidiaries of such Person; or (iii) one or more Subsidiaries of such Person.</w:t>
      </w:r>
    </w:p>
    <w:p>
      <w:pPr>
        <w:spacing w:after="0" w:line="13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Trustee</w:t>
      </w:r>
      <w:r>
        <w:rPr>
          <w:rFonts w:ascii="Times New Roman" w:cs="Times New Roman" w:eastAsia="Times New Roman" w:hAnsi="Times New Roman"/>
          <w:sz w:val="13"/>
          <w:szCs w:val="13"/>
          <w:color w:val="auto"/>
        </w:rPr>
        <w:t>” means _________________________, and, subject to the provisions of Article Seven, shall also include its successors and assigns, and, if at any time there is more than one Person</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acting in such capacity hereunder, “Trustee” shall mean each such Person. The term “Trustee” as used with respect to a particular series of the Securities shall mean the trustee with respect to that series.</w:t>
      </w:r>
    </w:p>
    <w:p>
      <w:pPr>
        <w:spacing w:after="0" w:line="16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Trust Indenture Act</w:t>
      </w:r>
      <w:r>
        <w:rPr>
          <w:rFonts w:ascii="Times New Roman" w:cs="Times New Roman" w:eastAsia="Times New Roman" w:hAnsi="Times New Roman"/>
          <w:sz w:val="14"/>
          <w:szCs w:val="14"/>
          <w:color w:val="auto"/>
        </w:rPr>
        <w:t>” means the Trust Indenture Act of 1939, as amended.</w:t>
      </w:r>
    </w:p>
    <w:p>
      <w:pPr>
        <w:spacing w:after="0" w:line="167" w:lineRule="exact"/>
        <w:rPr>
          <w:sz w:val="20"/>
          <w:szCs w:val="20"/>
          <w:color w:val="auto"/>
        </w:rPr>
      </w:pPr>
    </w:p>
    <w:p>
      <w:pPr>
        <w:jc w:val="both"/>
        <w:ind w:firstLine="752"/>
        <w:spacing w:after="0" w:line="272" w:lineRule="auto"/>
        <w:rPr>
          <w:sz w:val="20"/>
          <w:szCs w:val="20"/>
          <w:color w:val="auto"/>
        </w:rPr>
      </w:pPr>
      <w:r>
        <w:rPr>
          <w:rFonts w:ascii="Times New Roman" w:cs="Times New Roman" w:eastAsia="Times New Roman" w:hAnsi="Times New Roman"/>
          <w:sz w:val="14"/>
          <w:szCs w:val="14"/>
          <w:b w:val="1"/>
          <w:bCs w:val="1"/>
          <w:i w:val="1"/>
          <w:iCs w:val="1"/>
          <w:color w:val="auto"/>
        </w:rPr>
        <w:t xml:space="preserve">“U.S.A. Patriot Act” </w:t>
      </w:r>
      <w:r>
        <w:rPr>
          <w:rFonts w:ascii="Times New Roman" w:cs="Times New Roman" w:eastAsia="Times New Roman" w:hAnsi="Times New Roman"/>
          <w:sz w:val="14"/>
          <w:szCs w:val="14"/>
          <w:color w:val="auto"/>
        </w:rPr>
        <w:t>means the Uniting and Strengthening America by Providing Appropriate Tools Required to Intercept and Obstruct Terrorism Act of 2001, Pub. L. 107-56, as amended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and signed into law October 26, 2001.</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2</w:t>
      </w:r>
    </w:p>
    <w:p>
      <w:pPr>
        <w:spacing w:after="0" w:line="167"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4"/>
          <w:szCs w:val="14"/>
          <w:b w:val="1"/>
          <w:bCs w:val="1"/>
          <w:color w:val="auto"/>
        </w:rPr>
        <w:t>ISSUE, DESCRIPTION, TERMS, EXECUTION, REGISTRATION AND EXCHANGE OF SECURITIES</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Section 2.01 Designation and Terms of Securities</w:t>
      </w:r>
      <w:r>
        <w:rPr>
          <w:rFonts w:ascii="Times New Roman" w:cs="Times New Roman" w:eastAsia="Times New Roman" w:hAnsi="Times New Roman"/>
          <w:sz w:val="14"/>
          <w:szCs w:val="14"/>
          <w:color w:val="auto"/>
        </w:rPr>
        <w:t>.</w:t>
      </w:r>
    </w:p>
    <w:p>
      <w:pPr>
        <w:spacing w:after="0" w:line="171" w:lineRule="exact"/>
        <w:rPr>
          <w:sz w:val="20"/>
          <w:szCs w:val="20"/>
          <w:color w:val="auto"/>
        </w:rPr>
      </w:pPr>
    </w:p>
    <w:p>
      <w:pPr>
        <w:jc w:val="both"/>
        <w:ind w:firstLine="1506"/>
        <w:spacing w:after="0" w:line="284" w:lineRule="auto"/>
        <w:tabs>
          <w:tab w:leader="none" w:pos="1698" w:val="left"/>
        </w:tabs>
        <w:numPr>
          <w:ilvl w:val="0"/>
          <w:numId w:val="29"/>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The aggregate principal amount of Securities that may be authenticated and delivered under this Indenture is unlimited. The Securities may be issued in one or more series up to the aggregate principal amount of Securities of that series from time to time authorized by or pursuant to a Board Resolution or pursuant to one or more indentures supplemental hereto. Prior to the initial issuance of Securities of any series, there shall be established in or pursuant to a Board Resolution, and set forth in an Officer’s Certificate, or established in one or more indentures supplemental hereto:</w:t>
      </w:r>
    </w:p>
    <w:p>
      <w:pPr>
        <w:spacing w:after="0" w:line="125" w:lineRule="exact"/>
        <w:rPr>
          <w:rFonts w:ascii="Times New Roman" w:cs="Times New Roman" w:eastAsia="Times New Roman" w:hAnsi="Times New Roman"/>
          <w:sz w:val="13"/>
          <w:szCs w:val="13"/>
          <w:b w:val="1"/>
          <w:bCs w:val="1"/>
          <w:color w:val="auto"/>
        </w:rPr>
      </w:pPr>
    </w:p>
    <w:p>
      <w:pPr>
        <w:ind w:left="2460" w:hanging="201"/>
        <w:spacing w:after="0"/>
        <w:tabs>
          <w:tab w:leader="none" w:pos="2460" w:val="left"/>
        </w:tabs>
        <w:numPr>
          <w:ilvl w:val="1"/>
          <w:numId w:val="2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title of the Securities of the series (which shall distinguish the Securities of that series from all other Securities);</w:t>
      </w:r>
    </w:p>
    <w:p>
      <w:pPr>
        <w:spacing w:after="0" w:line="167" w:lineRule="exact"/>
        <w:rPr>
          <w:rFonts w:ascii="Times New Roman" w:cs="Times New Roman" w:eastAsia="Times New Roman" w:hAnsi="Times New Roman"/>
          <w:sz w:val="14"/>
          <w:szCs w:val="14"/>
          <w:b w:val="1"/>
          <w:bCs w:val="1"/>
          <w:color w:val="auto"/>
        </w:rPr>
      </w:pPr>
    </w:p>
    <w:p>
      <w:pPr>
        <w:ind w:firstLine="2259"/>
        <w:spacing w:after="0" w:line="266" w:lineRule="auto"/>
        <w:tabs>
          <w:tab w:leader="none" w:pos="2450" w:val="left"/>
        </w:tabs>
        <w:numPr>
          <w:ilvl w:val="1"/>
          <w:numId w:val="2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any limit upon the aggregate principal amount of the Securities of that series that may be authenticated and delivered under this Indenture (except for Securities authenticated and delivered upon registration of transfer of, or in exchange for, or in lieu of, other Securities of that series);</w:t>
      </w:r>
    </w:p>
    <w:p>
      <w:pPr>
        <w:spacing w:after="0" w:line="135" w:lineRule="exact"/>
        <w:rPr>
          <w:rFonts w:ascii="Times New Roman" w:cs="Times New Roman" w:eastAsia="Times New Roman" w:hAnsi="Times New Roman"/>
          <w:sz w:val="14"/>
          <w:szCs w:val="14"/>
          <w:b w:val="1"/>
          <w:bCs w:val="1"/>
          <w:color w:val="auto"/>
        </w:rPr>
      </w:pPr>
    </w:p>
    <w:p>
      <w:pPr>
        <w:ind w:left="2460" w:hanging="201"/>
        <w:spacing w:after="0"/>
        <w:tabs>
          <w:tab w:leader="none" w:pos="2460" w:val="left"/>
        </w:tabs>
        <w:numPr>
          <w:ilvl w:val="1"/>
          <w:numId w:val="2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maturity date or dates on which the principal of the Securities of the series is payable;</w:t>
      </w:r>
    </w:p>
    <w:p>
      <w:pPr>
        <w:spacing w:after="0" w:line="167" w:lineRule="exact"/>
        <w:rPr>
          <w:rFonts w:ascii="Times New Roman" w:cs="Times New Roman" w:eastAsia="Times New Roman" w:hAnsi="Times New Roman"/>
          <w:sz w:val="14"/>
          <w:szCs w:val="14"/>
          <w:b w:val="1"/>
          <w:bCs w:val="1"/>
          <w:color w:val="auto"/>
        </w:rPr>
      </w:pPr>
    </w:p>
    <w:p>
      <w:pPr>
        <w:ind w:left="2460" w:hanging="201"/>
        <w:spacing w:after="0"/>
        <w:tabs>
          <w:tab w:leader="none" w:pos="2460" w:val="left"/>
        </w:tabs>
        <w:numPr>
          <w:ilvl w:val="1"/>
          <w:numId w:val="2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form of the Securities of the series including the form of the certificate of authentication for such series;</w:t>
      </w:r>
    </w:p>
    <w:p>
      <w:pPr>
        <w:spacing w:after="0" w:line="167" w:lineRule="exact"/>
        <w:rPr>
          <w:rFonts w:ascii="Times New Roman" w:cs="Times New Roman" w:eastAsia="Times New Roman" w:hAnsi="Times New Roman"/>
          <w:sz w:val="14"/>
          <w:szCs w:val="14"/>
          <w:b w:val="1"/>
          <w:bCs w:val="1"/>
          <w:color w:val="auto"/>
        </w:rPr>
      </w:pPr>
    </w:p>
    <w:p>
      <w:pPr>
        <w:ind w:left="2460" w:hanging="201"/>
        <w:spacing w:after="0"/>
        <w:tabs>
          <w:tab w:leader="none" w:pos="2460" w:val="left"/>
        </w:tabs>
        <w:numPr>
          <w:ilvl w:val="1"/>
          <w:numId w:val="2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applicability of any guarantees;</w:t>
      </w:r>
    </w:p>
    <w:p>
      <w:pPr>
        <w:spacing w:after="0" w:line="167" w:lineRule="exact"/>
        <w:rPr>
          <w:rFonts w:ascii="Times New Roman" w:cs="Times New Roman" w:eastAsia="Times New Roman" w:hAnsi="Times New Roman"/>
          <w:sz w:val="14"/>
          <w:szCs w:val="14"/>
          <w:b w:val="1"/>
          <w:bCs w:val="1"/>
          <w:color w:val="auto"/>
        </w:rPr>
      </w:pPr>
    </w:p>
    <w:p>
      <w:pPr>
        <w:ind w:left="2460" w:hanging="201"/>
        <w:spacing w:after="0"/>
        <w:tabs>
          <w:tab w:leader="none" w:pos="2460" w:val="left"/>
        </w:tabs>
        <w:numPr>
          <w:ilvl w:val="1"/>
          <w:numId w:val="2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whether or not the Securities will be secured or unsecured, and the terms of any secured debt;</w:t>
      </w:r>
    </w:p>
    <w:p>
      <w:pPr>
        <w:spacing w:after="0" w:line="167" w:lineRule="exact"/>
        <w:rPr>
          <w:rFonts w:ascii="Times New Roman" w:cs="Times New Roman" w:eastAsia="Times New Roman" w:hAnsi="Times New Roman"/>
          <w:sz w:val="14"/>
          <w:szCs w:val="14"/>
          <w:b w:val="1"/>
          <w:bCs w:val="1"/>
          <w:color w:val="auto"/>
        </w:rPr>
      </w:pPr>
    </w:p>
    <w:p>
      <w:pPr>
        <w:ind w:left="2460" w:hanging="201"/>
        <w:spacing w:after="0"/>
        <w:tabs>
          <w:tab w:leader="none" w:pos="2460" w:val="left"/>
        </w:tabs>
        <w:numPr>
          <w:ilvl w:val="1"/>
          <w:numId w:val="2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whether the Securities rank as senior debt, senior subordinated debt, subordinated debt or any combination thereof, and the terms of any subordination;</w:t>
      </w:r>
    </w:p>
    <w:p>
      <w:pPr>
        <w:spacing w:after="0" w:line="167" w:lineRule="exact"/>
        <w:rPr>
          <w:rFonts w:ascii="Times New Roman" w:cs="Times New Roman" w:eastAsia="Times New Roman" w:hAnsi="Times New Roman"/>
          <w:sz w:val="14"/>
          <w:szCs w:val="14"/>
          <w:b w:val="1"/>
          <w:bCs w:val="1"/>
          <w:color w:val="auto"/>
        </w:rPr>
      </w:pPr>
    </w:p>
    <w:p>
      <w:pPr>
        <w:jc w:val="both"/>
        <w:ind w:firstLine="2259"/>
        <w:spacing w:after="0" w:line="255" w:lineRule="auto"/>
        <w:tabs>
          <w:tab w:leader="none" w:pos="2466" w:val="left"/>
        </w:tabs>
        <w:numPr>
          <w:ilvl w:val="1"/>
          <w:numId w:val="2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if the price (expressed as a percentage of the aggregate principal amount thereof) at which such Securities will be issued is a price other than the principal amount thereof, the portion of the principal amount thereof payable upon declaration of acceleration of the maturity thereof, or if applicable, the portion of the principal amount of such Securities that is convertible into another security or the method by which any such portion shall be determined;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659765</wp:posOffset>
            </wp:positionV>
            <wp:extent cx="719074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108" w:right="319" w:bottom="1440" w:gutter="0" w:footer="0" w:header="0"/>
        </w:sectPr>
      </w:pPr>
    </w:p>
    <w:bookmarkStart w:id="36" w:name="page37"/>
    <w:bookmarkEnd w:id="36"/>
    <w:p>
      <w:pPr>
        <w:ind w:firstLine="2259"/>
        <w:spacing w:after="0" w:line="266" w:lineRule="auto"/>
        <w:tabs>
          <w:tab w:leader="none" w:pos="2455" w:val="left"/>
        </w:tabs>
        <w:numPr>
          <w:ilvl w:val="0"/>
          <w:numId w:val="3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interest rate or rates,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135" w:lineRule="exact"/>
        <w:rPr>
          <w:rFonts w:ascii="Times New Roman" w:cs="Times New Roman" w:eastAsia="Times New Roman" w:hAnsi="Times New Roman"/>
          <w:sz w:val="14"/>
          <w:szCs w:val="14"/>
          <w:b w:val="1"/>
          <w:bCs w:val="1"/>
          <w:color w:val="auto"/>
        </w:rPr>
      </w:pPr>
    </w:p>
    <w:p>
      <w:pPr>
        <w:ind w:left="2520" w:hanging="261"/>
        <w:spacing w:after="0"/>
        <w:tabs>
          <w:tab w:leader="none" w:pos="2520" w:val="left"/>
        </w:tabs>
        <w:numPr>
          <w:ilvl w:val="0"/>
          <w:numId w:val="3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Company’s right, if any, to defer the payment of interest and the maximum length of any such deferral period;</w:t>
      </w:r>
    </w:p>
    <w:p>
      <w:pPr>
        <w:spacing w:after="0" w:line="167" w:lineRule="exact"/>
        <w:rPr>
          <w:rFonts w:ascii="Times New Roman" w:cs="Times New Roman" w:eastAsia="Times New Roman" w:hAnsi="Times New Roman"/>
          <w:sz w:val="14"/>
          <w:szCs w:val="14"/>
          <w:b w:val="1"/>
          <w:bCs w:val="1"/>
          <w:color w:val="auto"/>
        </w:rPr>
      </w:pPr>
    </w:p>
    <w:p>
      <w:pPr>
        <w:ind w:firstLine="2259"/>
        <w:spacing w:after="0" w:line="266" w:lineRule="auto"/>
        <w:tabs>
          <w:tab w:leader="none" w:pos="2519" w:val="left"/>
        </w:tabs>
        <w:numPr>
          <w:ilvl w:val="0"/>
          <w:numId w:val="3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if applicable, the date or dates after which, or the period or periods during which, and the price or prices at which, the Company may at its option, redeem the series of Securities pursuant to any optional or provisional redemption provisions and the terms of those redemption provisions;</w:t>
      </w:r>
    </w:p>
    <w:p>
      <w:pPr>
        <w:spacing w:after="0" w:line="135" w:lineRule="exact"/>
        <w:rPr>
          <w:rFonts w:ascii="Times New Roman" w:cs="Times New Roman" w:eastAsia="Times New Roman" w:hAnsi="Times New Roman"/>
          <w:sz w:val="14"/>
          <w:szCs w:val="14"/>
          <w:b w:val="1"/>
          <w:bCs w:val="1"/>
          <w:color w:val="auto"/>
        </w:rPr>
      </w:pPr>
    </w:p>
    <w:p>
      <w:pPr>
        <w:ind w:firstLine="2259"/>
        <w:spacing w:after="0" w:line="266" w:lineRule="auto"/>
        <w:tabs>
          <w:tab w:leader="none" w:pos="2529" w:val="left"/>
        </w:tabs>
        <w:numPr>
          <w:ilvl w:val="0"/>
          <w:numId w:val="3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date or dates, if any, on which, and the price or prices at which the Company is obligated, pursuant to any mandatory sinking fund or analogous fund provisions or otherwise, to redeem, or at the Securityholder’s option to purchase, the series of Securities and the currency or currency unit in which the Securities are payable;</w:t>
      </w:r>
    </w:p>
    <w:p>
      <w:pPr>
        <w:spacing w:after="0" w:line="135" w:lineRule="exact"/>
        <w:rPr>
          <w:rFonts w:ascii="Times New Roman" w:cs="Times New Roman" w:eastAsia="Times New Roman" w:hAnsi="Times New Roman"/>
          <w:sz w:val="14"/>
          <w:szCs w:val="14"/>
          <w:b w:val="1"/>
          <w:bCs w:val="1"/>
          <w:color w:val="auto"/>
        </w:rPr>
      </w:pPr>
    </w:p>
    <w:p>
      <w:pPr>
        <w:ind w:left="2540" w:hanging="281"/>
        <w:spacing w:after="0"/>
        <w:tabs>
          <w:tab w:leader="none" w:pos="2540" w:val="left"/>
        </w:tabs>
        <w:numPr>
          <w:ilvl w:val="0"/>
          <w:numId w:val="3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denominations in which the Securities of the series shall be issuable, if other than denominations of one thousand U.S. dollars ($1,000) or any integral</w:t>
      </w:r>
    </w:p>
    <w:p>
      <w:pPr>
        <w:spacing w:after="0" w:line="14" w:lineRule="exact"/>
        <w:rPr>
          <w:rFonts w:ascii="Times New Roman" w:cs="Times New Roman" w:eastAsia="Times New Roman" w:hAnsi="Times New Roman"/>
          <w:sz w:val="14"/>
          <w:szCs w:val="14"/>
          <w:b w:val="1"/>
          <w:bCs w:val="1"/>
          <w:color w:val="auto"/>
        </w:rPr>
      </w:pPr>
    </w:p>
    <w:p>
      <w:pPr>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multiple thereof;</w:t>
      </w:r>
    </w:p>
    <w:p>
      <w:pPr>
        <w:spacing w:after="0" w:line="155" w:lineRule="exact"/>
        <w:rPr>
          <w:rFonts w:ascii="Times New Roman" w:cs="Times New Roman" w:eastAsia="Times New Roman" w:hAnsi="Times New Roman"/>
          <w:sz w:val="14"/>
          <w:szCs w:val="14"/>
          <w:b w:val="1"/>
          <w:bCs w:val="1"/>
          <w:color w:val="auto"/>
        </w:rPr>
      </w:pPr>
    </w:p>
    <w:p>
      <w:pPr>
        <w:ind w:firstLine="2259"/>
        <w:spacing w:after="0" w:line="266" w:lineRule="auto"/>
        <w:tabs>
          <w:tab w:leader="none" w:pos="2519" w:val="left"/>
        </w:tabs>
        <w:numPr>
          <w:ilvl w:val="0"/>
          <w:numId w:val="3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any and all terms, if applicable, relating to any auction or remarketing of the Securities of that series and any security for the obligations of the Company with respect to such Securities and any other terms which may be advisable in connection with the marketing of Securities of that series;</w:t>
      </w:r>
    </w:p>
    <w:p>
      <w:pPr>
        <w:spacing w:after="0" w:line="135" w:lineRule="exact"/>
        <w:rPr>
          <w:rFonts w:ascii="Times New Roman" w:cs="Times New Roman" w:eastAsia="Times New Roman" w:hAnsi="Times New Roman"/>
          <w:sz w:val="14"/>
          <w:szCs w:val="14"/>
          <w:b w:val="1"/>
          <w:bCs w:val="1"/>
          <w:color w:val="auto"/>
        </w:rPr>
      </w:pPr>
    </w:p>
    <w:p>
      <w:pPr>
        <w:ind w:firstLine="2259"/>
        <w:spacing w:after="0" w:line="266" w:lineRule="auto"/>
        <w:tabs>
          <w:tab w:leader="none" w:pos="2529" w:val="left"/>
        </w:tabs>
        <w:numPr>
          <w:ilvl w:val="0"/>
          <w:numId w:val="3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whether the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w:t>
      </w:r>
    </w:p>
    <w:p>
      <w:pPr>
        <w:spacing w:after="0" w:line="135" w:lineRule="exact"/>
        <w:rPr>
          <w:rFonts w:ascii="Times New Roman" w:cs="Times New Roman" w:eastAsia="Times New Roman" w:hAnsi="Times New Roman"/>
          <w:sz w:val="14"/>
          <w:szCs w:val="14"/>
          <w:b w:val="1"/>
          <w:bCs w:val="1"/>
          <w:color w:val="auto"/>
        </w:rPr>
      </w:pPr>
    </w:p>
    <w:p>
      <w:pPr>
        <w:jc w:val="both"/>
        <w:ind w:firstLine="2259"/>
        <w:spacing w:after="0" w:line="252" w:lineRule="auto"/>
        <w:tabs>
          <w:tab w:leader="none" w:pos="2519" w:val="left"/>
        </w:tabs>
        <w:numPr>
          <w:ilvl w:val="0"/>
          <w:numId w:val="3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if applicable, the provisions relating to conversion or exchange of any Securities of the series and the terms and conditions upon which such Securities will be so convertible or exchangeable, including the conversion or exchange price, as applicable, or how it will be calculated and may be adjusted, any mandatory or optional (at the Company’s option or the holders’ option) conversion or exchange features, the applicable conversion or exchange period and the manner of settlement for any conversion or exchange, which may, without limitation, include the payment of cash as well as the delivery of securities;</w:t>
      </w:r>
    </w:p>
    <w:p>
      <w:pPr>
        <w:spacing w:after="0" w:line="144" w:lineRule="exact"/>
        <w:rPr>
          <w:rFonts w:ascii="Times New Roman" w:cs="Times New Roman" w:eastAsia="Times New Roman" w:hAnsi="Times New Roman"/>
          <w:sz w:val="14"/>
          <w:szCs w:val="14"/>
          <w:b w:val="1"/>
          <w:bCs w:val="1"/>
          <w:color w:val="auto"/>
        </w:rPr>
      </w:pPr>
    </w:p>
    <w:p>
      <w:pPr>
        <w:ind w:firstLine="2259"/>
        <w:spacing w:after="0" w:line="266" w:lineRule="auto"/>
        <w:tabs>
          <w:tab w:leader="none" w:pos="2529" w:val="left"/>
        </w:tabs>
        <w:numPr>
          <w:ilvl w:val="0"/>
          <w:numId w:val="3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if other than the full principal amount thereof, the portion of the principal amount of Securities of the series which shall be payable upon declaration of acceleration of the maturity thereof pursuant to Section 6.01;</w:t>
      </w:r>
    </w:p>
    <w:p>
      <w:pPr>
        <w:spacing w:after="0" w:line="135" w:lineRule="exact"/>
        <w:rPr>
          <w:rFonts w:ascii="Times New Roman" w:cs="Times New Roman" w:eastAsia="Times New Roman" w:hAnsi="Times New Roman"/>
          <w:sz w:val="14"/>
          <w:szCs w:val="14"/>
          <w:b w:val="1"/>
          <w:bCs w:val="1"/>
          <w:color w:val="auto"/>
        </w:rPr>
      </w:pPr>
    </w:p>
    <w:p>
      <w:pPr>
        <w:ind w:left="2520" w:hanging="261"/>
        <w:spacing w:after="0"/>
        <w:tabs>
          <w:tab w:leader="none" w:pos="2520" w:val="left"/>
        </w:tabs>
        <w:numPr>
          <w:ilvl w:val="0"/>
          <w:numId w:val="3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additions to or changes in the covenants applicable to the series of Securities being issued, including, among others, the consolidation, merger or sale covenant;</w:t>
      </w:r>
    </w:p>
    <w:p>
      <w:pPr>
        <w:spacing w:after="0" w:line="178" w:lineRule="exact"/>
        <w:rPr>
          <w:rFonts w:ascii="Times New Roman" w:cs="Times New Roman" w:eastAsia="Times New Roman" w:hAnsi="Times New Roman"/>
          <w:sz w:val="13"/>
          <w:szCs w:val="13"/>
          <w:b w:val="1"/>
          <w:bCs w:val="1"/>
          <w:color w:val="auto"/>
        </w:rPr>
      </w:pPr>
    </w:p>
    <w:p>
      <w:pPr>
        <w:ind w:firstLine="2259"/>
        <w:spacing w:after="0" w:line="266" w:lineRule="auto"/>
        <w:tabs>
          <w:tab w:leader="none" w:pos="2519" w:val="left"/>
        </w:tabs>
        <w:numPr>
          <w:ilvl w:val="0"/>
          <w:numId w:val="3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additions to or changes in the Events of Default with respect to the Securities and any change in the right of the Trustee or the Securityholders to declare the principal, premium, if any, and interest, if any, with respect to such Securities to be due and payable;</w:t>
      </w:r>
    </w:p>
    <w:p>
      <w:pPr>
        <w:spacing w:after="0" w:line="135" w:lineRule="exact"/>
        <w:rPr>
          <w:rFonts w:ascii="Times New Roman" w:cs="Times New Roman" w:eastAsia="Times New Roman" w:hAnsi="Times New Roman"/>
          <w:sz w:val="14"/>
          <w:szCs w:val="14"/>
          <w:b w:val="1"/>
          <w:bCs w:val="1"/>
          <w:color w:val="auto"/>
        </w:rPr>
      </w:pPr>
    </w:p>
    <w:p>
      <w:pPr>
        <w:ind w:left="2520" w:hanging="261"/>
        <w:spacing w:after="0"/>
        <w:tabs>
          <w:tab w:leader="none" w:pos="2520" w:val="left"/>
        </w:tabs>
        <w:numPr>
          <w:ilvl w:val="0"/>
          <w:numId w:val="3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additions to or changes in or deletions of the provisions relating to covenant defeasance and legal defeasance;</w:t>
      </w:r>
    </w:p>
    <w:p>
      <w:pPr>
        <w:spacing w:after="0" w:line="167" w:lineRule="exact"/>
        <w:rPr>
          <w:rFonts w:ascii="Times New Roman" w:cs="Times New Roman" w:eastAsia="Times New Roman" w:hAnsi="Times New Roman"/>
          <w:sz w:val="14"/>
          <w:szCs w:val="14"/>
          <w:b w:val="1"/>
          <w:bCs w:val="1"/>
          <w:color w:val="auto"/>
        </w:rPr>
      </w:pPr>
    </w:p>
    <w:p>
      <w:pPr>
        <w:ind w:left="2520" w:hanging="261"/>
        <w:spacing w:after="0"/>
        <w:tabs>
          <w:tab w:leader="none" w:pos="2520" w:val="left"/>
        </w:tabs>
        <w:numPr>
          <w:ilvl w:val="0"/>
          <w:numId w:val="3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additions to or changes in the provisions relating to satisfaction and discharge of this Indenture;</w:t>
      </w:r>
    </w:p>
    <w:p>
      <w:pPr>
        <w:spacing w:after="0" w:line="167" w:lineRule="exact"/>
        <w:rPr>
          <w:rFonts w:ascii="Times New Roman" w:cs="Times New Roman" w:eastAsia="Times New Roman" w:hAnsi="Times New Roman"/>
          <w:sz w:val="14"/>
          <w:szCs w:val="14"/>
          <w:b w:val="1"/>
          <w:bCs w:val="1"/>
          <w:color w:val="auto"/>
        </w:rPr>
      </w:pPr>
    </w:p>
    <w:p>
      <w:pPr>
        <w:ind w:left="2520" w:hanging="261"/>
        <w:spacing w:after="0"/>
        <w:tabs>
          <w:tab w:leader="none" w:pos="2520" w:val="left"/>
        </w:tabs>
        <w:numPr>
          <w:ilvl w:val="0"/>
          <w:numId w:val="3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additions to or changes in the provisions relating to the modification of this Indenture both with and without the consent of Securityholders of Securities issued</w:t>
      </w:r>
    </w:p>
    <w:p>
      <w:pPr>
        <w:spacing w:after="0" w:line="26" w:lineRule="exact"/>
        <w:rPr>
          <w:rFonts w:ascii="Times New Roman" w:cs="Times New Roman" w:eastAsia="Times New Roman" w:hAnsi="Times New Roman"/>
          <w:sz w:val="13"/>
          <w:szCs w:val="13"/>
          <w:b w:val="1"/>
          <w:bCs w:val="1"/>
          <w:color w:val="auto"/>
        </w:rPr>
      </w:pPr>
    </w:p>
    <w:p>
      <w:pPr>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4"/>
          <w:szCs w:val="14"/>
          <w:color w:val="auto"/>
        </w:rPr>
        <w:t>under this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771525</wp:posOffset>
            </wp:positionV>
            <wp:extent cx="719074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276" w:right="319" w:bottom="1440" w:gutter="0" w:footer="0" w:header="0"/>
        </w:sectPr>
      </w:pPr>
    </w:p>
    <w:bookmarkStart w:id="37" w:name="page38"/>
    <w:bookmarkEnd w:id="37"/>
    <w:p>
      <w:pPr>
        <w:ind w:left="2520" w:hanging="261"/>
        <w:spacing w:after="0"/>
        <w:tabs>
          <w:tab w:leader="none" w:pos="2520" w:val="left"/>
        </w:tabs>
        <w:numPr>
          <w:ilvl w:val="0"/>
          <w:numId w:val="3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currency of payment of Securities if other than U.S. dollars and the manner of determining the equivalent amount in U.S. dollars;</w:t>
      </w:r>
    </w:p>
    <w:p>
      <w:pPr>
        <w:spacing w:after="0" w:line="167" w:lineRule="exact"/>
        <w:rPr>
          <w:rFonts w:ascii="Times New Roman" w:cs="Times New Roman" w:eastAsia="Times New Roman" w:hAnsi="Times New Roman"/>
          <w:sz w:val="14"/>
          <w:szCs w:val="14"/>
          <w:b w:val="1"/>
          <w:bCs w:val="1"/>
          <w:color w:val="auto"/>
        </w:rPr>
      </w:pPr>
    </w:p>
    <w:p>
      <w:pPr>
        <w:ind w:left="2520" w:hanging="261"/>
        <w:spacing w:after="0"/>
        <w:tabs>
          <w:tab w:leader="none" w:pos="2520" w:val="left"/>
        </w:tabs>
        <w:numPr>
          <w:ilvl w:val="0"/>
          <w:numId w:val="3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whether interest will be payable in cash or additional Securities at the Company’s or the Securityholders’ option and the terms and conditions upon which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election may be made;</w:t>
      </w:r>
    </w:p>
    <w:p>
      <w:pPr>
        <w:spacing w:after="0" w:line="156" w:lineRule="exact"/>
        <w:rPr>
          <w:sz w:val="20"/>
          <w:szCs w:val="20"/>
          <w:color w:val="auto"/>
        </w:rPr>
      </w:pPr>
    </w:p>
    <w:p>
      <w:pPr>
        <w:ind w:firstLine="2259"/>
        <w:spacing w:after="0" w:line="266" w:lineRule="auto"/>
        <w:tabs>
          <w:tab w:leader="none" w:pos="2519" w:val="left"/>
        </w:tabs>
        <w:numPr>
          <w:ilvl w:val="0"/>
          <w:numId w:val="3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terms and conditions, if any, upon which the Company shall pay amounts in addition to the stated interest, premium, if any and principal amounts of the Securities of the series to any Securityholder that is not a “United States person” for federal tax purposes;</w:t>
      </w:r>
    </w:p>
    <w:p>
      <w:pPr>
        <w:spacing w:after="0" w:line="135" w:lineRule="exact"/>
        <w:rPr>
          <w:rFonts w:ascii="Times New Roman" w:cs="Times New Roman" w:eastAsia="Times New Roman" w:hAnsi="Times New Roman"/>
          <w:sz w:val="14"/>
          <w:szCs w:val="14"/>
          <w:b w:val="1"/>
          <w:bCs w:val="1"/>
          <w:color w:val="auto"/>
        </w:rPr>
      </w:pPr>
    </w:p>
    <w:p>
      <w:pPr>
        <w:ind w:left="2520" w:hanging="261"/>
        <w:spacing w:after="0"/>
        <w:tabs>
          <w:tab w:leader="none" w:pos="2520" w:val="left"/>
        </w:tabs>
        <w:numPr>
          <w:ilvl w:val="0"/>
          <w:numId w:val="3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any restrictions on transfer, sale or assignment of the Securities of the series; and</w:t>
      </w:r>
    </w:p>
    <w:p>
      <w:pPr>
        <w:spacing w:after="0" w:line="167" w:lineRule="exact"/>
        <w:rPr>
          <w:rFonts w:ascii="Times New Roman" w:cs="Times New Roman" w:eastAsia="Times New Roman" w:hAnsi="Times New Roman"/>
          <w:sz w:val="14"/>
          <w:szCs w:val="14"/>
          <w:b w:val="1"/>
          <w:bCs w:val="1"/>
          <w:color w:val="auto"/>
        </w:rPr>
      </w:pPr>
    </w:p>
    <w:p>
      <w:pPr>
        <w:ind w:firstLine="2259"/>
        <w:spacing w:after="0" w:line="266" w:lineRule="auto"/>
        <w:tabs>
          <w:tab w:leader="none" w:pos="2519" w:val="left"/>
        </w:tabs>
        <w:numPr>
          <w:ilvl w:val="0"/>
          <w:numId w:val="3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any other specific terms, preferences, rights or limitations of, or restrictions on, the Securities, any other additions or changes in the provisions of this Indenture, and any terms that may be required by us or advisable under applicable laws or regulations.</w:t>
      </w:r>
    </w:p>
    <w:p>
      <w:pPr>
        <w:spacing w:after="0" w:line="13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All Securities of any one series shall be substantially identical except as may otherwise be provided in or pursuant to any such Board Resolution or in any indentures supplemental hereto.</w:t>
      </w:r>
    </w:p>
    <w:p>
      <w:pPr>
        <w:spacing w:after="0" w:line="167" w:lineRule="exact"/>
        <w:rPr>
          <w:sz w:val="20"/>
          <w:szCs w:val="20"/>
          <w:color w:val="auto"/>
        </w:rPr>
      </w:pPr>
    </w:p>
    <w:p>
      <w:pPr>
        <w:jc w:val="both"/>
        <w:ind w:firstLine="752"/>
        <w:spacing w:after="0" w:line="266" w:lineRule="auto"/>
        <w:rPr>
          <w:sz w:val="20"/>
          <w:szCs w:val="20"/>
          <w:color w:val="auto"/>
        </w:rPr>
      </w:pPr>
      <w:r>
        <w:rPr>
          <w:rFonts w:ascii="Times New Roman" w:cs="Times New Roman" w:eastAsia="Times New Roman" w:hAnsi="Times New Roman"/>
          <w:sz w:val="14"/>
          <w:szCs w:val="14"/>
          <w:color w:val="auto"/>
        </w:rPr>
        <w:t>If any of the terms of the series are established by action taken pursuant to a Board Resolution of the Company, a copy of an appropriate record of such action shall be certified by the secretary or an assistant secretary of the Company and delivered to the Trustee at or prior to the delivery of the Officer’s Certificate of the Company setting forth the terms of the series.</w:t>
      </w:r>
    </w:p>
    <w:p>
      <w:pPr>
        <w:spacing w:after="0" w:line="136" w:lineRule="exact"/>
        <w:rPr>
          <w:sz w:val="20"/>
          <w:szCs w:val="20"/>
          <w:color w:val="auto"/>
        </w:rPr>
      </w:pPr>
    </w:p>
    <w:p>
      <w:pPr>
        <w:jc w:val="both"/>
        <w:ind w:firstLine="752"/>
        <w:spacing w:after="0" w:line="266" w:lineRule="auto"/>
        <w:rPr>
          <w:sz w:val="20"/>
          <w:szCs w:val="20"/>
          <w:color w:val="auto"/>
        </w:rPr>
      </w:pPr>
      <w:r>
        <w:rPr>
          <w:rFonts w:ascii="Times New Roman" w:cs="Times New Roman" w:eastAsia="Times New Roman" w:hAnsi="Times New Roman"/>
          <w:sz w:val="14"/>
          <w:szCs w:val="14"/>
          <w:color w:val="auto"/>
        </w:rPr>
        <w:t>Securities of any particular series may be issued at various times, with different dates on which the principal or any installment of principal is payable, with different rates of interest, if any, or different methods by which rates of interest may be determined, with different dates on which such interest may be payable and with different redemption dates.</w:t>
      </w:r>
    </w:p>
    <w:p>
      <w:pPr>
        <w:spacing w:after="0" w:line="13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Section 2.02 Form of Securities and Trustee’s Certificate</w:t>
      </w:r>
      <w:r>
        <w:rPr>
          <w:rFonts w:ascii="Times New Roman" w:cs="Times New Roman" w:eastAsia="Times New Roman" w:hAnsi="Times New Roman"/>
          <w:sz w:val="14"/>
          <w:szCs w:val="14"/>
          <w:color w:val="auto"/>
        </w:rPr>
        <w:t>.</w:t>
      </w:r>
    </w:p>
    <w:p>
      <w:pPr>
        <w:spacing w:after="0" w:line="171" w:lineRule="exact"/>
        <w:rPr>
          <w:sz w:val="20"/>
          <w:szCs w:val="20"/>
          <w:color w:val="auto"/>
        </w:rPr>
      </w:pPr>
    </w:p>
    <w:p>
      <w:pPr>
        <w:jc w:val="both"/>
        <w:ind w:firstLine="752"/>
        <w:spacing w:after="0" w:line="277" w:lineRule="auto"/>
        <w:rPr>
          <w:sz w:val="20"/>
          <w:szCs w:val="20"/>
          <w:color w:val="auto"/>
        </w:rPr>
      </w:pPr>
      <w:r>
        <w:rPr>
          <w:rFonts w:ascii="Times New Roman" w:cs="Times New Roman" w:eastAsia="Times New Roman" w:hAnsi="Times New Roman"/>
          <w:sz w:val="13"/>
          <w:szCs w:val="13"/>
          <w:color w:val="auto"/>
        </w:rPr>
        <w:t>The Securities of any series and the Trustee’s certificate of authentication to be borne by such Securities shall be substantially of the tenor and purport as set forth in one or more indentures supplemental hereto or as provided in a Board Resolution, and set forth in an Officer’s Certificate, and they may have such letters, numbers or other marks of identification or designation and such legends or endorsements printed, lithographed or engraved thereon as the Company may deem appropriate and as are not inconsistent with the provisions of this Indenture, or as may be required to comply with any law or with any rule or regulation made pursuant thereto or with any rule or regulation of any securities exchange on which Securities of that series may be listed, or to conform to usage.</w:t>
      </w:r>
    </w:p>
    <w:p>
      <w:pPr>
        <w:spacing w:after="0" w:line="1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Section 2.03 Denominations: Provisions for Payment</w:t>
      </w:r>
      <w:r>
        <w:rPr>
          <w:rFonts w:ascii="Times New Roman" w:cs="Times New Roman" w:eastAsia="Times New Roman" w:hAnsi="Times New Roman"/>
          <w:sz w:val="14"/>
          <w:szCs w:val="14"/>
          <w:color w:val="auto"/>
        </w:rPr>
        <w:t>.</w:t>
      </w:r>
    </w:p>
    <w:p>
      <w:pPr>
        <w:spacing w:after="0" w:line="171" w:lineRule="exact"/>
        <w:rPr>
          <w:sz w:val="20"/>
          <w:szCs w:val="20"/>
          <w:color w:val="auto"/>
        </w:rPr>
      </w:pPr>
    </w:p>
    <w:p>
      <w:pPr>
        <w:jc w:val="both"/>
        <w:ind w:firstLine="752"/>
        <w:spacing w:after="0" w:line="250" w:lineRule="auto"/>
        <w:rPr>
          <w:sz w:val="20"/>
          <w:szCs w:val="20"/>
          <w:color w:val="auto"/>
        </w:rPr>
      </w:pPr>
      <w:r>
        <w:rPr>
          <w:rFonts w:ascii="Times New Roman" w:cs="Times New Roman" w:eastAsia="Times New Roman" w:hAnsi="Times New Roman"/>
          <w:sz w:val="14"/>
          <w:szCs w:val="14"/>
          <w:color w:val="auto"/>
        </w:rPr>
        <w:t>The Securities shall be issuable as registered Securities and in the denominations of one thousand U.S. dollars ($1,000) or any integral multiple thereof, subject to Section 2.01(a)(13). The Securities of a particular series shall bear interest payable on the dates and at the rate specified with respect to that series. Subject to Section 2.01(a)(23), the principal of and the interest on the Securities of any series, as well as any premium thereon in case of redemption or repurchase thereof prior to maturity, and any cash amount due upon conversion or exchange thereof, shall be payable in the coin or currency of the United States of America that at the time is legal tender for public and private debt, at the office or agency of the Company maintained for that purpose. Each Security shall be dated the date of its authentication. Interest on the Securities shall be computed on the basis of a 360-day year composed of twelve 30-day months.</w:t>
      </w:r>
    </w:p>
    <w:p>
      <w:pPr>
        <w:spacing w:after="0" w:line="146" w:lineRule="exact"/>
        <w:rPr>
          <w:sz w:val="20"/>
          <w:szCs w:val="20"/>
          <w:color w:val="auto"/>
        </w:rPr>
      </w:pPr>
    </w:p>
    <w:p>
      <w:pPr>
        <w:jc w:val="both"/>
        <w:ind w:firstLine="752"/>
        <w:spacing w:after="0" w:line="255" w:lineRule="auto"/>
        <w:rPr>
          <w:sz w:val="20"/>
          <w:szCs w:val="20"/>
          <w:color w:val="auto"/>
        </w:rPr>
      </w:pPr>
      <w:r>
        <w:rPr>
          <w:rFonts w:ascii="Times New Roman" w:cs="Times New Roman" w:eastAsia="Times New Roman" w:hAnsi="Times New Roman"/>
          <w:sz w:val="14"/>
          <w:szCs w:val="14"/>
          <w:color w:val="auto"/>
        </w:rPr>
        <w:t>The interest installment on any Security that is payable, and is punctually paid or duly provided for, on any Interest Payment Date for Securities of that series shall be paid to the Person in whose name said Security (or one or more Predecessor Securities) is registered at the close of business on the regular record date for such interest installment. In the event that any Security of a particular series or portion thereof is called for redemption and the redemption date is subsequent to a regular record date with respect to any Interest Payment Date and prior to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659765</wp:posOffset>
            </wp:positionV>
            <wp:extent cx="719074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111"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color w:val="auto"/>
        </w:rPr>
        <w:t>Interest Payment Date, interest on such Security will be paid upon presentation and surrender of such Security as provided in Section 3.03.</w:t>
      </w:r>
    </w:p>
    <w:p>
      <w:pPr>
        <w:spacing w:after="0" w:line="167" w:lineRule="exact"/>
        <w:rPr>
          <w:sz w:val="20"/>
          <w:szCs w:val="20"/>
          <w:color w:val="auto"/>
        </w:rPr>
      </w:pPr>
    </w:p>
    <w:p>
      <w:pPr>
        <w:jc w:val="both"/>
        <w:ind w:firstLine="752"/>
        <w:spacing w:after="0" w:line="255" w:lineRule="auto"/>
        <w:rPr>
          <w:sz w:val="20"/>
          <w:szCs w:val="20"/>
          <w:color w:val="auto"/>
        </w:rPr>
      </w:pPr>
      <w:r>
        <w:rPr>
          <w:rFonts w:ascii="Times New Roman" w:cs="Times New Roman" w:eastAsia="Times New Roman" w:hAnsi="Times New Roman"/>
          <w:sz w:val="14"/>
          <w:szCs w:val="14"/>
          <w:color w:val="auto"/>
        </w:rPr>
        <w:t>Any interest on any Security that is payable, but is not punctually paid or duly provided for, on any Interest Payment Date for Securities of the same series (herein called “Defaulted Interest”) shall forthwith cease to be payable to the registered holder on the relevant regular record date by virtue of having been such holder; and such Defaulted Interest shall be paid by the Company, at its election, as provided in clause (1) or clause (2) below:</w:t>
      </w:r>
    </w:p>
    <w:p>
      <w:pPr>
        <w:spacing w:after="0" w:line="143" w:lineRule="exact"/>
        <w:rPr>
          <w:sz w:val="20"/>
          <w:szCs w:val="20"/>
          <w:color w:val="auto"/>
        </w:rPr>
      </w:pPr>
    </w:p>
    <w:p>
      <w:pPr>
        <w:jc w:val="both"/>
        <w:ind w:firstLine="2259"/>
        <w:spacing w:after="0" w:line="247" w:lineRule="auto"/>
        <w:tabs>
          <w:tab w:leader="none" w:pos="2471" w:val="left"/>
        </w:tabs>
        <w:numPr>
          <w:ilvl w:val="0"/>
          <w:numId w:val="3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Company may make payment of any Defaulted Interest on Securities to the Persons in whose names such Securities (or their respective Predecessor Securities) are registered in the Security Register at the close of business on a special record date for the payment of such Defaulted Interest, which shall be fixed in the following manner: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not be more than 15 nor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sent, to each Securityholder not less than 10 days prior to such special record date. Notice of the proposed payment of such Defaulted Interest and the special record date therefor having been sent as aforesaid, such Defaulted Interest shall be paid to the Persons in whose names such Securities (or their respective Predecessor Securities) are registered in the Security Register on such special record date.</w:t>
      </w:r>
    </w:p>
    <w:p>
      <w:pPr>
        <w:spacing w:after="0" w:line="148" w:lineRule="exact"/>
        <w:rPr>
          <w:rFonts w:ascii="Times New Roman" w:cs="Times New Roman" w:eastAsia="Times New Roman" w:hAnsi="Times New Roman"/>
          <w:sz w:val="14"/>
          <w:szCs w:val="14"/>
          <w:b w:val="1"/>
          <w:bCs w:val="1"/>
          <w:color w:val="auto"/>
        </w:rPr>
      </w:pPr>
    </w:p>
    <w:p>
      <w:pPr>
        <w:jc w:val="both"/>
        <w:ind w:firstLine="2259"/>
        <w:spacing w:after="0" w:line="255" w:lineRule="auto"/>
        <w:tabs>
          <w:tab w:leader="none" w:pos="2450" w:val="left"/>
        </w:tabs>
        <w:numPr>
          <w:ilvl w:val="0"/>
          <w:numId w:val="3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Company may make payment of any Defaulted Interest on any Securities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143" w:lineRule="exact"/>
        <w:rPr>
          <w:sz w:val="20"/>
          <w:szCs w:val="20"/>
          <w:color w:val="auto"/>
        </w:rPr>
      </w:pPr>
    </w:p>
    <w:p>
      <w:pPr>
        <w:jc w:val="both"/>
        <w:ind w:firstLine="752"/>
        <w:spacing w:after="0" w:line="250" w:lineRule="auto"/>
        <w:rPr>
          <w:sz w:val="20"/>
          <w:szCs w:val="20"/>
          <w:color w:val="auto"/>
        </w:rPr>
      </w:pPr>
      <w:r>
        <w:rPr>
          <w:rFonts w:ascii="Times New Roman" w:cs="Times New Roman" w:eastAsia="Times New Roman" w:hAnsi="Times New Roman"/>
          <w:sz w:val="14"/>
          <w:szCs w:val="14"/>
          <w:color w:val="auto"/>
        </w:rPr>
        <w:t>Unless otherwise set forth in a Board Resolution or one or more indentures supplemental hereto establishing the terms of any series of Securities pursuant to Section 2.01 hereof, the term “regular record date” as used in this Section with respect to a series of Securities and any Interest Payment Date for such series shall mean either the fifteenth day of the month immediately preceding the month in which an Interest Payment Date established for such series pursuant to Section 2.01 hereof shall occur, if such Interest Payment Date is the first day of a month, or the first day of the month in which an Interest Payment Date established for such series pursuant to Section 2.01 hereof shall occur, if such Interest Payment Date is the fifteenth day of a month, whether or not such date is a Business Day.</w:t>
      </w:r>
    </w:p>
    <w:p>
      <w:pPr>
        <w:spacing w:after="0" w:line="146" w:lineRule="exact"/>
        <w:rPr>
          <w:sz w:val="20"/>
          <w:szCs w:val="20"/>
          <w:color w:val="auto"/>
        </w:rPr>
      </w:pPr>
    </w:p>
    <w:p>
      <w:pPr>
        <w:jc w:val="both"/>
        <w:ind w:firstLine="752"/>
        <w:spacing w:after="0" w:line="266" w:lineRule="auto"/>
        <w:rPr>
          <w:sz w:val="20"/>
          <w:szCs w:val="20"/>
          <w:color w:val="auto"/>
        </w:rPr>
      </w:pPr>
      <w:r>
        <w:rPr>
          <w:rFonts w:ascii="Times New Roman" w:cs="Times New Roman" w:eastAsia="Times New Roman" w:hAnsi="Times New Roman"/>
          <w:sz w:val="14"/>
          <w:szCs w:val="14"/>
          <w:color w:val="auto"/>
        </w:rPr>
        <w:t>Subject to the foregoing provisions of this Section, each Security of a series delivered under this Indenture upon transfer of or in exchange for or in lieu of any other Security of such series shall carry the rights to interest accrued and unpaid, and to accrue, that were carried by such other Security.</w:t>
      </w:r>
    </w:p>
    <w:p>
      <w:pPr>
        <w:spacing w:after="0" w:line="13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Section 2.04 Execution and Authentications</w:t>
      </w:r>
      <w:r>
        <w:rPr>
          <w:rFonts w:ascii="Times New Roman" w:cs="Times New Roman" w:eastAsia="Times New Roman" w:hAnsi="Times New Roman"/>
          <w:sz w:val="14"/>
          <w:szCs w:val="14"/>
          <w:color w:val="auto"/>
        </w:rPr>
        <w:t>.</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The Securities shall be signed on behalf of the Company by one of its Officers. Signatures may be in the form of a manual or facsimile signature.</w:t>
      </w:r>
    </w:p>
    <w:p>
      <w:pPr>
        <w:spacing w:after="0" w:line="167" w:lineRule="exact"/>
        <w:rPr>
          <w:sz w:val="20"/>
          <w:szCs w:val="20"/>
          <w:color w:val="auto"/>
        </w:rPr>
      </w:pPr>
    </w:p>
    <w:p>
      <w:pPr>
        <w:jc w:val="both"/>
        <w:ind w:firstLine="752"/>
        <w:spacing w:after="0" w:line="255" w:lineRule="auto"/>
        <w:rPr>
          <w:sz w:val="20"/>
          <w:szCs w:val="20"/>
          <w:color w:val="auto"/>
        </w:rPr>
      </w:pPr>
      <w:r>
        <w:rPr>
          <w:rFonts w:ascii="Times New Roman" w:cs="Times New Roman" w:eastAsia="Times New Roman" w:hAnsi="Times New Roman"/>
          <w:sz w:val="14"/>
          <w:szCs w:val="14"/>
          <w:color w:val="auto"/>
        </w:rPr>
        <w:t>The Company may use the facsimile signature of any Person who shall have been an Officer (at the time of execution), notwithstanding the fact that at the time the Securities shall be authenticated and delivered or disposed of such Person shall have ceased to be such an officer of the Company. The Securities may contain such notations, legends or endorsements required by law, stock exchange rule or usage. Each Security shall be dated the date of its authentication by the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763905</wp:posOffset>
            </wp:positionV>
            <wp:extent cx="719074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112" w:right="319" w:bottom="1440" w:gutter="0" w:footer="0" w:header="0"/>
        </w:sectPr>
      </w:pPr>
    </w:p>
    <w:bookmarkStart w:id="39" w:name="page40"/>
    <w:bookmarkEnd w:id="39"/>
    <w:p>
      <w:pPr>
        <w:jc w:val="both"/>
        <w:ind w:firstLine="752"/>
        <w:spacing w:after="0" w:line="252" w:lineRule="auto"/>
        <w:rPr>
          <w:sz w:val="20"/>
          <w:szCs w:val="20"/>
          <w:color w:val="auto"/>
        </w:rPr>
      </w:pPr>
      <w:r>
        <w:rPr>
          <w:rFonts w:ascii="Times New Roman" w:cs="Times New Roman" w:eastAsia="Times New Roman" w:hAnsi="Times New Roman"/>
          <w:sz w:val="14"/>
          <w:szCs w:val="14"/>
          <w:color w:val="auto"/>
        </w:rPr>
        <w:t>A Security shall not be valid until authenticated manually by an authorized signatory of the Trustee, or by an Authenticating Agent. Such signature shall be conclusive evidence that the Security so authenticated has been duly authenticated and delivered hereunder and that the holder is entitled to the benefits of this Indenture. At any time and from time to time after the execution and delivery of this Indenture, the Company may deliver Securities of any series executed by the Company to the Trustee for authentication, together with a written order of the Company for the authentication and delivery of such Securities, signed by an Officer, and the Trustee in accordance with such written order shall authenticate and deliver such Securities.</w:t>
      </w:r>
    </w:p>
    <w:p>
      <w:pPr>
        <w:spacing w:after="0" w:line="145" w:lineRule="exact"/>
        <w:rPr>
          <w:sz w:val="20"/>
          <w:szCs w:val="20"/>
          <w:color w:val="auto"/>
        </w:rPr>
      </w:pPr>
    </w:p>
    <w:p>
      <w:pPr>
        <w:jc w:val="both"/>
        <w:ind w:firstLine="752"/>
        <w:spacing w:after="0" w:line="255" w:lineRule="auto"/>
        <w:rPr>
          <w:sz w:val="20"/>
          <w:szCs w:val="20"/>
          <w:color w:val="auto"/>
        </w:rPr>
      </w:pPr>
      <w:r>
        <w:rPr>
          <w:rFonts w:ascii="Times New Roman" w:cs="Times New Roman" w:eastAsia="Times New Roman" w:hAnsi="Times New Roman"/>
          <w:sz w:val="14"/>
          <w:szCs w:val="14"/>
          <w:color w:val="auto"/>
        </w:rPr>
        <w:t>Upon the Company’s delivery of any such authentication order to the Trustee at any time after the initial issuance of Securities under this Indenture, the Trustee shall be provided with, and (subject to Sections 315(a) through 315(d) of the Trust Indenture Act) shall be fully protected in relying upon, (1) an Opinion of Counsel or reliance letter and (2) an Officer’s Certificate stating that all conditions precedent to the execution, authentication and delivery of such Securities are in conformity with the provisions of this Indenture.</w:t>
      </w:r>
    </w:p>
    <w:p>
      <w:pPr>
        <w:spacing w:after="0" w:line="143" w:lineRule="exact"/>
        <w:rPr>
          <w:sz w:val="20"/>
          <w:szCs w:val="20"/>
          <w:color w:val="auto"/>
        </w:rPr>
      </w:pPr>
    </w:p>
    <w:p>
      <w:pPr>
        <w:jc w:val="both"/>
        <w:ind w:firstLine="752"/>
        <w:spacing w:after="0" w:line="266" w:lineRule="auto"/>
        <w:rPr>
          <w:sz w:val="20"/>
          <w:szCs w:val="20"/>
          <w:color w:val="auto"/>
        </w:rPr>
      </w:pPr>
      <w:r>
        <w:rPr>
          <w:rFonts w:ascii="Times New Roman" w:cs="Times New Roman" w:eastAsia="Times New Roman" w:hAnsi="Times New Roman"/>
          <w:sz w:val="14"/>
          <w:szCs w:val="14"/>
          <w:color w:val="auto"/>
        </w:rPr>
        <w:t>The Trustee shall not be required to authenticate such Securities if the issue of such Securities pursuant to this Indenture will affect the Trustee’s own rights, duties or immunities under the Securities and this Indenture or otherwise in a manner that is not reasonably acceptable to the Trustee.</w:t>
      </w:r>
    </w:p>
    <w:p>
      <w:pPr>
        <w:spacing w:after="0" w:line="13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Section 2.05 Registration of Transfer and Exchange</w:t>
      </w:r>
      <w:r>
        <w:rPr>
          <w:rFonts w:ascii="Times New Roman" w:cs="Times New Roman" w:eastAsia="Times New Roman" w:hAnsi="Times New Roman"/>
          <w:sz w:val="14"/>
          <w:szCs w:val="14"/>
          <w:color w:val="auto"/>
        </w:rPr>
        <w:t>.</w:t>
      </w:r>
    </w:p>
    <w:p>
      <w:pPr>
        <w:spacing w:after="0" w:line="171" w:lineRule="exact"/>
        <w:rPr>
          <w:sz w:val="20"/>
          <w:szCs w:val="20"/>
          <w:color w:val="auto"/>
        </w:rPr>
      </w:pPr>
    </w:p>
    <w:p>
      <w:pPr>
        <w:jc w:val="both"/>
        <w:ind w:firstLine="1506"/>
        <w:spacing w:after="0" w:line="252" w:lineRule="auto"/>
        <w:tabs>
          <w:tab w:leader="none" w:pos="1698" w:val="left"/>
        </w:tabs>
        <w:numPr>
          <w:ilvl w:val="0"/>
          <w:numId w:val="3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Securities of any series may be exchanged upon presentation thereof at the office or agency of the Company designated for such purpose, for other Securities of such series of authorized denominations, and for a like aggregate principal amount, upon payment of a sum sufficient to cover any tax or other governmental charge in relation thereto, all as provided in this Section. In respect of any Securities so surrendered for exchange, the Company shall execute, the Trustee shall authenticate and such office or agency shall deliver in exchange therefor the Security or Securities of the same series that the Securityholder making the exchange shall be entitled to receive, bearing numbers not contemporaneously outstanding.</w:t>
      </w:r>
    </w:p>
    <w:p>
      <w:pPr>
        <w:spacing w:after="0" w:line="144" w:lineRule="exact"/>
        <w:rPr>
          <w:rFonts w:ascii="Times New Roman" w:cs="Times New Roman" w:eastAsia="Times New Roman" w:hAnsi="Times New Roman"/>
          <w:sz w:val="14"/>
          <w:szCs w:val="14"/>
          <w:b w:val="1"/>
          <w:bCs w:val="1"/>
          <w:color w:val="auto"/>
        </w:rPr>
      </w:pPr>
    </w:p>
    <w:p>
      <w:pPr>
        <w:jc w:val="both"/>
        <w:ind w:firstLine="1506"/>
        <w:spacing w:after="0" w:line="252" w:lineRule="auto"/>
        <w:tabs>
          <w:tab w:leader="none" w:pos="1706" w:val="left"/>
        </w:tabs>
        <w:numPr>
          <w:ilvl w:val="0"/>
          <w:numId w:val="3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Company shall keep, or cause to be kept, at its office or agency designated for such purpose a register or registers (herein referred to as the “Security Register”) in which, subject to such reasonable regulations as it may prescribe, the Company shall register the Securities and the transfers of Securities as in this Article provided and which at all reasonable times shall be open for inspection by the Trustee. The registrar for the purpose of registering Securities and transfer of Securities as herein provided shall be appointed as authorized by Board Resolution or Supplemental Indenture (the “Security Registrar”).</w:t>
      </w:r>
    </w:p>
    <w:p>
      <w:pPr>
        <w:spacing w:after="0" w:line="145" w:lineRule="exact"/>
        <w:rPr>
          <w:sz w:val="20"/>
          <w:szCs w:val="20"/>
          <w:color w:val="auto"/>
        </w:rPr>
      </w:pPr>
    </w:p>
    <w:p>
      <w:pPr>
        <w:ind w:firstLine="752"/>
        <w:spacing w:after="0" w:line="266" w:lineRule="auto"/>
        <w:rPr>
          <w:sz w:val="20"/>
          <w:szCs w:val="20"/>
          <w:color w:val="auto"/>
        </w:rPr>
      </w:pPr>
      <w:r>
        <w:rPr>
          <w:rFonts w:ascii="Times New Roman" w:cs="Times New Roman" w:eastAsia="Times New Roman" w:hAnsi="Times New Roman"/>
          <w:sz w:val="14"/>
          <w:szCs w:val="14"/>
          <w:color w:val="auto"/>
        </w:rPr>
        <w:t>Upon surrender for transfer of any Security at the office or agency of the Company designated for such purpose, the Company shall execute, the Trustee shall authenticate and such office or agency shall deliver in the name of the transferee or transferees a new Security or Securities of the same series as the Security presented for a like aggregate principal amount.</w:t>
      </w:r>
    </w:p>
    <w:p>
      <w:pPr>
        <w:spacing w:after="0" w:line="13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The Company initially appoints the Trustee as Security Registrar for each series of Securities.</w:t>
      </w:r>
    </w:p>
    <w:p>
      <w:pPr>
        <w:spacing w:after="0" w:line="167" w:lineRule="exact"/>
        <w:rPr>
          <w:sz w:val="20"/>
          <w:szCs w:val="20"/>
          <w:color w:val="auto"/>
        </w:rPr>
      </w:pPr>
    </w:p>
    <w:p>
      <w:pPr>
        <w:ind w:firstLine="752"/>
        <w:spacing w:after="0" w:line="305" w:lineRule="auto"/>
        <w:rPr>
          <w:sz w:val="20"/>
          <w:szCs w:val="20"/>
          <w:color w:val="auto"/>
        </w:rPr>
      </w:pPr>
      <w:r>
        <w:rPr>
          <w:rFonts w:ascii="Times New Roman" w:cs="Times New Roman" w:eastAsia="Times New Roman" w:hAnsi="Times New Roman"/>
          <w:sz w:val="13"/>
          <w:szCs w:val="13"/>
          <w:color w:val="auto"/>
        </w:rPr>
        <w:t>All Securities presented or surrendered for exchange or registration of transfer, as provided in this Section, shall be accompanied (if so required by the Company or the Security Registrar) by a written instrument or instruments of transfer, in form satisfactory to the Company or the Security Registrar, duly executed by the registered holder or by such holder’s duly authorized attorney in writing.</w:t>
      </w:r>
    </w:p>
    <w:p>
      <w:pPr>
        <w:spacing w:after="0" w:line="112" w:lineRule="exact"/>
        <w:rPr>
          <w:sz w:val="20"/>
          <w:szCs w:val="20"/>
          <w:color w:val="auto"/>
        </w:rPr>
      </w:pPr>
    </w:p>
    <w:p>
      <w:pPr>
        <w:jc w:val="both"/>
        <w:ind w:firstLine="1506"/>
        <w:spacing w:after="0" w:line="252" w:lineRule="auto"/>
        <w:tabs>
          <w:tab w:leader="none" w:pos="1690" w:val="left"/>
        </w:tabs>
        <w:numPr>
          <w:ilvl w:val="0"/>
          <w:numId w:val="3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Except as provided pursuant to Section 2.01 pursuant to a Board Resolution, and set forth in an Officer’s Certificate, or established in one or more indentures supplemental to this Indenture, no service charge shall be made for any exchange or registration of transfer of Securities, or issue of new Securities in case of partial redemption of any series or repurchase, conversion or exchange of less than the entire principal amount of a Security, but the Company may require payment of a sum sufficient to cover any tax or other governmental charge in relation thereto, other than exchanges pursuant to Section 2.06, Section 3.03(b) and Section 9.04 not involving any transfer.</w:t>
      </w:r>
    </w:p>
    <w:p>
      <w:pPr>
        <w:spacing w:after="0" w:line="144" w:lineRule="exact"/>
        <w:rPr>
          <w:rFonts w:ascii="Times New Roman" w:cs="Times New Roman" w:eastAsia="Times New Roman" w:hAnsi="Times New Roman"/>
          <w:sz w:val="14"/>
          <w:szCs w:val="14"/>
          <w:b w:val="1"/>
          <w:bCs w:val="1"/>
          <w:color w:val="auto"/>
        </w:rPr>
      </w:pPr>
    </w:p>
    <w:p>
      <w:pPr>
        <w:ind w:firstLine="1506"/>
        <w:spacing w:after="0" w:line="266" w:lineRule="auto"/>
        <w:tabs>
          <w:tab w:leader="none" w:pos="1716" w:val="left"/>
        </w:tabs>
        <w:numPr>
          <w:ilvl w:val="0"/>
          <w:numId w:val="3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Company and the Security Registrar shall not be required (i) to issue, exchange or register the transfer of any Securities during a period beginning at the opening of business 15 days before the day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654685</wp:posOffset>
            </wp:positionV>
            <wp:extent cx="719074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112" w:right="319" w:bottom="1440" w:gutter="0" w:footer="0" w:header="0"/>
        </w:sectPr>
      </w:pPr>
    </w:p>
    <w:bookmarkStart w:id="40" w:name="page41"/>
    <w:bookmarkEnd w:id="40"/>
    <w:p>
      <w:pPr>
        <w:jc w:val="both"/>
        <w:spacing w:after="0" w:line="255" w:lineRule="auto"/>
        <w:rPr>
          <w:sz w:val="20"/>
          <w:szCs w:val="20"/>
          <w:color w:val="auto"/>
        </w:rPr>
      </w:pPr>
      <w:r>
        <w:rPr>
          <w:rFonts w:ascii="Times New Roman" w:cs="Times New Roman" w:eastAsia="Times New Roman" w:hAnsi="Times New Roman"/>
          <w:sz w:val="14"/>
          <w:szCs w:val="14"/>
          <w:color w:val="auto"/>
        </w:rPr>
        <w:t>sending of a notice of redemption of less than all the Outstanding Securities of the same series and ending at the close of business on the day of such sending, nor (ii) to register the transfer of or exchange any Securities of any series or portions thereof called for redemption or surrendered for repurchase, but not validly withdrawn, other than the unredeemed portion of any such Securities being redeemed in part or not surrendered for repurchase, as the case may be. The provisions of this Section 2.05 are, with respect to any Global Security, subject to Section 2.11 hereof.</w:t>
      </w:r>
    </w:p>
    <w:p>
      <w:pPr>
        <w:spacing w:after="0" w:line="143" w:lineRule="exact"/>
        <w:rPr>
          <w:sz w:val="20"/>
          <w:szCs w:val="20"/>
          <w:color w:val="auto"/>
        </w:rPr>
      </w:pPr>
    </w:p>
    <w:p>
      <w:pPr>
        <w:jc w:val="both"/>
        <w:ind w:firstLine="752"/>
        <w:spacing w:after="0" w:line="252" w:lineRule="auto"/>
        <w:rPr>
          <w:sz w:val="20"/>
          <w:szCs w:val="20"/>
          <w:color w:val="auto"/>
        </w:rPr>
      </w:pPr>
      <w:r>
        <w:rPr>
          <w:rFonts w:ascii="Times New Roman" w:cs="Times New Roman" w:eastAsia="Times New Roman" w:hAnsi="Times New Roman"/>
          <w:sz w:val="14"/>
          <w:szCs w:val="14"/>
          <w:color w:val="auto"/>
        </w:rPr>
        <w:t>The Trustee shall have no obligation or duty to monitor, determine or inquire as to compliance with any restrictions on transfer imposed under this Indenture or under applicable law with respect to any transfer of any interest in any Security (including any transfers between or among Depositary participants or beneficial owners of interests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4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Section 2.06 Temporary Securities</w:t>
      </w:r>
      <w:r>
        <w:rPr>
          <w:rFonts w:ascii="Times New Roman" w:cs="Times New Roman" w:eastAsia="Times New Roman" w:hAnsi="Times New Roman"/>
          <w:sz w:val="14"/>
          <w:szCs w:val="14"/>
          <w:color w:val="auto"/>
        </w:rPr>
        <w:t>.</w:t>
      </w:r>
    </w:p>
    <w:p>
      <w:pPr>
        <w:spacing w:after="0" w:line="171" w:lineRule="exact"/>
        <w:rPr>
          <w:sz w:val="20"/>
          <w:szCs w:val="20"/>
          <w:color w:val="auto"/>
        </w:rPr>
      </w:pPr>
    </w:p>
    <w:p>
      <w:pPr>
        <w:jc w:val="both"/>
        <w:ind w:firstLine="752"/>
        <w:spacing w:after="0" w:line="269" w:lineRule="auto"/>
        <w:rPr>
          <w:sz w:val="20"/>
          <w:szCs w:val="20"/>
          <w:color w:val="auto"/>
        </w:rPr>
      </w:pPr>
      <w:r>
        <w:rPr>
          <w:rFonts w:ascii="Times New Roman" w:cs="Times New Roman" w:eastAsia="Times New Roman" w:hAnsi="Times New Roman"/>
          <w:sz w:val="13"/>
          <w:szCs w:val="13"/>
          <w:color w:val="auto"/>
        </w:rPr>
        <w:t>Pending the preparation of definitive Securities of any series, the Company may execute, and the Trustee shall authenticate and deliver, temporary Securities (printed, lithographed or typewritten) of any authorized denomination. Such temporary Securities shall be substantially in the form of the definitive Securities in lieu of which they are issued, but with such omissions, insertions and variations as may be appropriate for temporary Securities, all as may be determined by the Company. Every temporary Security of any series shall be executed by the Company and be authenticated by the Trustee upon the same conditions and in substantially the same manner, and with like effect, as the definitive Securities of such series. Without unnecessary delay the Company will execute and will furnish definitive Securities of such series and thereupon any or all temporary Securities of such series may be surrendered in exchange therefor (without charge to the Securityholders), at the office or agency of the Company designated for the purpose, and the Trustee shall authenticate and such office or agency shall deliver in exchange for such temporary Securities an equal aggregate principal amount of definitive Securities of such series, unless the Company advises the Trustee to the effect that definitive Securities need not be executed and furnished until further notice from the Company. Until so exchanged, the temporary Securities of such series shall be entitled to the same benefits under this Indenture as definitive Securities of such series authenticated and delivered hereunder.</w:t>
      </w:r>
    </w:p>
    <w:p>
      <w:pPr>
        <w:spacing w:after="0" w:line="1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Section 2.07 Mutilated, Destroyed, Lost or Stolen Securities</w:t>
      </w:r>
      <w:r>
        <w:rPr>
          <w:rFonts w:ascii="Times New Roman" w:cs="Times New Roman" w:eastAsia="Times New Roman" w:hAnsi="Times New Roman"/>
          <w:sz w:val="14"/>
          <w:szCs w:val="14"/>
          <w:color w:val="auto"/>
        </w:rPr>
        <w:t>.</w:t>
      </w:r>
    </w:p>
    <w:p>
      <w:pPr>
        <w:spacing w:after="0" w:line="171" w:lineRule="exact"/>
        <w:rPr>
          <w:sz w:val="20"/>
          <w:szCs w:val="20"/>
          <w:color w:val="auto"/>
        </w:rPr>
      </w:pPr>
    </w:p>
    <w:p>
      <w:pPr>
        <w:jc w:val="both"/>
        <w:ind w:firstLine="752"/>
        <w:spacing w:after="0" w:line="248" w:lineRule="auto"/>
        <w:rPr>
          <w:sz w:val="20"/>
          <w:szCs w:val="20"/>
          <w:color w:val="auto"/>
        </w:rPr>
      </w:pPr>
      <w:r>
        <w:rPr>
          <w:rFonts w:ascii="Times New Roman" w:cs="Times New Roman" w:eastAsia="Times New Roman" w:hAnsi="Times New Roman"/>
          <w:sz w:val="14"/>
          <w:szCs w:val="14"/>
          <w:color w:val="auto"/>
        </w:rPr>
        <w:t>In case any temporary or definitive Security shall become mutilated or be destroyed, lost or stolen, the Company (subject to the next succeeding sentence) shall execute, and upon the Company’s request the Trustee (subject as aforesaid) shall authenticate and deliver, a new Security of the same series, bearing a number not contemporaneously outstanding, in exchange and substitution for the mutilated Security, or in lieu of and in substitution for the Security so destroyed, lost or stolen. In every case the applicant for a substituted Security shall furnish to the Company and the Trustee such security or indemnity as may be required by them to save each of them harmless, and, in every case of destruction, loss or theft, the applicant shall also furnish to the Company and the Trustee evidence to their satisfaction of the destruction, loss or theft of the applicant’s Security and of the ownership thereof. The Trustee may authenticate any such substituted Security and deliver the same upon the written request or authorization of any officer of the Company. Upon the issuance of any substituted Security, the Company may require the payment of a sum sufficient to cover any tax or other governmental charge that may be imposed in relation thereto and any other expenses (including the fees and expenses of the Trustee) connected therewith.</w:t>
      </w:r>
    </w:p>
    <w:p>
      <w:pPr>
        <w:spacing w:after="0" w:line="149" w:lineRule="exact"/>
        <w:rPr>
          <w:sz w:val="20"/>
          <w:szCs w:val="20"/>
          <w:color w:val="auto"/>
        </w:rPr>
      </w:pPr>
    </w:p>
    <w:p>
      <w:pPr>
        <w:jc w:val="both"/>
        <w:ind w:firstLine="752"/>
        <w:spacing w:after="0" w:line="252" w:lineRule="auto"/>
        <w:rPr>
          <w:sz w:val="20"/>
          <w:szCs w:val="20"/>
          <w:color w:val="auto"/>
        </w:rPr>
      </w:pPr>
      <w:r>
        <w:rPr>
          <w:rFonts w:ascii="Times New Roman" w:cs="Times New Roman" w:eastAsia="Times New Roman" w:hAnsi="Times New Roman"/>
          <w:sz w:val="14"/>
          <w:szCs w:val="14"/>
          <w:color w:val="auto"/>
        </w:rPr>
        <w:t>In case any Security that has matured or is about to mature shall become mutilated or be destroyed, lost or stolen, the Company may, instead of issuing a substitute Security, pay or authorize the payment of the same (without surrender thereof except in the case of a mutilated Security) if the applicant for such payment shall furnish to the Company and the Trustee such security or indemnity as they may require to save them harmless, and, in case of destruction, loss or theft, evidence to the satisfaction of the Company and the Trustee of the destruction, loss or theft of such Security and of the ownership thereof.</w:t>
      </w:r>
    </w:p>
    <w:p>
      <w:pPr>
        <w:spacing w:after="0" w:line="145" w:lineRule="exact"/>
        <w:rPr>
          <w:sz w:val="20"/>
          <w:szCs w:val="20"/>
          <w:color w:val="auto"/>
        </w:rPr>
      </w:pPr>
    </w:p>
    <w:p>
      <w:pPr>
        <w:jc w:val="both"/>
        <w:ind w:firstLine="752"/>
        <w:spacing w:after="0" w:line="255" w:lineRule="auto"/>
        <w:rPr>
          <w:sz w:val="20"/>
          <w:szCs w:val="20"/>
          <w:color w:val="auto"/>
        </w:rPr>
      </w:pPr>
      <w:r>
        <w:rPr>
          <w:rFonts w:ascii="Times New Roman" w:cs="Times New Roman" w:eastAsia="Times New Roman" w:hAnsi="Times New Roman"/>
          <w:sz w:val="14"/>
          <w:szCs w:val="14"/>
          <w:color w:val="auto"/>
        </w:rPr>
        <w:t>Every replacement Security issued pursuant to the provisions of this Section shall constitute an additional contractual obligation of the Company whether or not the mutilated, destroyed, lost or stolen Security shall be found at any time, or be enforceable by anyone, and shall be entitled to all the benefits of this Indenture equally and proportionately with any and all other Securities of the same series duly issued hereunder. All Securities shall be held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659765</wp:posOffset>
            </wp:positionV>
            <wp:extent cx="719074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112" w:right="319" w:bottom="1440" w:gutter="0" w:footer="0" w:header="0"/>
        </w:sectPr>
      </w:pPr>
    </w:p>
    <w:bookmarkStart w:id="41" w:name="page42"/>
    <w:bookmarkEnd w:id="41"/>
    <w:p>
      <w:pPr>
        <w:jc w:val="both"/>
        <w:spacing w:after="0" w:line="255" w:lineRule="auto"/>
        <w:rPr>
          <w:sz w:val="20"/>
          <w:szCs w:val="20"/>
          <w:color w:val="auto"/>
        </w:rPr>
      </w:pPr>
      <w:r>
        <w:rPr>
          <w:rFonts w:ascii="Times New Roman" w:cs="Times New Roman" w:eastAsia="Times New Roman" w:hAnsi="Times New Roman"/>
          <w:sz w:val="14"/>
          <w:szCs w:val="14"/>
          <w:color w:val="auto"/>
        </w:rPr>
        <w:t>and owned upon the express condition that the foregoing provisions are exclusive with respect to the replacement or payment of mutilated, destroyed, lost or stolen Securities, and shall preclude (to the extent lawful) any and all other rights or remedies, notwithstanding any law or statute existing or hereafter enacted to the contrary with respect to the replacement or payment of negotiable instruments or other securities without their surrender.</w:t>
      </w:r>
    </w:p>
    <w:p>
      <w:pPr>
        <w:spacing w:after="0" w:line="13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Section 2.08 Cancellation</w:t>
      </w:r>
      <w:r>
        <w:rPr>
          <w:rFonts w:ascii="Times New Roman" w:cs="Times New Roman" w:eastAsia="Times New Roman" w:hAnsi="Times New Roman"/>
          <w:sz w:val="14"/>
          <w:szCs w:val="14"/>
          <w:color w:val="auto"/>
        </w:rPr>
        <w:t>.</w:t>
      </w:r>
    </w:p>
    <w:p>
      <w:pPr>
        <w:spacing w:after="0" w:line="171" w:lineRule="exact"/>
        <w:rPr>
          <w:sz w:val="20"/>
          <w:szCs w:val="20"/>
          <w:color w:val="auto"/>
        </w:rPr>
      </w:pPr>
    </w:p>
    <w:p>
      <w:pPr>
        <w:jc w:val="both"/>
        <w:ind w:firstLine="752"/>
        <w:spacing w:after="0" w:line="249" w:lineRule="auto"/>
        <w:rPr>
          <w:sz w:val="20"/>
          <w:szCs w:val="20"/>
          <w:color w:val="auto"/>
        </w:rPr>
      </w:pPr>
      <w:r>
        <w:rPr>
          <w:rFonts w:ascii="Times New Roman" w:cs="Times New Roman" w:eastAsia="Times New Roman" w:hAnsi="Times New Roman"/>
          <w:sz w:val="14"/>
          <w:szCs w:val="14"/>
          <w:color w:val="auto"/>
        </w:rPr>
        <w:t>All Securities surrendered for the purpose of payment, redemption, repurchase, exchange, registration of transfer or conversion shall, if surrendered to the Company or any paying agent (or any other applicable agent), be delivered to the Trustee for cancellation, or, if surrendered to the Trustee, shall be cancelled by it, and no Securities shall be issued in lieu thereof except as expressly required or permitted by any of the provisions of this Indenture. On request of the Company at the time of such surrender, the Trustee shall deliver to the Company canceled Securities held by the Trustee. In the absence of such request the Trustee may dispose of canceled Securities in accordance with its standard procedures and deliver a certificate of disposition to the Company. If the Company shall otherwise acquire any of the Securities, however, such acquisition shall not operate as a redemption or satisfaction of the indebtedness represented by such Securities unless and until the same are delivered to the Trustee for cancellation.</w:t>
      </w:r>
    </w:p>
    <w:p>
      <w:pPr>
        <w:spacing w:after="0" w:line="14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Section 2.09 Benefits of Indenture</w:t>
      </w:r>
      <w:r>
        <w:rPr>
          <w:rFonts w:ascii="Times New Roman" w:cs="Times New Roman" w:eastAsia="Times New Roman" w:hAnsi="Times New Roman"/>
          <w:sz w:val="14"/>
          <w:szCs w:val="14"/>
          <w:color w:val="auto"/>
        </w:rPr>
        <w:t>.</w:t>
      </w:r>
    </w:p>
    <w:p>
      <w:pPr>
        <w:spacing w:after="0" w:line="171" w:lineRule="exact"/>
        <w:rPr>
          <w:sz w:val="20"/>
          <w:szCs w:val="20"/>
          <w:color w:val="auto"/>
        </w:rPr>
      </w:pPr>
    </w:p>
    <w:p>
      <w:pPr>
        <w:jc w:val="both"/>
        <w:ind w:firstLine="752"/>
        <w:spacing w:after="0" w:line="255" w:lineRule="auto"/>
        <w:rPr>
          <w:sz w:val="20"/>
          <w:szCs w:val="20"/>
          <w:color w:val="auto"/>
        </w:rPr>
      </w:pPr>
      <w:r>
        <w:rPr>
          <w:rFonts w:ascii="Times New Roman" w:cs="Times New Roman" w:eastAsia="Times New Roman" w:hAnsi="Times New Roman"/>
          <w:sz w:val="14"/>
          <w:szCs w:val="14"/>
          <w:color w:val="auto"/>
        </w:rPr>
        <w:t>Nothing in this Indenture or in the Securities, express or implied, shall give or be construed to give to any Person, other than the parties hereto and the holders of the Securities any legal or equitable right, remedy or claim under or in respect of this Indenture, or under any covenant, condition or provision herein contained; all such covenants, conditions and provisions being for the sole benefit of the parties hereto and of the holders of the Securities.</w:t>
      </w:r>
    </w:p>
    <w:p>
      <w:pPr>
        <w:spacing w:after="0" w:line="13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Section 2.10 Authenticating Agent</w:t>
      </w:r>
      <w:r>
        <w:rPr>
          <w:rFonts w:ascii="Times New Roman" w:cs="Times New Roman" w:eastAsia="Times New Roman" w:hAnsi="Times New Roman"/>
          <w:sz w:val="14"/>
          <w:szCs w:val="14"/>
          <w:color w:val="auto"/>
        </w:rPr>
        <w:t>.</w:t>
      </w:r>
    </w:p>
    <w:p>
      <w:pPr>
        <w:spacing w:after="0" w:line="171" w:lineRule="exact"/>
        <w:rPr>
          <w:sz w:val="20"/>
          <w:szCs w:val="20"/>
          <w:color w:val="auto"/>
        </w:rPr>
      </w:pPr>
    </w:p>
    <w:p>
      <w:pPr>
        <w:jc w:val="both"/>
        <w:ind w:firstLine="752"/>
        <w:spacing w:after="0" w:line="248" w:lineRule="auto"/>
        <w:rPr>
          <w:sz w:val="20"/>
          <w:szCs w:val="20"/>
          <w:color w:val="auto"/>
        </w:rPr>
      </w:pPr>
      <w:r>
        <w:rPr>
          <w:rFonts w:ascii="Times New Roman" w:cs="Times New Roman" w:eastAsia="Times New Roman" w:hAnsi="Times New Roman"/>
          <w:sz w:val="14"/>
          <w:szCs w:val="14"/>
          <w:color w:val="auto"/>
        </w:rPr>
        <w:t>So long as any of the Securities of any series remain Outstanding there may be an Authenticating Agent for any or all such series of Securities which the Trustee shall have the right to appoint. Said Authenticating Agent shall be authorized to act on behalf of the Trustee to authenticate Securities of such series issued upon exchange, transfer or partial redemption, repurchase or conversion thereof, and Securities so authenticated shall be entitled to the benefits of this Indenture and shall be valid and obligatory for all purposes as if authenticated by the Trustee hereunder. All references in this Indenture to the authentication of Securities by the Trustee shall be deemed to include authentication by an Authenticating Agent for such series. Each Authenticating Agent shall be acceptable to the Company and shall be a corporation that has a combined capital and surplus, as most recently reported or determined by it, sufficient under the laws of any jurisdiction under which it is organized or in which it is doing business to conduct a trust business, and that is otherwise authorized under such laws to conduct such business and is subject to supervision or examination by federal or state authorities. If at any time any Authenticating Agent shall cease to be eligible in accordance with these provisions, it shall resign immediately.</w:t>
      </w:r>
    </w:p>
    <w:p>
      <w:pPr>
        <w:spacing w:after="0" w:line="149" w:lineRule="exact"/>
        <w:rPr>
          <w:sz w:val="20"/>
          <w:szCs w:val="20"/>
          <w:color w:val="auto"/>
        </w:rPr>
      </w:pPr>
    </w:p>
    <w:p>
      <w:pPr>
        <w:jc w:val="both"/>
        <w:ind w:firstLine="752"/>
        <w:spacing w:after="0" w:line="252" w:lineRule="auto"/>
        <w:rPr>
          <w:sz w:val="20"/>
          <w:szCs w:val="20"/>
          <w:color w:val="auto"/>
        </w:rPr>
      </w:pPr>
      <w:r>
        <w:rPr>
          <w:rFonts w:ascii="Times New Roman" w:cs="Times New Roman" w:eastAsia="Times New Roman" w:hAnsi="Times New Roman"/>
          <w:sz w:val="14"/>
          <w:szCs w:val="14"/>
          <w:color w:val="auto"/>
        </w:rPr>
        <w:t>Any Authenticating Agent may at any time resign by giving written notice of resignation to the Trustee and to the Company. The Trustee may at any time (and upon request by the Company shall) terminate the agency of any Authenticating Agent by giving written notice of termination to such Authenticating Agent and to the Company. Upon resignation, termination or cessation of eligibility of any Authenticating Agent, the Trustee may appoint an eligible successor Authenticating Agent acceptable to the Company. Any successor Authenticating Agent, upon acceptance of its appointment hereunder, shall become vested with all the rights, powers and duties of its predecessor hereunder as if originally named as an Authenticating Agent pursuant hereto.</w:t>
      </w:r>
    </w:p>
    <w:p>
      <w:pPr>
        <w:spacing w:after="0" w:line="14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Section 2.11 Global Securities</w:t>
      </w:r>
      <w:r>
        <w:rPr>
          <w:rFonts w:ascii="Times New Roman" w:cs="Times New Roman" w:eastAsia="Times New Roman" w:hAnsi="Times New Roman"/>
          <w:sz w:val="14"/>
          <w:szCs w:val="14"/>
          <w:color w:val="auto"/>
        </w:rPr>
        <w:t>.</w:t>
      </w:r>
    </w:p>
    <w:p>
      <w:pPr>
        <w:spacing w:after="0" w:line="171" w:lineRule="exact"/>
        <w:rPr>
          <w:sz w:val="20"/>
          <w:szCs w:val="20"/>
          <w:color w:val="auto"/>
        </w:rPr>
      </w:pPr>
    </w:p>
    <w:p>
      <w:pPr>
        <w:jc w:val="both"/>
        <w:ind w:firstLine="1506"/>
        <w:spacing w:after="0" w:line="250" w:lineRule="auto"/>
        <w:tabs>
          <w:tab w:leader="none" w:pos="1702" w:val="left"/>
        </w:tabs>
        <w:numPr>
          <w:ilvl w:val="0"/>
          <w:numId w:val="3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If the Company shall establish pursuant to Section 2.01 that the Securities of a particular series are to be issued as a Global Security, then the Company shall execute and the Trustee shall, in accordance with Section 2.04, authenticate and deliver, a Global Security that (i) shall represent, and shall be denominated in an amount equal to the aggregate principal amount of, all of the Outstanding Securities of such series, (ii) shall be registered in the name of the Depositary or its nominee, (iii) shall be delivered by the Trustee to the Depositary or pursuant to the Depositary’s instruction (or if the Depositary names the Trustee as its custodian, retained by the Trustee), and (iv) shall bear a legend substantially to the following effect: “Except as otherwise provided in Section 2.11 of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661670</wp:posOffset>
            </wp:positionV>
            <wp:extent cx="719074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111"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color w:val="auto"/>
        </w:rPr>
        <w:t>this Security may be transferred, in whole but not in part, only to another nominee of the Depositary or to a successor Depositary or to a nominee of such successor Depositary.”</w:t>
      </w:r>
    </w:p>
    <w:p>
      <w:pPr>
        <w:spacing w:after="0" w:line="167" w:lineRule="exact"/>
        <w:rPr>
          <w:sz w:val="20"/>
          <w:szCs w:val="20"/>
          <w:color w:val="auto"/>
        </w:rPr>
      </w:pPr>
    </w:p>
    <w:p>
      <w:pPr>
        <w:ind w:firstLine="1506"/>
        <w:spacing w:after="0" w:line="266" w:lineRule="auto"/>
        <w:tabs>
          <w:tab w:leader="none" w:pos="1706" w:val="left"/>
        </w:tabs>
        <w:numPr>
          <w:ilvl w:val="0"/>
          <w:numId w:val="3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Notwithstanding the provisions of Section 2.05, the Global Security of a series may be transferred, in whole but not in part and in the manner provided in Section 2.05, only to another nominee of the Depositary for such series, or to a successor Depositary for such series selected or approved by the Company or to a nominee of such successor Depositary.</w:t>
      </w:r>
    </w:p>
    <w:p>
      <w:pPr>
        <w:spacing w:after="0" w:line="135" w:lineRule="exact"/>
        <w:rPr>
          <w:rFonts w:ascii="Times New Roman" w:cs="Times New Roman" w:eastAsia="Times New Roman" w:hAnsi="Times New Roman"/>
          <w:sz w:val="14"/>
          <w:szCs w:val="14"/>
          <w:b w:val="1"/>
          <w:bCs w:val="1"/>
          <w:color w:val="auto"/>
        </w:rPr>
      </w:pPr>
    </w:p>
    <w:p>
      <w:pPr>
        <w:jc w:val="both"/>
        <w:ind w:firstLine="1506"/>
        <w:spacing w:after="0" w:line="267" w:lineRule="auto"/>
        <w:tabs>
          <w:tab w:leader="none" w:pos="1690" w:val="left"/>
        </w:tabs>
        <w:numPr>
          <w:ilvl w:val="0"/>
          <w:numId w:val="3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If at any time the Depositary for a series of the Securities notifies the Company that it is unwilling or unable to continue as Depositary for such series or if at any time the Depositary for such series shall no longer be registered or in good standing under the Exchange Act, or other applicable statute or regulation, and a successor Depositary for such series is not appointed by the Company within 90 days after the Company receives such notice or becomes aware of such condition, as the case may be, or if an Event of Default has occurred and is continuing and the Company has received a request from the Depositary or from the Trustee, this Section 2.11 shall no longer be applicable to the Securities of such series and the Company will execute, and subject to Section 2.04, the Trustee will authenticate and deliver the Securities of such series in definitive registered form without coupons, in authorized denominations, and in an aggregate principal amount equal to the principal amount of the Global Security of such series in exchange for such Global Security. In addition, the Company may at any time determine that the Securities of any series shall no longer be represented by a Global Security and that the provisions of this Section 2.11 shall no longer apply to the Securities of such series. In such event the Company will execute and, subject to Section 2.04, the Trustee, upon receipt of an Officer’s Certificate evidencing such determination by the Company, will authenticate and deliver the Securities of such series in definitive registered form without coupons, in authorized denominations, and in an aggregate principal amount equal to the principal amount of the Global Security of such series in exchange for such Global Security. Upon the exchange of the Global Security for such Securities in definitive registered form without coupons, in authorized denominations, the Global Security shall be canceled by the Trustee. Such Securities in definitive registered form issued in exchange for the Global Security pursuant to this Section 2.11(c) shall be registered in such names and in such authorized denominations as the Depositary, pursuant to instructions from its direct or indirect participants or otherwise, shall instruct the Trustee. The Trustee shall deliver such Securities to the Depositary for delivery to the Persons in whose names such Securities are so registered.</w:t>
      </w:r>
    </w:p>
    <w:p>
      <w:pPr>
        <w:spacing w:after="0" w:line="13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Section 2.12 CUSIP Numbers</w:t>
      </w:r>
      <w:r>
        <w:rPr>
          <w:rFonts w:ascii="Times New Roman" w:cs="Times New Roman" w:eastAsia="Times New Roman" w:hAnsi="Times New Roman"/>
          <w:sz w:val="14"/>
          <w:szCs w:val="14"/>
          <w:color w:val="auto"/>
        </w:rPr>
        <w:t>.</w:t>
      </w:r>
    </w:p>
    <w:p>
      <w:pPr>
        <w:spacing w:after="0" w:line="171" w:lineRule="exact"/>
        <w:rPr>
          <w:sz w:val="20"/>
          <w:szCs w:val="20"/>
          <w:color w:val="auto"/>
        </w:rPr>
      </w:pPr>
    </w:p>
    <w:p>
      <w:pPr>
        <w:jc w:val="both"/>
        <w:ind w:firstLine="752"/>
        <w:spacing w:after="0" w:line="252" w:lineRule="auto"/>
        <w:rPr>
          <w:sz w:val="20"/>
          <w:szCs w:val="20"/>
          <w:color w:val="auto"/>
        </w:rPr>
      </w:pPr>
      <w:r>
        <w:rPr>
          <w:rFonts w:ascii="Times New Roman" w:cs="Times New Roman" w:eastAsia="Times New Roman" w:hAnsi="Times New Roman"/>
          <w:sz w:val="14"/>
          <w:szCs w:val="14"/>
          <w:color w:val="auto"/>
        </w:rPr>
        <w:t>The Company in issuing the Securities may use “CUSIP” numbers (if then generally in use), and, if so, the Trustee shall use “CUSIP” numbers in notices of redemption as a convenience to Securityholders; provided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 The Company will promptly notify the Trustee of any change in the “CUSIP” numbers.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3</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REDEMPTION OF SECURITIES AND SINKING FUND PROVISIONS</w:t>
      </w:r>
    </w:p>
    <w:p>
      <w:pPr>
        <w:spacing w:after="0" w:line="167" w:lineRule="exact"/>
        <w:rPr>
          <w:sz w:val="20"/>
          <w:szCs w:val="20"/>
          <w:color w:val="auto"/>
        </w:rPr>
      </w:pPr>
    </w:p>
    <w:p>
      <w:pPr>
        <w:ind w:left="760"/>
        <w:spacing w:after="0"/>
        <w:tabs>
          <w:tab w:leader="none" w:pos="1560" w:val="left"/>
        </w:tabs>
        <w:rPr>
          <w:sz w:val="20"/>
          <w:szCs w:val="20"/>
          <w:color w:val="auto"/>
        </w:rPr>
      </w:pPr>
      <w:r>
        <w:rPr>
          <w:rFonts w:ascii="Times New Roman" w:cs="Times New Roman" w:eastAsia="Times New Roman" w:hAnsi="Times New Roman"/>
          <w:sz w:val="14"/>
          <w:szCs w:val="14"/>
          <w:b w:val="1"/>
          <w:bCs w:val="1"/>
          <w:color w:val="auto"/>
        </w:rPr>
        <w:t>Section 3.01</w:t>
      </w:r>
      <w:r>
        <w:rPr>
          <w:sz w:val="20"/>
          <w:szCs w:val="20"/>
          <w:color w:val="auto"/>
        </w:rPr>
        <w:tab/>
      </w:r>
      <w:r>
        <w:rPr>
          <w:rFonts w:ascii="Times New Roman" w:cs="Times New Roman" w:eastAsia="Times New Roman" w:hAnsi="Times New Roman"/>
          <w:sz w:val="13"/>
          <w:szCs w:val="13"/>
          <w:b w:val="1"/>
          <w:bCs w:val="1"/>
          <w:color w:val="auto"/>
        </w:rPr>
        <w:t>Redemption</w:t>
      </w:r>
      <w:r>
        <w:rPr>
          <w:rFonts w:ascii="Times New Roman" w:cs="Times New Roman" w:eastAsia="Times New Roman" w:hAnsi="Times New Roman"/>
          <w:sz w:val="13"/>
          <w:szCs w:val="13"/>
          <w:color w:val="auto"/>
        </w:rPr>
        <w:t>.</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The Company may redeem the Securities of any series issued hereunder on and after the dates and in accordance with the terms established for such series pursuant to Section 2.01 hereof.</w:t>
      </w:r>
    </w:p>
    <w:p>
      <w:pPr>
        <w:spacing w:after="0" w:line="16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Section 3.02 Notice of Redemption</w:t>
      </w:r>
      <w:r>
        <w:rPr>
          <w:rFonts w:ascii="Times New Roman" w:cs="Times New Roman" w:eastAsia="Times New Roman" w:hAnsi="Times New Roman"/>
          <w:sz w:val="14"/>
          <w:szCs w:val="14"/>
          <w:color w:val="auto"/>
        </w:rPr>
        <w:t>.</w:t>
      </w:r>
    </w:p>
    <w:p>
      <w:pPr>
        <w:spacing w:after="0" w:line="171" w:lineRule="exact"/>
        <w:rPr>
          <w:sz w:val="20"/>
          <w:szCs w:val="20"/>
          <w:color w:val="auto"/>
        </w:rPr>
      </w:pPr>
    </w:p>
    <w:p>
      <w:pPr>
        <w:jc w:val="both"/>
        <w:ind w:firstLine="1506"/>
        <w:spacing w:after="0" w:line="252" w:lineRule="auto"/>
        <w:tabs>
          <w:tab w:leader="none" w:pos="1698" w:val="left"/>
        </w:tabs>
        <w:numPr>
          <w:ilvl w:val="0"/>
          <w:numId w:val="3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 case the Company shall desire to exercise such right to redeem all or, as the case may be, a portion of the Securities of any series in accordance with any right the Company reserved for itself to do so pursuant to Section 2.01 hereof, the Company shall, or shall cause the Trustee to, give notice of such redemption to holders of the Securities of such series to be redeemed by mailing (or with regard to any Global Security held in book entry form, by electronic mail in accordance with the applicable procedures of the Depositary), a notice of such redemption not less than 30 days and not more than 90 days before the date fixed for redemption of that series to such Securityholders,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660400</wp:posOffset>
            </wp:positionV>
            <wp:extent cx="719074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112" w:right="319" w:bottom="1440" w:gutter="0" w:footer="0" w:header="0"/>
        </w:sectPr>
      </w:pPr>
    </w:p>
    <w:bookmarkStart w:id="43" w:name="page44"/>
    <w:bookmarkEnd w:id="43"/>
    <w:p>
      <w:pPr>
        <w:jc w:val="both"/>
        <w:spacing w:after="0" w:line="277" w:lineRule="auto"/>
        <w:rPr>
          <w:sz w:val="20"/>
          <w:szCs w:val="20"/>
          <w:color w:val="auto"/>
        </w:rPr>
      </w:pPr>
      <w:r>
        <w:rPr>
          <w:rFonts w:ascii="Times New Roman" w:cs="Times New Roman" w:eastAsia="Times New Roman" w:hAnsi="Times New Roman"/>
          <w:sz w:val="13"/>
          <w:szCs w:val="13"/>
          <w:color w:val="auto"/>
        </w:rPr>
        <w:t>unless a shorter period is specified in the Securities to be redeemed. Any notice that is mailed in the manner herein provided shall be conclusively presumed to have been duly given, whether or not the registered holder receives the notice. In any case, failure duly to give such notice to the holder of any Security of any series designated for redemption in whole or in part, or any defect in the notice, shall not affect the validity of the proceedings for the redemption of any other Securities of such series or any other series. In the case of any redemption of Securities prior to the expiration of any restriction on such redemption provided in the terms of such Securities or elsewhere in this Indenture, the Company shall furnish the Trustee with an Officer’s Certificate evidencing compliance with any such restriction.</w:t>
      </w:r>
    </w:p>
    <w:p>
      <w:pPr>
        <w:spacing w:after="0" w:line="131" w:lineRule="exact"/>
        <w:rPr>
          <w:sz w:val="20"/>
          <w:szCs w:val="20"/>
          <w:color w:val="auto"/>
        </w:rPr>
      </w:pPr>
    </w:p>
    <w:p>
      <w:pPr>
        <w:jc w:val="both"/>
        <w:ind w:firstLine="752"/>
        <w:spacing w:after="0" w:line="250" w:lineRule="auto"/>
        <w:rPr>
          <w:sz w:val="20"/>
          <w:szCs w:val="20"/>
          <w:color w:val="auto"/>
        </w:rPr>
      </w:pPr>
      <w:r>
        <w:rPr>
          <w:rFonts w:ascii="Times New Roman" w:cs="Times New Roman" w:eastAsia="Times New Roman" w:hAnsi="Times New Roman"/>
          <w:sz w:val="14"/>
          <w:szCs w:val="14"/>
          <w:color w:val="auto"/>
        </w:rPr>
        <w:t>Each such notice of redemption shall identify the Securities to be redeemed (including CUSIP numbers, if any), specify the date fixed for redemption and the redemption price at which Securities of that series are to be redeemed, and shall state that payment of the redemption price of such Securities to be redeemed will be made at the office or agency of the Company, upon presentation and surrender of such Securities, that interest accrued to the date fixed for redemption will be paid as specified in said notice, that from and after said date interest will cease to accrue and that the redemption is from a sinking fund, if such is the case. If less than all the Securities of a series are to be redeemed, the notice to the holders of Securities of that series to be redeemed in part shall specify the particular Securities to be so redeemed.</w:t>
      </w:r>
    </w:p>
    <w:p>
      <w:pPr>
        <w:spacing w:after="0" w:line="146" w:lineRule="exact"/>
        <w:rPr>
          <w:sz w:val="20"/>
          <w:szCs w:val="20"/>
          <w:color w:val="auto"/>
        </w:rPr>
      </w:pPr>
    </w:p>
    <w:p>
      <w:pPr>
        <w:jc w:val="both"/>
        <w:ind w:firstLine="752"/>
        <w:spacing w:after="0" w:line="266" w:lineRule="auto"/>
        <w:rPr>
          <w:sz w:val="20"/>
          <w:szCs w:val="20"/>
          <w:color w:val="auto"/>
        </w:rPr>
      </w:pPr>
      <w:r>
        <w:rPr>
          <w:rFonts w:ascii="Times New Roman" w:cs="Times New Roman" w:eastAsia="Times New Roman" w:hAnsi="Times New Roman"/>
          <w:sz w:val="14"/>
          <w:szCs w:val="14"/>
          <w:color w:val="auto"/>
        </w:rPr>
        <w:t>In case any Security is to be redeemed in part only, the notice that relates to such Security shall state the portion of the principal amount thereof to be redeemed, and shall state that on and after the redemption date, upon surrender of such Security, a new Security or Securities of such series in principal amount equal to the unredeemed portion thereof will be issued.</w:t>
      </w:r>
    </w:p>
    <w:p>
      <w:pPr>
        <w:spacing w:after="0" w:line="136" w:lineRule="exact"/>
        <w:rPr>
          <w:sz w:val="20"/>
          <w:szCs w:val="20"/>
          <w:color w:val="auto"/>
        </w:rPr>
      </w:pPr>
    </w:p>
    <w:p>
      <w:pPr>
        <w:jc w:val="both"/>
        <w:ind w:firstLine="1506"/>
        <w:spacing w:after="0" w:line="247" w:lineRule="auto"/>
        <w:tabs>
          <w:tab w:leader="none" w:pos="1706" w:val="left"/>
        </w:tabs>
        <w:numPr>
          <w:ilvl w:val="0"/>
          <w:numId w:val="3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If less than all the Securities of a series are to be redeemed, the Company shall give the Trustee at least 45 days’ notice (unless a shorter notice shall be satisfactory to the Trustee) in advance of the date fixed for redemption as to the aggregate principal amount of Securities of the series to be redeemed, and thereupon the Securities to be redeemed shall be selected, by lot, on a pro rata basis, or in such other manner as the Company shall deem appropriate and fair in its discretion and that may provide for the selection of a portion or portions (equal to one thousand U.S. dollars ($1,000) or any integral multiple thereof) of the principal amount of such Securities of a denomination larger than $1,000, the Securities to be redeemed and shall thereafter promptly notify the Company in writing of the numbers of the Securities to be redeemed, in whole or in part. The Company may, if and whenever it shall so elect, by delivery of instructions signed on its behalf by an Officer, instruct the Trustee or any paying agent to call all or any part of the Securities of a particular series for redemption and to give notice of redemption in the manner set forth in this Section, such notice to be in the name of the Company or its own name as the Trustee or such paying agent may deem advisable. In any case in which notice of redemption is to be given by the Trustee or any such paying agent, the Company shall deliver or cause to be delivered to, or permit to remain with, the Trustee or such paying agent, as the case may be, such Security Register, transfer books or other records, or suitable copies or extracts therefrom, sufficient to enable the Trustee or such paying agent to give any notice by mail that may be required under the provisions of this Section.</w:t>
      </w:r>
    </w:p>
    <w:p>
      <w:pPr>
        <w:spacing w:after="0" w:line="14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Section 3.03 Payment Upon Redemption</w:t>
      </w:r>
      <w:r>
        <w:rPr>
          <w:rFonts w:ascii="Times New Roman" w:cs="Times New Roman" w:eastAsia="Times New Roman" w:hAnsi="Times New Roman"/>
          <w:sz w:val="14"/>
          <w:szCs w:val="14"/>
          <w:color w:val="auto"/>
        </w:rPr>
        <w:t>.</w:t>
      </w:r>
    </w:p>
    <w:p>
      <w:pPr>
        <w:spacing w:after="0" w:line="171" w:lineRule="exact"/>
        <w:rPr>
          <w:sz w:val="20"/>
          <w:szCs w:val="20"/>
          <w:color w:val="auto"/>
        </w:rPr>
      </w:pPr>
    </w:p>
    <w:p>
      <w:pPr>
        <w:jc w:val="both"/>
        <w:ind w:firstLine="1506"/>
        <w:spacing w:after="0" w:line="271" w:lineRule="auto"/>
        <w:tabs>
          <w:tab w:leader="none" w:pos="1698" w:val="left"/>
        </w:tabs>
        <w:numPr>
          <w:ilvl w:val="0"/>
          <w:numId w:val="4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If the giving of notice of redemption shall have been completed as above provided, the Securities or portions of Securities of the series to be redeemed specified in such notice shall become due and payable on the date and at the place stated in such notice at the applicable redemption price, together with interest accrued to, but excluding, the date fixed for redemption and interest on such Securities or portions of Securities shall cease to accrue on and after the date fixed for redemption, unless the Company shall default in the payment of such redemption price and accrued interest with respect to any such Security or portion thereof. On presentation and surrender of such Securities on or after the date fixed for redemption at the place of payment specified in the notice, said Securities shall be paid and redeemed at the applicable redemption price for such series, together with interest accrued thereon to, but excluding, the date fixed for redemption (but if the date fixed for redemption is an Interest Payment Date, the interest installment payable on such date shall be payable to the registered holder at the close of business on the applicable record date pursuant to Section 2.03).</w:t>
      </w:r>
    </w:p>
    <w:p>
      <w:pPr>
        <w:spacing w:after="0" w:line="136" w:lineRule="exact"/>
        <w:rPr>
          <w:rFonts w:ascii="Times New Roman" w:cs="Times New Roman" w:eastAsia="Times New Roman" w:hAnsi="Times New Roman"/>
          <w:sz w:val="13"/>
          <w:szCs w:val="13"/>
          <w:b w:val="1"/>
          <w:bCs w:val="1"/>
          <w:color w:val="auto"/>
        </w:rPr>
      </w:pPr>
    </w:p>
    <w:p>
      <w:pPr>
        <w:ind w:firstLine="1506"/>
        <w:spacing w:after="0" w:line="266" w:lineRule="auto"/>
        <w:tabs>
          <w:tab w:leader="none" w:pos="1706" w:val="left"/>
        </w:tabs>
        <w:numPr>
          <w:ilvl w:val="0"/>
          <w:numId w:val="4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Upon presentation of any Security of such series that is to be redeemed in part only, the Company shall execute and the Trustee shall authenticate and the office or agency where the Security is presented shall deliver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654685</wp:posOffset>
            </wp:positionV>
            <wp:extent cx="719074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112" w:right="319" w:bottom="1440" w:gutter="0" w:footer="0" w:header="0"/>
        </w:sectPr>
      </w:pPr>
    </w:p>
    <w:bookmarkStart w:id="44" w:name="page45"/>
    <w:bookmarkEnd w:id="44"/>
    <w:p>
      <w:pPr>
        <w:jc w:val="both"/>
        <w:spacing w:after="0" w:line="266" w:lineRule="auto"/>
        <w:rPr>
          <w:sz w:val="20"/>
          <w:szCs w:val="20"/>
          <w:color w:val="auto"/>
        </w:rPr>
      </w:pPr>
      <w:r>
        <w:rPr>
          <w:rFonts w:ascii="Times New Roman" w:cs="Times New Roman" w:eastAsia="Times New Roman" w:hAnsi="Times New Roman"/>
          <w:sz w:val="14"/>
          <w:szCs w:val="14"/>
          <w:color w:val="auto"/>
        </w:rPr>
        <w:t>to the Securityholder thereof, at the expense of the Company, a new Security of the same series of authorized denominations in principal amount equal to the unredeemed portion of the Security so presented.</w:t>
      </w:r>
    </w:p>
    <w:p>
      <w:pPr>
        <w:spacing w:after="0" w:line="13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Section 3.04 Sinking Fund</w:t>
      </w:r>
      <w:r>
        <w:rPr>
          <w:rFonts w:ascii="Times New Roman" w:cs="Times New Roman" w:eastAsia="Times New Roman" w:hAnsi="Times New Roman"/>
          <w:sz w:val="14"/>
          <w:szCs w:val="14"/>
          <w:color w:val="auto"/>
        </w:rPr>
        <w:t>.</w:t>
      </w:r>
    </w:p>
    <w:p>
      <w:pPr>
        <w:spacing w:after="0" w:line="171" w:lineRule="exact"/>
        <w:rPr>
          <w:sz w:val="20"/>
          <w:szCs w:val="20"/>
          <w:color w:val="auto"/>
        </w:rPr>
      </w:pPr>
    </w:p>
    <w:p>
      <w:pPr>
        <w:jc w:val="both"/>
        <w:ind w:firstLine="752"/>
        <w:spacing w:after="0" w:line="266" w:lineRule="auto"/>
        <w:rPr>
          <w:sz w:val="20"/>
          <w:szCs w:val="20"/>
          <w:color w:val="auto"/>
        </w:rPr>
      </w:pPr>
      <w:r>
        <w:rPr>
          <w:rFonts w:ascii="Times New Roman" w:cs="Times New Roman" w:eastAsia="Times New Roman" w:hAnsi="Times New Roman"/>
          <w:sz w:val="14"/>
          <w:szCs w:val="14"/>
          <w:color w:val="auto"/>
        </w:rPr>
        <w:t>The provisions of Sections 3.04, 3.05 and 3.06 shall be applicable to any sinking fund for the retirement of Securities of a series, except as otherwise specified as contemplated by Section 2.01 for Securities of such series.</w:t>
      </w:r>
    </w:p>
    <w:p>
      <w:pPr>
        <w:spacing w:after="0" w:line="136" w:lineRule="exact"/>
        <w:rPr>
          <w:sz w:val="20"/>
          <w:szCs w:val="20"/>
          <w:color w:val="auto"/>
        </w:rPr>
      </w:pPr>
    </w:p>
    <w:p>
      <w:pPr>
        <w:jc w:val="both"/>
        <w:ind w:firstLine="752"/>
        <w:spacing w:after="0" w:line="252" w:lineRule="auto"/>
        <w:rPr>
          <w:sz w:val="20"/>
          <w:szCs w:val="20"/>
          <w:color w:val="auto"/>
        </w:rPr>
      </w:pPr>
      <w:r>
        <w:rPr>
          <w:rFonts w:ascii="Times New Roman" w:cs="Times New Roman" w:eastAsia="Times New Roman" w:hAnsi="Times New Roman"/>
          <w:sz w:val="14"/>
          <w:szCs w:val="14"/>
          <w:color w:val="auto"/>
        </w:rPr>
        <w:t>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sinking fund payment may be subject to reduction as provided in Section 3.05. Each sinking fund payment shall be applied to the redemption of Securities of any series as provided for by the terms of Securities of such series.</w:t>
      </w:r>
    </w:p>
    <w:p>
      <w:pPr>
        <w:spacing w:after="0" w:line="14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Section 3.05 Satisfaction of Sinking Fund Payments with Securities</w:t>
      </w:r>
      <w:r>
        <w:rPr>
          <w:rFonts w:ascii="Times New Roman" w:cs="Times New Roman" w:eastAsia="Times New Roman" w:hAnsi="Times New Roman"/>
          <w:sz w:val="14"/>
          <w:szCs w:val="14"/>
          <w:color w:val="auto"/>
        </w:rPr>
        <w:t>.</w:t>
      </w:r>
    </w:p>
    <w:p>
      <w:pPr>
        <w:spacing w:after="0" w:line="171" w:lineRule="exact"/>
        <w:rPr>
          <w:sz w:val="20"/>
          <w:szCs w:val="20"/>
          <w:color w:val="auto"/>
        </w:rPr>
      </w:pPr>
    </w:p>
    <w:p>
      <w:pPr>
        <w:jc w:val="both"/>
        <w:ind w:firstLine="752"/>
        <w:spacing w:after="0" w:line="250" w:lineRule="auto"/>
        <w:rPr>
          <w:sz w:val="20"/>
          <w:szCs w:val="20"/>
          <w:color w:val="auto"/>
        </w:rPr>
      </w:pPr>
      <w:r>
        <w:rPr>
          <w:rFonts w:ascii="Times New Roman" w:cs="Times New Roman" w:eastAsia="Times New Roman" w:hAnsi="Times New Roman"/>
          <w:sz w:val="14"/>
          <w:szCs w:val="14"/>
          <w:color w:val="auto"/>
        </w:rPr>
        <w:t>The Company (i) may deliver Outstanding Securities of a series and (ii) may apply as a credit Securities of a series that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as provided for by the terms of such series, provided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w:t>
      </w:r>
    </w:p>
    <w:p>
      <w:pPr>
        <w:spacing w:after="0" w:line="14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Section 3.06 Redemption of Securities for Sinking Fund</w:t>
      </w:r>
      <w:r>
        <w:rPr>
          <w:rFonts w:ascii="Times New Roman" w:cs="Times New Roman" w:eastAsia="Times New Roman" w:hAnsi="Times New Roman"/>
          <w:sz w:val="14"/>
          <w:szCs w:val="14"/>
          <w:color w:val="auto"/>
        </w:rPr>
        <w:t>.</w:t>
      </w:r>
    </w:p>
    <w:p>
      <w:pPr>
        <w:spacing w:after="0" w:line="171" w:lineRule="exact"/>
        <w:rPr>
          <w:sz w:val="20"/>
          <w:szCs w:val="20"/>
          <w:color w:val="auto"/>
        </w:rPr>
      </w:pPr>
    </w:p>
    <w:p>
      <w:pPr>
        <w:jc w:val="both"/>
        <w:ind w:firstLine="752"/>
        <w:spacing w:after="0" w:line="249" w:lineRule="auto"/>
        <w:rPr>
          <w:sz w:val="20"/>
          <w:szCs w:val="20"/>
          <w:color w:val="auto"/>
        </w:rPr>
      </w:pPr>
      <w:r>
        <w:rPr>
          <w:rFonts w:ascii="Times New Roman" w:cs="Times New Roman" w:eastAsia="Times New Roman" w:hAnsi="Times New Roman"/>
          <w:sz w:val="14"/>
          <w:szCs w:val="14"/>
          <w:color w:val="auto"/>
        </w:rPr>
        <w:t>Not less than 45 days prior to each sinking fund payment date for any series of Securities (unless a shorter period shall be satisfactory to the Trustee), the Company will deliver to the Trustee an Officer’s Certificate specifying the amount of the next ensuing sinking fund payment for that series pursuant to the terms of the series, the portion thereof, if any, that is to be satisfied by delivering and crediting Securities of that series pursuant to Section 3.05 and the basis for such credit and will, together with such Officer’s Certificate, deliver to the Trustee any Securities to be so delivered. Not less than 30 days before each such sinking fund payment date the Securities to be redeemed upon such sinking fund payment date shall be selected in the manner specified in Section 3.02 and the Company shall cause notice of the redemption thereof to be given in the name of and at the expense of the Company in the manner provided in Section 3.02. Such notice having been duly given, the redemption of such Securities shall be made upon the terms and in the manner stated in Section 3.03.</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4</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COVENANTS</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Section 4.01 Payment of Principal, Premium and Interest</w:t>
      </w:r>
      <w:r>
        <w:rPr>
          <w:rFonts w:ascii="Times New Roman" w:cs="Times New Roman" w:eastAsia="Times New Roman" w:hAnsi="Times New Roman"/>
          <w:sz w:val="14"/>
          <w:szCs w:val="14"/>
          <w:color w:val="auto"/>
        </w:rPr>
        <w:t>.</w:t>
      </w:r>
    </w:p>
    <w:p>
      <w:pPr>
        <w:spacing w:after="0" w:line="171" w:lineRule="exact"/>
        <w:rPr>
          <w:sz w:val="20"/>
          <w:szCs w:val="20"/>
          <w:color w:val="auto"/>
        </w:rPr>
      </w:pPr>
    </w:p>
    <w:p>
      <w:pPr>
        <w:jc w:val="both"/>
        <w:ind w:firstLine="752"/>
        <w:spacing w:after="0" w:line="271" w:lineRule="auto"/>
        <w:rPr>
          <w:sz w:val="20"/>
          <w:szCs w:val="20"/>
          <w:color w:val="auto"/>
        </w:rPr>
      </w:pPr>
      <w:r>
        <w:rPr>
          <w:rFonts w:ascii="Times New Roman" w:cs="Times New Roman" w:eastAsia="Times New Roman" w:hAnsi="Times New Roman"/>
          <w:sz w:val="13"/>
          <w:szCs w:val="13"/>
          <w:color w:val="auto"/>
        </w:rPr>
        <w:t>The Company will duly and punctually pay or cause to be paid the principal of (and premium, if any) and interest on the Securities of that series at the time and place and in the manner provided herein and established with respect to such Securities. Payments of principal on the Securities may be made at the time provided herein and established with respect to such Securities by U.S. dollar check drawn on and mailed to the address of the Securityholder entitled thereto as such address shall appear in the Security Register, or U.S. dollar wire transfer to, a U.S. dollar account if such Securityholder shall have furnished wire instructions to the Trustee no later than 15 days prior to the relevant payment date. Payments of interest on the Securities may be made at the time provided herein and established with respect to such Securities by U.S. dollar check mailed to the address of the Securityholder entitled thereto as such address shall appear in the Security Register, or U.S. dollar wire transfer to, a U.S. dollar account if such Securityholder shall have furnished wire instructions in writing to the Security Registrar and the Trustee no later than 15 days prior to the relevant payment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655320</wp:posOffset>
            </wp:positionV>
            <wp:extent cx="719074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112" w:right="319" w:bottom="1440" w:gutter="0" w:footer="0" w:header="0"/>
        </w:sectPr>
      </w:pPr>
    </w:p>
    <w:bookmarkStart w:id="45" w:name="page46"/>
    <w:bookmarkEnd w:id="45"/>
    <w:p>
      <w:pPr>
        <w:ind w:left="760"/>
        <w:spacing w:after="0"/>
        <w:rPr>
          <w:sz w:val="20"/>
          <w:szCs w:val="20"/>
          <w:color w:val="auto"/>
        </w:rPr>
      </w:pPr>
      <w:r>
        <w:rPr>
          <w:rFonts w:ascii="Times New Roman" w:cs="Times New Roman" w:eastAsia="Times New Roman" w:hAnsi="Times New Roman"/>
          <w:sz w:val="14"/>
          <w:szCs w:val="14"/>
          <w:b w:val="1"/>
          <w:bCs w:val="1"/>
          <w:color w:val="auto"/>
        </w:rPr>
        <w:t>Section 4.02 Maintenance of Office or Agency</w:t>
      </w:r>
      <w:r>
        <w:rPr>
          <w:rFonts w:ascii="Times New Roman" w:cs="Times New Roman" w:eastAsia="Times New Roman" w:hAnsi="Times New Roman"/>
          <w:sz w:val="14"/>
          <w:szCs w:val="14"/>
          <w:color w:val="auto"/>
        </w:rPr>
        <w:t>.</w:t>
      </w:r>
    </w:p>
    <w:p>
      <w:pPr>
        <w:spacing w:after="0" w:line="171" w:lineRule="exact"/>
        <w:rPr>
          <w:sz w:val="20"/>
          <w:szCs w:val="20"/>
          <w:color w:val="auto"/>
        </w:rPr>
      </w:pPr>
    </w:p>
    <w:p>
      <w:pPr>
        <w:jc w:val="both"/>
        <w:ind w:firstLine="752"/>
        <w:spacing w:after="0" w:line="248" w:lineRule="auto"/>
        <w:rPr>
          <w:sz w:val="20"/>
          <w:szCs w:val="20"/>
          <w:color w:val="auto"/>
        </w:rPr>
      </w:pPr>
      <w:r>
        <w:rPr>
          <w:rFonts w:ascii="Times New Roman" w:cs="Times New Roman" w:eastAsia="Times New Roman" w:hAnsi="Times New Roman"/>
          <w:sz w:val="14"/>
          <w:szCs w:val="14"/>
          <w:color w:val="auto"/>
        </w:rPr>
        <w:t>So long as any series of the Securities remain Outstanding, the Company agrees to maintain an office or agency with respect to each such series and at such other location or locations as may be designated as provided in this Section 4.02, where (i) Securities of that series may be presented for payment, (ii) Securities of that series may be presented as herein above authorized for registration of transfer and exchange, and (iii) notices and demands to or upon the Company in respect of the Securities of that series and this Indenture may be given or served, such designation to continue with respect to such office or agency until the Company shall, by written notice signed by any officer authorized to sign an Officer’s Certificate and delivered to the Trustee, designate some other office or agency for such purposes or any of them. If at any time the Company shall fail to maintain any such required office or agency or shall fail to furnish the Trustee with the address thereof, such presentations, notices and demands may be made or served at the Corporate Trust Office of the Trustee, and the Company hereby appoints the Trustee as its agent to receive all such presentations, notices and demands. The Company initially appoints the Corporate Trust Office of the Trustee as its paying agent with respect to the Securities.</w:t>
      </w:r>
    </w:p>
    <w:p>
      <w:pPr>
        <w:spacing w:after="0" w:line="1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Section 4.03 Paying Agents</w:t>
      </w:r>
      <w:r>
        <w:rPr>
          <w:rFonts w:ascii="Times New Roman" w:cs="Times New Roman" w:eastAsia="Times New Roman" w:hAnsi="Times New Roman"/>
          <w:sz w:val="14"/>
          <w:szCs w:val="14"/>
          <w:color w:val="auto"/>
        </w:rPr>
        <w:t>.</w:t>
      </w:r>
    </w:p>
    <w:p>
      <w:pPr>
        <w:spacing w:after="0" w:line="171" w:lineRule="exact"/>
        <w:rPr>
          <w:sz w:val="20"/>
          <w:szCs w:val="20"/>
          <w:color w:val="auto"/>
        </w:rPr>
      </w:pPr>
    </w:p>
    <w:p>
      <w:pPr>
        <w:ind w:firstLine="1506"/>
        <w:spacing w:after="0" w:line="266" w:lineRule="auto"/>
        <w:tabs>
          <w:tab w:leader="none" w:pos="1711" w:val="left"/>
        </w:tabs>
        <w:numPr>
          <w:ilvl w:val="1"/>
          <w:numId w:val="4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If the Company shall appoint one or more paying agents for all or any series of the Securities, other than the Trustee, the Company will cause each such paying agent to execute and deliver to the Trustee an instrument in which such agent shall agree with the Trustee, subject to the provisions of this Section:</w:t>
      </w:r>
    </w:p>
    <w:p>
      <w:pPr>
        <w:spacing w:after="0" w:line="135" w:lineRule="exact"/>
        <w:rPr>
          <w:rFonts w:ascii="Times New Roman" w:cs="Times New Roman" w:eastAsia="Times New Roman" w:hAnsi="Times New Roman"/>
          <w:sz w:val="14"/>
          <w:szCs w:val="14"/>
          <w:b w:val="1"/>
          <w:bCs w:val="1"/>
          <w:color w:val="auto"/>
        </w:rPr>
      </w:pPr>
    </w:p>
    <w:p>
      <w:pPr>
        <w:ind w:firstLine="2259"/>
        <w:spacing w:after="0" w:line="266" w:lineRule="auto"/>
        <w:tabs>
          <w:tab w:leader="none" w:pos="2450" w:val="left"/>
        </w:tabs>
        <w:numPr>
          <w:ilvl w:val="2"/>
          <w:numId w:val="4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that it will hold all sums held by it as such agent for the payment of the principal of (and premium, if any) or interest on the Securities of that series (whether such sums have been paid to it by the Company or by any other obligor of such Securities) in trust for the benefit of the Persons entitled thereto;</w:t>
      </w:r>
    </w:p>
    <w:p>
      <w:pPr>
        <w:spacing w:after="0" w:line="135" w:lineRule="exact"/>
        <w:rPr>
          <w:rFonts w:ascii="Times New Roman" w:cs="Times New Roman" w:eastAsia="Times New Roman" w:hAnsi="Times New Roman"/>
          <w:sz w:val="14"/>
          <w:szCs w:val="14"/>
          <w:b w:val="1"/>
          <w:bCs w:val="1"/>
          <w:color w:val="auto"/>
        </w:rPr>
      </w:pPr>
    </w:p>
    <w:p>
      <w:pPr>
        <w:ind w:firstLine="2259"/>
        <w:spacing w:after="0" w:line="266" w:lineRule="auto"/>
        <w:tabs>
          <w:tab w:leader="none" w:pos="2463" w:val="left"/>
        </w:tabs>
        <w:numPr>
          <w:ilvl w:val="2"/>
          <w:numId w:val="4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that it will give the Trustee notice of any failure by the Company (or by any other obligor of such Securities) to make any payment of the principal of (and premium, if any) or interest on the Securities of that series when the same shall be due and payable;</w:t>
      </w:r>
    </w:p>
    <w:p>
      <w:pPr>
        <w:spacing w:after="0" w:line="135" w:lineRule="exact"/>
        <w:rPr>
          <w:rFonts w:ascii="Times New Roman" w:cs="Times New Roman" w:eastAsia="Times New Roman" w:hAnsi="Times New Roman"/>
          <w:sz w:val="14"/>
          <w:szCs w:val="14"/>
          <w:b w:val="1"/>
          <w:bCs w:val="1"/>
          <w:color w:val="auto"/>
        </w:rPr>
      </w:pPr>
    </w:p>
    <w:p>
      <w:pPr>
        <w:ind w:firstLine="2259"/>
        <w:spacing w:after="0" w:line="266" w:lineRule="auto"/>
        <w:tabs>
          <w:tab w:leader="none" w:pos="2461" w:val="left"/>
        </w:tabs>
        <w:numPr>
          <w:ilvl w:val="2"/>
          <w:numId w:val="4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that it will, at any time during the continuance of any failure referred to in the preceding paragraph (a)(2) above, upon the written request of the Trustee, forthwith pay to the Trustee all sums so held in trust by such paying agent; and</w:t>
      </w:r>
    </w:p>
    <w:p>
      <w:pPr>
        <w:spacing w:after="0" w:line="135" w:lineRule="exact"/>
        <w:rPr>
          <w:rFonts w:ascii="Times New Roman" w:cs="Times New Roman" w:eastAsia="Times New Roman" w:hAnsi="Times New Roman"/>
          <w:sz w:val="14"/>
          <w:szCs w:val="14"/>
          <w:b w:val="1"/>
          <w:bCs w:val="1"/>
          <w:color w:val="auto"/>
        </w:rPr>
      </w:pPr>
    </w:p>
    <w:p>
      <w:pPr>
        <w:ind w:left="2460" w:hanging="201"/>
        <w:spacing w:after="0"/>
        <w:tabs>
          <w:tab w:leader="none" w:pos="2460" w:val="left"/>
        </w:tabs>
        <w:numPr>
          <w:ilvl w:val="2"/>
          <w:numId w:val="4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that it will perform all other duties of paying agent as set forth in this Indenture.</w:t>
      </w:r>
    </w:p>
    <w:p>
      <w:pPr>
        <w:spacing w:after="0" w:line="167" w:lineRule="exact"/>
        <w:rPr>
          <w:rFonts w:ascii="Times New Roman" w:cs="Times New Roman" w:eastAsia="Times New Roman" w:hAnsi="Times New Roman"/>
          <w:sz w:val="14"/>
          <w:szCs w:val="14"/>
          <w:b w:val="1"/>
          <w:bCs w:val="1"/>
          <w:color w:val="auto"/>
        </w:rPr>
      </w:pPr>
    </w:p>
    <w:p>
      <w:pPr>
        <w:jc w:val="both"/>
        <w:ind w:firstLine="1506"/>
        <w:spacing w:after="0" w:line="271" w:lineRule="auto"/>
        <w:tabs>
          <w:tab w:leader="none" w:pos="1706" w:val="left"/>
        </w:tabs>
        <w:numPr>
          <w:ilvl w:val="1"/>
          <w:numId w:val="4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If the Company shall act as its own paying agent with respect to any series of the Securities, it will on or before each due date of the principal of (and premium, if any) or interest on Securities of that series, set aside, segregate and hold in trust for the benefit of the Persons entitled thereto a sum sufficient to pay such principal (and premium, if any) or interest so becoming due on Securities of that series until such sums shall be paid to such Persons or otherwise disposed of as herein provided and will promptly notify the Trustee of such action, or any failure (by it or any other obligor on such Securities) to take such action. Whenever the Company shall have one or more paying agents for any series of Securities, it will, prior to each due date of the principal of (and premium, if any) or interest on any Securities of that series, deposit with the paying agent a sum sufficient to pay the principal (and premium, if any) or interest so becoming due, such sum to be held in trust for the benefit of the Persons entitled to such principal, premium or interest, and (unless such paying agent is the Trustee) the Company will promptly notify the Trustee of this action or failure so to act.</w:t>
      </w:r>
    </w:p>
    <w:p>
      <w:pPr>
        <w:spacing w:after="0" w:line="136" w:lineRule="exact"/>
        <w:rPr>
          <w:rFonts w:ascii="Times New Roman" w:cs="Times New Roman" w:eastAsia="Times New Roman" w:hAnsi="Times New Roman"/>
          <w:sz w:val="13"/>
          <w:szCs w:val="13"/>
          <w:b w:val="1"/>
          <w:bCs w:val="1"/>
          <w:color w:val="auto"/>
        </w:rPr>
      </w:pPr>
    </w:p>
    <w:p>
      <w:pPr>
        <w:ind w:left="1700" w:hanging="194"/>
        <w:spacing w:after="0"/>
        <w:tabs>
          <w:tab w:leader="none" w:pos="1700" w:val="left"/>
        </w:tabs>
        <w:numPr>
          <w:ilvl w:val="1"/>
          <w:numId w:val="4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Notwithstanding anything in this Section to the contrary, (i) the agreement to hold sums in trust as provided in this Section is subject to the provisions of Section 11.05, and</w:t>
      </w:r>
    </w:p>
    <w:p>
      <w:pPr>
        <w:spacing w:after="0" w:line="26" w:lineRule="exact"/>
        <w:rPr>
          <w:rFonts w:ascii="Times New Roman" w:cs="Times New Roman" w:eastAsia="Times New Roman" w:hAnsi="Times New Roman"/>
          <w:sz w:val="13"/>
          <w:szCs w:val="13"/>
          <w:b w:val="1"/>
          <w:bCs w:val="1"/>
          <w:color w:val="auto"/>
        </w:rPr>
      </w:pPr>
    </w:p>
    <w:p>
      <w:pPr>
        <w:jc w:val="both"/>
        <w:ind w:firstLine="2"/>
        <w:spacing w:after="0" w:line="247" w:lineRule="auto"/>
        <w:tabs>
          <w:tab w:leader="none" w:pos="203"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may at any time, for the purpose of obtaining the satisfaction and discharge of this Indenture or for any other purpose, pay, or direct any paying agent to pay, to the Trustee all sums held in trust by the Company or such paying agent, such sums to be held by the Trustee upon the same terms and conditions as those upon which such sums were held by the Company or such paying agent; and, upon such payment by the Company or any paying agent to the Trustee, the Company or such paying agent shall be released from all further liability with respect to such money.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766445</wp:posOffset>
            </wp:positionV>
            <wp:extent cx="719074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272" w:right="319" w:bottom="1440" w:gutter="0" w:footer="0" w:header="0"/>
        </w:sectPr>
      </w:pPr>
    </w:p>
    <w:bookmarkStart w:id="46" w:name="page47"/>
    <w:bookmarkEnd w:id="46"/>
    <w:p>
      <w:pPr>
        <w:ind w:left="760"/>
        <w:spacing w:after="0"/>
        <w:rPr>
          <w:sz w:val="20"/>
          <w:szCs w:val="20"/>
          <w:color w:val="auto"/>
        </w:rPr>
      </w:pPr>
      <w:r>
        <w:rPr>
          <w:rFonts w:ascii="Times New Roman" w:cs="Times New Roman" w:eastAsia="Times New Roman" w:hAnsi="Times New Roman"/>
          <w:sz w:val="14"/>
          <w:szCs w:val="14"/>
          <w:b w:val="1"/>
          <w:bCs w:val="1"/>
          <w:color w:val="auto"/>
        </w:rPr>
        <w:t>Section 4.04 Appointment to Fill Vacancy in Office of Trustee</w:t>
      </w:r>
      <w:r>
        <w:rPr>
          <w:rFonts w:ascii="Times New Roman" w:cs="Times New Roman" w:eastAsia="Times New Roman" w:hAnsi="Times New Roman"/>
          <w:sz w:val="14"/>
          <w:szCs w:val="14"/>
          <w:color w:val="auto"/>
        </w:rPr>
        <w:t>.</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3"/>
          <w:szCs w:val="13"/>
          <w:color w:val="auto"/>
        </w:rPr>
        <w:t>The Company, whenever necessary to avoid or fill a vacancy in the office of Trustee, will appoint, in the manner provided in Section 7.10, a Trustee, so that there shall at all times be a Trustee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hereunder.</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5</w:t>
      </w:r>
    </w:p>
    <w:p>
      <w:pPr>
        <w:spacing w:after="0" w:line="167"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4"/>
          <w:szCs w:val="14"/>
          <w:b w:val="1"/>
          <w:bCs w:val="1"/>
          <w:color w:val="auto"/>
        </w:rPr>
        <w:t>SECURITYHOLDERS’ LISTS AND REPORTS BY THE COMPANY AND THE TRUSTEE</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Section 5.01 Company to Furnish Trustee Names and Addresses of Securityholders</w:t>
      </w:r>
      <w:r>
        <w:rPr>
          <w:rFonts w:ascii="Times New Roman" w:cs="Times New Roman" w:eastAsia="Times New Roman" w:hAnsi="Times New Roman"/>
          <w:sz w:val="14"/>
          <w:szCs w:val="14"/>
          <w:color w:val="auto"/>
        </w:rPr>
        <w:t>.</w:t>
      </w:r>
    </w:p>
    <w:p>
      <w:pPr>
        <w:spacing w:after="0" w:line="171" w:lineRule="exact"/>
        <w:rPr>
          <w:sz w:val="20"/>
          <w:szCs w:val="20"/>
          <w:color w:val="auto"/>
        </w:rPr>
      </w:pPr>
    </w:p>
    <w:p>
      <w:pPr>
        <w:jc w:val="both"/>
        <w:ind w:firstLine="752"/>
        <w:spacing w:after="0" w:line="250" w:lineRule="auto"/>
        <w:rPr>
          <w:sz w:val="20"/>
          <w:szCs w:val="20"/>
          <w:color w:val="auto"/>
        </w:rPr>
      </w:pPr>
      <w:r>
        <w:rPr>
          <w:rFonts w:ascii="Times New Roman" w:cs="Times New Roman" w:eastAsia="Times New Roman" w:hAnsi="Times New Roman"/>
          <w:sz w:val="14"/>
          <w:szCs w:val="14"/>
          <w:color w:val="auto"/>
        </w:rPr>
        <w:t>The Company will furnish or cause to be furnished to the Trustee (a) within 15 days after each regular record date (as defined in Section 2.03) a list, in such form as the Trustee may reasonably require, of the names and addresses of the holders of each series of Securities as of such regular record date, provided that the Company shall not be obligated to furnish or cause to furnish such list at any time that the list shall not differ in any respect from the most recent list furnished to the Trustee by the Company and (b) at such other times as the Trustee may request in writing within 30 days after the receipt by the Company of any such request, a list of similar form and content as of a date not more than 15 days prior to the time such list is furnished; provided, however, that, in either case, no such list need be furnished for any series for which the Trustee shall be the Security Registrar.</w:t>
      </w:r>
    </w:p>
    <w:p>
      <w:pPr>
        <w:spacing w:after="0" w:line="14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Section 5.02 Preservation Of Information; Communications With Securityholders</w:t>
      </w:r>
      <w:r>
        <w:rPr>
          <w:rFonts w:ascii="Times New Roman" w:cs="Times New Roman" w:eastAsia="Times New Roman" w:hAnsi="Times New Roman"/>
          <w:sz w:val="14"/>
          <w:szCs w:val="14"/>
          <w:color w:val="auto"/>
        </w:rPr>
        <w:t>.</w:t>
      </w:r>
    </w:p>
    <w:p>
      <w:pPr>
        <w:spacing w:after="0" w:line="171" w:lineRule="exact"/>
        <w:rPr>
          <w:sz w:val="20"/>
          <w:szCs w:val="20"/>
          <w:color w:val="auto"/>
        </w:rPr>
      </w:pPr>
    </w:p>
    <w:p>
      <w:pPr>
        <w:ind w:firstLine="1506"/>
        <w:spacing w:after="0" w:line="305" w:lineRule="auto"/>
        <w:tabs>
          <w:tab w:leader="none" w:pos="1698" w:val="left"/>
        </w:tabs>
        <w:numPr>
          <w:ilvl w:val="0"/>
          <w:numId w:val="4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The Trustee shall preserve, in as current a form as is reasonably practicable, all information as to the names and addresses of the holders of Securities contained in the most recent list furnished to it as provided in Section 5.01 and as to the names and addresses of holders of Securities received by the Trustee in its capacity as Security Registrar (if acting in such capacity).</w:t>
      </w:r>
    </w:p>
    <w:p>
      <w:pPr>
        <w:spacing w:after="0" w:line="112" w:lineRule="exact"/>
        <w:rPr>
          <w:rFonts w:ascii="Times New Roman" w:cs="Times New Roman" w:eastAsia="Times New Roman" w:hAnsi="Times New Roman"/>
          <w:sz w:val="13"/>
          <w:szCs w:val="13"/>
          <w:b w:val="1"/>
          <w:bCs w:val="1"/>
          <w:color w:val="auto"/>
        </w:rPr>
      </w:pPr>
    </w:p>
    <w:p>
      <w:pPr>
        <w:ind w:left="1700" w:hanging="194"/>
        <w:spacing w:after="0"/>
        <w:tabs>
          <w:tab w:leader="none" w:pos="1700" w:val="left"/>
        </w:tabs>
        <w:numPr>
          <w:ilvl w:val="0"/>
          <w:numId w:val="4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Trustee may destroy any list furnished to it as provided in Section 5.01 upon receipt of a new list so furnished.</w:t>
      </w:r>
    </w:p>
    <w:p>
      <w:pPr>
        <w:spacing w:after="0" w:line="167" w:lineRule="exact"/>
        <w:rPr>
          <w:rFonts w:ascii="Times New Roman" w:cs="Times New Roman" w:eastAsia="Times New Roman" w:hAnsi="Times New Roman"/>
          <w:sz w:val="14"/>
          <w:szCs w:val="14"/>
          <w:b w:val="1"/>
          <w:bCs w:val="1"/>
          <w:color w:val="auto"/>
        </w:rPr>
      </w:pPr>
    </w:p>
    <w:p>
      <w:pPr>
        <w:jc w:val="both"/>
        <w:ind w:firstLine="1506"/>
        <w:spacing w:after="0" w:line="255" w:lineRule="auto"/>
        <w:tabs>
          <w:tab w:leader="none" w:pos="1700" w:val="left"/>
        </w:tabs>
        <w:numPr>
          <w:ilvl w:val="0"/>
          <w:numId w:val="4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Securityholders may communicate as provided in Section 312(b) of the Trust Indenture Act with other Securityholders with respect to their rights under this Indenture or under the Securities, and, in connection with any such communications, the Trustee shall satisfy its obligations under Section 312(b) of the Trust Indenture Act in accordance with the provisions of Section 312(b) of the Trust Indenture Act.</w:t>
      </w:r>
    </w:p>
    <w:p>
      <w:pPr>
        <w:spacing w:after="0" w:line="13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Section 5.03 Reports by the Company</w:t>
      </w:r>
      <w:r>
        <w:rPr>
          <w:rFonts w:ascii="Times New Roman" w:cs="Times New Roman" w:eastAsia="Times New Roman" w:hAnsi="Times New Roman"/>
          <w:sz w:val="14"/>
          <w:szCs w:val="14"/>
          <w:color w:val="auto"/>
        </w:rPr>
        <w:t>.</w:t>
      </w:r>
    </w:p>
    <w:p>
      <w:pPr>
        <w:spacing w:after="0" w:line="171" w:lineRule="exact"/>
        <w:rPr>
          <w:sz w:val="20"/>
          <w:szCs w:val="20"/>
          <w:color w:val="auto"/>
        </w:rPr>
      </w:pPr>
    </w:p>
    <w:p>
      <w:pPr>
        <w:jc w:val="both"/>
        <w:ind w:firstLine="1506"/>
        <w:spacing w:after="0" w:line="247" w:lineRule="auto"/>
        <w:tabs>
          <w:tab w:leader="none" w:pos="1698" w:val="left"/>
        </w:tabs>
        <w:numPr>
          <w:ilvl w:val="0"/>
          <w:numId w:val="4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Company will at all times comply with Section 314(a) of the Trust Indenture Act. The Company covenants and agrees to provide (which delivery may be via electronic mail) to the Trustee within 30 days, after the Company files the same with the Commission, copies of the annual reports and of the information, documents and other reports (or copies of such portions of any of the foregoing as the Commission may from time to time by rules and regulations prescribe) that the Company is required to file with the Commission pursuant to Section 13 or Section 15(d) of the Exchange Act; provided, however, the Company shall not be required to deliver to the Trustee any correspondence filed with the Commission or any materials for which the Company has sought and received confidential treatment by the Commission; and provided further, that so long as such filings by the Company are available on the Commission’s Electronic Data Gathering, Analysis and Retrieval System (EDGAR), or any successor system, such filings shall be deemed to have been filed with the Trustee for purposes hereof without any further action required by the Company. For the avoidance of doubt, a failure by the Company to file annual reports, information and other reports with the Commission within the time period prescribed thereof by the Commission shall not be deemed a breach of this Section 5.03.</w:t>
      </w:r>
    </w:p>
    <w:p>
      <w:pPr>
        <w:spacing w:after="0" w:line="151" w:lineRule="exact"/>
        <w:rPr>
          <w:rFonts w:ascii="Times New Roman" w:cs="Times New Roman" w:eastAsia="Times New Roman" w:hAnsi="Times New Roman"/>
          <w:sz w:val="14"/>
          <w:szCs w:val="14"/>
          <w:b w:val="1"/>
          <w:bCs w:val="1"/>
          <w:color w:val="auto"/>
        </w:rPr>
      </w:pPr>
    </w:p>
    <w:p>
      <w:pPr>
        <w:jc w:val="both"/>
        <w:ind w:firstLine="1506"/>
        <w:spacing w:after="0" w:line="255" w:lineRule="auto"/>
        <w:tabs>
          <w:tab w:leader="none" w:pos="1716" w:val="left"/>
        </w:tabs>
        <w:numPr>
          <w:ilvl w:val="0"/>
          <w:numId w:val="4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Delivery of reports, information and documents to the Trustee under Section 5.03 is for informational purposes only and the information and the Trustee’s receipt of the foregoing shall not constitute constructive notice of any information contained therein, or determinable from information contained therein including the Company’s compliance with any of their covenants thereunder (as to which the Trustee is entitled to rely exclusively on an Officer’s Certificate). The Trustee is under no duty to examine any such reports,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659765</wp:posOffset>
            </wp:positionV>
            <wp:extent cx="719074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108" w:right="319" w:bottom="1440" w:gutter="0" w:footer="0" w:header="0"/>
        </w:sectPr>
      </w:pPr>
    </w:p>
    <w:bookmarkStart w:id="47" w:name="page48"/>
    <w:bookmarkEnd w:id="47"/>
    <w:p>
      <w:pPr>
        <w:jc w:val="both"/>
        <w:spacing w:after="0" w:line="255" w:lineRule="auto"/>
        <w:rPr>
          <w:sz w:val="20"/>
          <w:szCs w:val="20"/>
          <w:color w:val="auto"/>
        </w:rPr>
      </w:pPr>
      <w:r>
        <w:rPr>
          <w:rFonts w:ascii="Times New Roman" w:cs="Times New Roman" w:eastAsia="Times New Roman" w:hAnsi="Times New Roman"/>
          <w:sz w:val="14"/>
          <w:szCs w:val="14"/>
          <w:color w:val="auto"/>
        </w:rPr>
        <w:t>or documents delivered to the Trustee or filed with the Commission via EDGAR to ensure compliance with the provision of this Indenture or to ascertain the correctness or otherwise of the information or the statements contained therein. The Trustee shall have no responsibility or duty whatsoever to ascertain or determine whether the above referenced filings with the Commission on EDGAR (or any successor system) has occurred.</w:t>
      </w:r>
    </w:p>
    <w:p>
      <w:pPr>
        <w:spacing w:after="0" w:line="13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Section 5.04 Reports by the Trustee</w:t>
      </w:r>
      <w:r>
        <w:rPr>
          <w:rFonts w:ascii="Times New Roman" w:cs="Times New Roman" w:eastAsia="Times New Roman" w:hAnsi="Times New Roman"/>
          <w:sz w:val="14"/>
          <w:szCs w:val="14"/>
          <w:color w:val="auto"/>
        </w:rPr>
        <w:t>.</w:t>
      </w:r>
    </w:p>
    <w:p>
      <w:pPr>
        <w:spacing w:after="0" w:line="171" w:lineRule="exact"/>
        <w:rPr>
          <w:sz w:val="20"/>
          <w:szCs w:val="20"/>
          <w:color w:val="auto"/>
        </w:rPr>
      </w:pPr>
    </w:p>
    <w:p>
      <w:pPr>
        <w:ind w:firstLine="1506"/>
        <w:spacing w:after="0" w:line="266" w:lineRule="auto"/>
        <w:tabs>
          <w:tab w:leader="none" w:pos="1698" w:val="left"/>
        </w:tabs>
        <w:numPr>
          <w:ilvl w:val="0"/>
          <w:numId w:val="4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If required by Section 313(a) of the Trust Indenture Act, the Trustee, within sixty (60) days after each May 1, shall send to the Securityholders a brief report dated as of such May 1, which complies with Section 313(a) of the Trust Indenture Act.</w:t>
      </w:r>
    </w:p>
    <w:p>
      <w:pPr>
        <w:spacing w:after="0" w:line="135" w:lineRule="exact"/>
        <w:rPr>
          <w:rFonts w:ascii="Times New Roman" w:cs="Times New Roman" w:eastAsia="Times New Roman" w:hAnsi="Times New Roman"/>
          <w:sz w:val="14"/>
          <w:szCs w:val="14"/>
          <w:b w:val="1"/>
          <w:bCs w:val="1"/>
          <w:color w:val="auto"/>
        </w:rPr>
      </w:pPr>
    </w:p>
    <w:p>
      <w:pPr>
        <w:ind w:left="1700" w:hanging="194"/>
        <w:spacing w:after="0"/>
        <w:tabs>
          <w:tab w:leader="none" w:pos="1700" w:val="left"/>
        </w:tabs>
        <w:numPr>
          <w:ilvl w:val="0"/>
          <w:numId w:val="4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Trustee shall comply with Section 313(b) and 313(c) of the Trust Indenture Act.</w:t>
      </w:r>
    </w:p>
    <w:p>
      <w:pPr>
        <w:spacing w:after="0" w:line="167" w:lineRule="exact"/>
        <w:rPr>
          <w:rFonts w:ascii="Times New Roman" w:cs="Times New Roman" w:eastAsia="Times New Roman" w:hAnsi="Times New Roman"/>
          <w:sz w:val="14"/>
          <w:szCs w:val="14"/>
          <w:b w:val="1"/>
          <w:bCs w:val="1"/>
          <w:color w:val="auto"/>
        </w:rPr>
      </w:pPr>
    </w:p>
    <w:p>
      <w:pPr>
        <w:ind w:firstLine="1506"/>
        <w:spacing w:after="0" w:line="266" w:lineRule="auto"/>
        <w:tabs>
          <w:tab w:leader="none" w:pos="1690" w:val="left"/>
        </w:tabs>
        <w:numPr>
          <w:ilvl w:val="0"/>
          <w:numId w:val="4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 copy of each such report shall, at the time of such transmission to Securityholders, be filed by the Trustee with the Company, with each securities exchange upon which any Securities are listed (if so listed) and also with the Commission. The Company agrees to notify the Trustee when any Securities become listed on any securities exchange.</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6</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REMEDIES OF THE TRUSTEE AND SECURITYHOLDERS ON EVENT OF DEFAULT</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Section 6.01 Events of Default</w:t>
      </w:r>
      <w:r>
        <w:rPr>
          <w:rFonts w:ascii="Times New Roman" w:cs="Times New Roman" w:eastAsia="Times New Roman" w:hAnsi="Times New Roman"/>
          <w:sz w:val="14"/>
          <w:szCs w:val="14"/>
          <w:color w:val="auto"/>
        </w:rPr>
        <w:t>.</w:t>
      </w:r>
    </w:p>
    <w:p>
      <w:pPr>
        <w:spacing w:after="0" w:line="171" w:lineRule="exact"/>
        <w:rPr>
          <w:sz w:val="20"/>
          <w:szCs w:val="20"/>
          <w:color w:val="auto"/>
        </w:rPr>
      </w:pPr>
    </w:p>
    <w:p>
      <w:pPr>
        <w:ind w:left="1700" w:hanging="194"/>
        <w:spacing w:after="0"/>
        <w:tabs>
          <w:tab w:leader="none" w:pos="1700" w:val="left"/>
        </w:tabs>
        <w:numPr>
          <w:ilvl w:val="0"/>
          <w:numId w:val="4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Whenever used herein with respect to Securities of a particular series, “Event of Default” means any one or more of the following events that has occurred and is continuing:</w:t>
      </w:r>
    </w:p>
    <w:p>
      <w:pPr>
        <w:spacing w:after="0" w:line="178" w:lineRule="exact"/>
        <w:rPr>
          <w:rFonts w:ascii="Times New Roman" w:cs="Times New Roman" w:eastAsia="Times New Roman" w:hAnsi="Times New Roman"/>
          <w:sz w:val="13"/>
          <w:szCs w:val="13"/>
          <w:b w:val="1"/>
          <w:bCs w:val="1"/>
          <w:color w:val="auto"/>
        </w:rPr>
      </w:pPr>
    </w:p>
    <w:p>
      <w:pPr>
        <w:jc w:val="both"/>
        <w:ind w:firstLine="2259"/>
        <w:spacing w:after="0" w:line="255" w:lineRule="auto"/>
        <w:tabs>
          <w:tab w:leader="none" w:pos="2450" w:val="left"/>
        </w:tabs>
        <w:numPr>
          <w:ilvl w:val="1"/>
          <w:numId w:val="4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Company defaults in the payment of any installment of interest upon any of the Securities of that series, as and when the same shall become due and payable, and such default continues for a period of 90 days; provided, however, that a valid extension of an interest payment period by the Company in accordance with the terms of any indenture supplemental hereto shall not constitute a default in the payment of interest for this purpose;</w:t>
      </w:r>
    </w:p>
    <w:p>
      <w:pPr>
        <w:spacing w:after="0" w:line="143" w:lineRule="exact"/>
        <w:rPr>
          <w:rFonts w:ascii="Times New Roman" w:cs="Times New Roman" w:eastAsia="Times New Roman" w:hAnsi="Times New Roman"/>
          <w:sz w:val="14"/>
          <w:szCs w:val="14"/>
          <w:b w:val="1"/>
          <w:bCs w:val="1"/>
          <w:color w:val="auto"/>
        </w:rPr>
      </w:pPr>
    </w:p>
    <w:p>
      <w:pPr>
        <w:jc w:val="both"/>
        <w:ind w:firstLine="2259"/>
        <w:spacing w:after="0" w:line="255" w:lineRule="auto"/>
        <w:tabs>
          <w:tab w:leader="none" w:pos="2450" w:val="left"/>
        </w:tabs>
        <w:numPr>
          <w:ilvl w:val="1"/>
          <w:numId w:val="4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Company defaults in the payment of the principal of (or premium, if any, on) any of the Securities of that series as and when the same shall become due and payable whether at maturity, upon redemption, by declaration or otherwise, or in any payment required by any sinking or analogous fund established with respect to that series; provided, however, that a valid extension of the maturity of such Securities in accordance with the terms of any indenture supplemental hereto shall not constitute a default in the payment of principal or premium, if any;</w:t>
      </w:r>
    </w:p>
    <w:p>
      <w:pPr>
        <w:spacing w:after="0" w:line="143" w:lineRule="exact"/>
        <w:rPr>
          <w:rFonts w:ascii="Times New Roman" w:cs="Times New Roman" w:eastAsia="Times New Roman" w:hAnsi="Times New Roman"/>
          <w:sz w:val="14"/>
          <w:szCs w:val="14"/>
          <w:b w:val="1"/>
          <w:bCs w:val="1"/>
          <w:color w:val="auto"/>
        </w:rPr>
      </w:pPr>
    </w:p>
    <w:p>
      <w:pPr>
        <w:jc w:val="both"/>
        <w:ind w:firstLine="2259"/>
        <w:spacing w:after="0" w:line="250" w:lineRule="auto"/>
        <w:tabs>
          <w:tab w:leader="none" w:pos="2450" w:val="left"/>
        </w:tabs>
        <w:numPr>
          <w:ilvl w:val="1"/>
          <w:numId w:val="4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Company fails to observe or perform any other of its covenants or agreements with respect to that series contained in this Indenture or otherwise established with respect to that series of Securities pursuant to Section 2.01 hereof (other than a covenant or agreement that has been expressly included in this Indenture solely for the benefit of one or more series of Securities other than such series) for a period of 90 days after the date on which written notice of such failure, requiring the same to be remedied and stating that such notice is a “Notice of Default” hereunder, shall have been given to the Company by the Trustee, by registered or certified mail, or to the Company and the Trustee by the holders of at least 25% in principal amount of the Securities of that series at the time Outstanding;</w:t>
      </w:r>
    </w:p>
    <w:p>
      <w:pPr>
        <w:spacing w:after="0" w:line="146" w:lineRule="exact"/>
        <w:rPr>
          <w:rFonts w:ascii="Times New Roman" w:cs="Times New Roman" w:eastAsia="Times New Roman" w:hAnsi="Times New Roman"/>
          <w:sz w:val="14"/>
          <w:szCs w:val="14"/>
          <w:b w:val="1"/>
          <w:bCs w:val="1"/>
          <w:color w:val="auto"/>
        </w:rPr>
      </w:pPr>
    </w:p>
    <w:p>
      <w:pPr>
        <w:ind w:firstLine="2259"/>
        <w:spacing w:after="0" w:line="266" w:lineRule="auto"/>
        <w:tabs>
          <w:tab w:leader="none" w:pos="2450" w:val="left"/>
        </w:tabs>
        <w:numPr>
          <w:ilvl w:val="1"/>
          <w:numId w:val="4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Company pursuant to or within the meaning of any Bankruptcy Law (i) commences a voluntary case, (ii) consents to the entry of an order for relief against it in an involuntary case, (iii) consents to the appointment of a Custodian of it or for all or substantially all of its property or (iv) makes a general assignment for the benefit of its creditors; or</w:t>
      </w:r>
    </w:p>
    <w:p>
      <w:pPr>
        <w:spacing w:after="0" w:line="135" w:lineRule="exact"/>
        <w:rPr>
          <w:rFonts w:ascii="Times New Roman" w:cs="Times New Roman" w:eastAsia="Times New Roman" w:hAnsi="Times New Roman"/>
          <w:sz w:val="14"/>
          <w:szCs w:val="14"/>
          <w:b w:val="1"/>
          <w:bCs w:val="1"/>
          <w:color w:val="auto"/>
        </w:rPr>
      </w:pPr>
    </w:p>
    <w:p>
      <w:pPr>
        <w:ind w:firstLine="2259"/>
        <w:spacing w:after="0" w:line="266" w:lineRule="auto"/>
        <w:tabs>
          <w:tab w:leader="none" w:pos="2461" w:val="left"/>
        </w:tabs>
        <w:numPr>
          <w:ilvl w:val="1"/>
          <w:numId w:val="4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 court of competent jurisdiction enters an order under any Bankruptcy Law that (i) is for relief against the Company in an involuntary case, (ii) appoints a Custodian of the Company for all or substantially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654685</wp:posOffset>
            </wp:positionV>
            <wp:extent cx="719074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112" w:right="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color w:val="auto"/>
        </w:rPr>
        <w:t>all of its property or (iii) orders the liquidation of the Company, and the order or decree remains unstayed and in effect for 90 days.</w:t>
      </w:r>
    </w:p>
    <w:p>
      <w:pPr>
        <w:spacing w:after="0" w:line="167" w:lineRule="exact"/>
        <w:rPr>
          <w:sz w:val="20"/>
          <w:szCs w:val="20"/>
          <w:color w:val="auto"/>
        </w:rPr>
      </w:pPr>
    </w:p>
    <w:p>
      <w:pPr>
        <w:jc w:val="both"/>
        <w:ind w:firstLine="1506"/>
        <w:spacing w:after="0" w:line="249" w:lineRule="auto"/>
        <w:tabs>
          <w:tab w:leader="none" w:pos="1716" w:val="left"/>
        </w:tabs>
        <w:numPr>
          <w:ilvl w:val="0"/>
          <w:numId w:val="4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 each and every such case (other than an Event of Default specified in clause (4) or clause (5) above), unless the principal of all the Securities of that series shall have already become due and payable, either the Trustee or the holders of not less than 25% in aggregate principal amount of the Securities of that series then Outstanding hereunder, by notice in writing to the Company (and to the Trustee if given by such Securityholders), may declare the principal of (and premium, if any, on) and accrued and unpaid interest on all the Securities of that series to be due and payable immediately, and upon any such declaration the same shall become and shall be immediately due and payable. If an Event of Default specified in clause (4) or clause (5) above occurs, the principal of and accrued and unpaid interest on all the Securities of that series shall automatically be immediately due and payable without any declaration or other act on the part of the Trustee or the holders of the Securities.</w:t>
      </w:r>
    </w:p>
    <w:p>
      <w:pPr>
        <w:spacing w:after="0" w:line="146" w:lineRule="exact"/>
        <w:rPr>
          <w:rFonts w:ascii="Times New Roman" w:cs="Times New Roman" w:eastAsia="Times New Roman" w:hAnsi="Times New Roman"/>
          <w:sz w:val="14"/>
          <w:szCs w:val="14"/>
          <w:b w:val="1"/>
          <w:bCs w:val="1"/>
          <w:color w:val="auto"/>
        </w:rPr>
      </w:pPr>
    </w:p>
    <w:p>
      <w:pPr>
        <w:jc w:val="both"/>
        <w:ind w:firstLine="1506"/>
        <w:spacing w:after="0" w:line="247" w:lineRule="auto"/>
        <w:tabs>
          <w:tab w:leader="none" w:pos="1690" w:val="left"/>
        </w:tabs>
        <w:numPr>
          <w:ilvl w:val="0"/>
          <w:numId w:val="4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At any time after the principal of (and premium, if any, on) and accrued and unpaid interest on the Securities of that series shall have been so declared due and payable, and before any judgment or decree for the payment of the moneys due shall have been obtained or entered as hereinafter provided, the holders of a majority in aggregate principal amount of the Securities of that series then Outstanding hereunder, by written notice to the Company and the Trustee, may rescind and annul such declaration and its consequences if: (i) the Company has paid or deposited with the Trustee a sum sufficient to pay all matured installments of interest upon all the Securities of that series and the principal of (and premium, if any, on) any and all Securities of that series that shall have become due otherwise than by acceleration (with interest upon such principal and premium, if any, and, to the extent that such payment is enforceable under applicable law, upon overdue installments of interest, at the rate per annum expressed in the Securities of that series to the date of such payment or deposit) and the amount payable to the Trustee under Section 7.06, and (ii) any and all Events of Default under the Indenture with respect to such series, other than the nonpayment of principal on (and premium, if any, on) and accrued and unpaid interest on Securities of that series that shall not have become due by their terms, shall have been remedied or waived as provided in Section 6.06.</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No such rescission and annulment shall extend to or shall affect any subsequent default or impair any right consequent thereon.</w:t>
      </w:r>
    </w:p>
    <w:p>
      <w:pPr>
        <w:spacing w:after="0" w:line="167" w:lineRule="exact"/>
        <w:rPr>
          <w:sz w:val="20"/>
          <w:szCs w:val="20"/>
          <w:color w:val="auto"/>
        </w:rPr>
      </w:pPr>
    </w:p>
    <w:p>
      <w:pPr>
        <w:jc w:val="both"/>
        <w:ind w:firstLine="1506"/>
        <w:spacing w:after="0" w:line="252" w:lineRule="auto"/>
        <w:tabs>
          <w:tab w:leader="none" w:pos="1706" w:val="left"/>
        </w:tabs>
        <w:numPr>
          <w:ilvl w:val="0"/>
          <w:numId w:val="4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 case the Trustee shall have proceeded to enforce any right with respect to Securities of that series under this Indenture and such proceedings shall have been discontinued or abandoned because of such rescission or annulment or for any other reason or shall have been determined adversely to the Trustee, then and in every such case, subject to any determination in such proceedings, the Company and the Trustee shall be restored respectively to their former positions and rights hereunder, and all rights, remedies and powers of the Company and the Trustee shall continue as though no such proceedings had been taken.</w:t>
      </w:r>
    </w:p>
    <w:p>
      <w:pPr>
        <w:spacing w:after="0" w:line="14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Section 6.02 Collection of Indebtedness and Suits for Enforcement by Trustee</w:t>
      </w:r>
      <w:r>
        <w:rPr>
          <w:rFonts w:ascii="Times New Roman" w:cs="Times New Roman" w:eastAsia="Times New Roman" w:hAnsi="Times New Roman"/>
          <w:sz w:val="14"/>
          <w:szCs w:val="14"/>
          <w:color w:val="auto"/>
        </w:rPr>
        <w:t>.</w:t>
      </w:r>
    </w:p>
    <w:p>
      <w:pPr>
        <w:spacing w:after="0" w:line="171" w:lineRule="exact"/>
        <w:rPr>
          <w:sz w:val="20"/>
          <w:szCs w:val="20"/>
          <w:color w:val="auto"/>
        </w:rPr>
      </w:pPr>
    </w:p>
    <w:p>
      <w:pPr>
        <w:jc w:val="both"/>
        <w:ind w:firstLine="1506"/>
        <w:spacing w:after="0" w:line="248" w:lineRule="auto"/>
        <w:tabs>
          <w:tab w:leader="none" w:pos="1698" w:val="left"/>
        </w:tabs>
        <w:numPr>
          <w:ilvl w:val="0"/>
          <w:numId w:val="4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Company covenants that (i) in case it shall default in the payment of any installment of interest on any of the Securities of a series, or in any payment required by any sinking or analogous fund established with respect to that series as and when the same shall have become due and payable, and such default shall have continued for a period of 90 days, or (ii) in case it shall default in the payment of the principal of (or premium, if any, on) any of the Securities of a series when the same shall have become due and payable, whether upon maturity of the Securities of a series or upon redemption or upon declaration or otherwise then, upon demand of the Trustee, the Company will pay to the Trustee, for the benefit of the holders of the Securities of that series, the whole amount that then shall have been become due and payable on all such Securities for principal (and premium, if any) or interest, or both, as the case may be, with interest upon the overdue principal (and premium, if any) and (to the extent that payment of such interest is enforceable under applicable law) upon overdue installments of interest at the rate per annum expressed in the Securities of that series; and, in addition thereto, such further amount as shall be sufficient to cover the costs and expenses of collection, and the amount payable to the Trustee under Section 7.06.</w:t>
      </w:r>
    </w:p>
    <w:p>
      <w:pPr>
        <w:spacing w:after="0" w:line="148" w:lineRule="exact"/>
        <w:rPr>
          <w:rFonts w:ascii="Times New Roman" w:cs="Times New Roman" w:eastAsia="Times New Roman" w:hAnsi="Times New Roman"/>
          <w:sz w:val="14"/>
          <w:szCs w:val="14"/>
          <w:b w:val="1"/>
          <w:bCs w:val="1"/>
          <w:color w:val="auto"/>
        </w:rPr>
      </w:pPr>
    </w:p>
    <w:p>
      <w:pPr>
        <w:jc w:val="both"/>
        <w:ind w:firstLine="1506"/>
        <w:spacing w:after="0" w:line="255" w:lineRule="auto"/>
        <w:tabs>
          <w:tab w:leader="none" w:pos="1707" w:val="left"/>
        </w:tabs>
        <w:numPr>
          <w:ilvl w:val="0"/>
          <w:numId w:val="4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If the Company shall fail to pay such amounts forthwith upon such demand, the Trustee, in its own name and as trustee of an express trust, shall be entitled and empowered to institute any action or proceedings at law or in equity for the collection of the sums so due and unpaid, and may prosecute any such action or proceeding to judgment or final decree, and may enforce any such judgment or final decree against the Company or other obligor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659765</wp:posOffset>
            </wp:positionV>
            <wp:extent cx="719074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112" w:right="319" w:bottom="1440" w:gutter="0" w:footer="0" w:header="0"/>
        </w:sectPr>
      </w:pPr>
    </w:p>
    <w:bookmarkStart w:id="49" w:name="page50"/>
    <w:bookmarkEnd w:id="49"/>
    <w:p>
      <w:pPr>
        <w:spacing w:after="0" w:line="266" w:lineRule="auto"/>
        <w:rPr>
          <w:sz w:val="20"/>
          <w:szCs w:val="20"/>
          <w:color w:val="auto"/>
        </w:rPr>
      </w:pPr>
      <w:r>
        <w:rPr>
          <w:rFonts w:ascii="Times New Roman" w:cs="Times New Roman" w:eastAsia="Times New Roman" w:hAnsi="Times New Roman"/>
          <w:sz w:val="14"/>
          <w:szCs w:val="14"/>
          <w:color w:val="auto"/>
        </w:rPr>
        <w:t>upon the Securities of that series and collect the moneys adjudged or decreed to be payable in the manner provided by law or equity out of the property of the Company or other obligor upon the Securities of that series, wherever situated.</w:t>
      </w:r>
    </w:p>
    <w:p>
      <w:pPr>
        <w:spacing w:after="0" w:line="136" w:lineRule="exact"/>
        <w:rPr>
          <w:sz w:val="20"/>
          <w:szCs w:val="20"/>
          <w:color w:val="auto"/>
        </w:rPr>
      </w:pPr>
    </w:p>
    <w:p>
      <w:pPr>
        <w:jc w:val="both"/>
        <w:ind w:firstLine="1506"/>
        <w:spacing w:after="0" w:line="248" w:lineRule="auto"/>
        <w:tabs>
          <w:tab w:leader="none" w:pos="1694" w:val="left"/>
        </w:tabs>
        <w:numPr>
          <w:ilvl w:val="0"/>
          <w:numId w:val="5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 case of any receivership, insolvency, liquidation, bankruptcy, reorganization, readjustment, arrangement, composition or judicial proceedings affecting the Company, or its creditors or property, the Trustee shall have power to intervene in such proceedings and take any action therein that may be permitted by the court and shall (except as may be otherwise provided by law) be entitled to file such proofs of claim and other papers and documents as may be necessary or advisable in order to have the claims of the Trustee and of the holders of Securities of such series allowed for the entire amount due and payable by the Company under the Indenture at the date of institution of such proceedings and for any additional amount that may become due and payable by the Company after such date, and to collect and receive any moneys or other property payable or deliverable on any such claim, and to distribute the same after the deduction of the amount payable to the Trustee under Section 7.06; and any receiver, assignee or trustee in bankruptcy or reorganization is hereby authorized by each of the holders of Securities of such series to make such payments to the Trustee, and, in the event that the Trustee shall consent to the making of such payments directly to such Securityholders, to pay to the Trustee any amount due it under Section 7.06.</w:t>
      </w:r>
    </w:p>
    <w:p>
      <w:pPr>
        <w:spacing w:after="0" w:line="148" w:lineRule="exact"/>
        <w:rPr>
          <w:rFonts w:ascii="Times New Roman" w:cs="Times New Roman" w:eastAsia="Times New Roman" w:hAnsi="Times New Roman"/>
          <w:sz w:val="14"/>
          <w:szCs w:val="14"/>
          <w:b w:val="1"/>
          <w:bCs w:val="1"/>
          <w:color w:val="auto"/>
        </w:rPr>
      </w:pPr>
    </w:p>
    <w:p>
      <w:pPr>
        <w:jc w:val="both"/>
        <w:ind w:firstLine="1506"/>
        <w:spacing w:after="0" w:line="252" w:lineRule="auto"/>
        <w:tabs>
          <w:tab w:leader="none" w:pos="1706" w:val="left"/>
        </w:tabs>
        <w:numPr>
          <w:ilvl w:val="0"/>
          <w:numId w:val="5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All rights of action and of asserting claims under this Indenture, or under any of the terms established with respect to Securities of that series, may be enforced by the Trustee without the possession of any of such Securities, or the production thereof at any trial or other proceeding relative thereto, and any such suit or proceeding instituted by the Trustee shall be brought in its own name as trustee of an express trust, and any recovery of judgment shall, after provision for payment to the Trustee of any amounts due under Section 7.06, be for the ratable benefit of the holders of the Securities of such series.</w:t>
      </w:r>
    </w:p>
    <w:p>
      <w:pPr>
        <w:spacing w:after="0" w:line="145" w:lineRule="exact"/>
        <w:rPr>
          <w:sz w:val="20"/>
          <w:szCs w:val="20"/>
          <w:color w:val="auto"/>
        </w:rPr>
      </w:pPr>
    </w:p>
    <w:p>
      <w:pPr>
        <w:jc w:val="both"/>
        <w:ind w:firstLine="752"/>
        <w:spacing w:after="0" w:line="255" w:lineRule="auto"/>
        <w:rPr>
          <w:sz w:val="20"/>
          <w:szCs w:val="20"/>
          <w:color w:val="auto"/>
        </w:rPr>
      </w:pPr>
      <w:r>
        <w:rPr>
          <w:rFonts w:ascii="Times New Roman" w:cs="Times New Roman" w:eastAsia="Times New Roman" w:hAnsi="Times New Roman"/>
          <w:sz w:val="14"/>
          <w:szCs w:val="14"/>
          <w:color w:val="auto"/>
        </w:rPr>
        <w:t>In case of an Event of Default hereunder, the Trustee may in its discretion proceed to protect and enforce the rights vested in it by this Indenture by such appropriate judicial proceedings as the Trustee shall deem most effectual to protect and enforce any of such rights, either at law or in equity or in bankruptcy or otherwise, whether for the specific enforcement of any covenant or agreement contained in the Indenture or in aid of the exercise of any power granted in this Indenture, or to enforce any other legal or equitable right vested in the Trustee by this Indenture or by law.</w:t>
      </w:r>
    </w:p>
    <w:p>
      <w:pPr>
        <w:spacing w:after="0" w:line="143" w:lineRule="exact"/>
        <w:rPr>
          <w:sz w:val="20"/>
          <w:szCs w:val="20"/>
          <w:color w:val="auto"/>
        </w:rPr>
      </w:pPr>
    </w:p>
    <w:p>
      <w:pPr>
        <w:jc w:val="both"/>
        <w:ind w:firstLine="752"/>
        <w:spacing w:after="0" w:line="255" w:lineRule="auto"/>
        <w:rPr>
          <w:sz w:val="20"/>
          <w:szCs w:val="20"/>
          <w:color w:val="auto"/>
        </w:rPr>
      </w:pPr>
      <w:r>
        <w:rPr>
          <w:rFonts w:ascii="Times New Roman" w:cs="Times New Roman" w:eastAsia="Times New Roman" w:hAnsi="Times New Roman"/>
          <w:sz w:val="14"/>
          <w:szCs w:val="14"/>
          <w:color w:val="auto"/>
        </w:rPr>
        <w:t>Nothing contained herein shall be deemed to authorize the Trustee to authorize or consent to or accept or adopt on behalf of any Securityholder any plan of reorganization, arrangement, adjustment or composition affecting the Securities of that series or the rights of any Securityholder thereof or to authorize the Trustee to vote in respect of the claim of any Securityholder in any such proceeding.</w:t>
      </w:r>
    </w:p>
    <w:p>
      <w:pPr>
        <w:spacing w:after="0" w:line="13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Section 6.03 Application of Moneys Collected</w:t>
      </w:r>
      <w:r>
        <w:rPr>
          <w:rFonts w:ascii="Times New Roman" w:cs="Times New Roman" w:eastAsia="Times New Roman" w:hAnsi="Times New Roman"/>
          <w:sz w:val="14"/>
          <w:szCs w:val="14"/>
          <w:color w:val="auto"/>
        </w:rPr>
        <w:t>.</w:t>
      </w:r>
    </w:p>
    <w:p>
      <w:pPr>
        <w:spacing w:after="0" w:line="171" w:lineRule="exact"/>
        <w:rPr>
          <w:sz w:val="20"/>
          <w:szCs w:val="20"/>
          <w:color w:val="auto"/>
        </w:rPr>
      </w:pPr>
    </w:p>
    <w:p>
      <w:pPr>
        <w:jc w:val="both"/>
        <w:ind w:firstLine="752"/>
        <w:spacing w:after="0" w:line="255" w:lineRule="auto"/>
        <w:rPr>
          <w:sz w:val="20"/>
          <w:szCs w:val="20"/>
          <w:color w:val="auto"/>
        </w:rPr>
      </w:pPr>
      <w:r>
        <w:rPr>
          <w:rFonts w:ascii="Times New Roman" w:cs="Times New Roman" w:eastAsia="Times New Roman" w:hAnsi="Times New Roman"/>
          <w:sz w:val="14"/>
          <w:szCs w:val="14"/>
          <w:color w:val="auto"/>
        </w:rPr>
        <w:t>Any moneys collected by the Trustee pursuant to this Article with respect to a particular series of Securities shall be applied in the following order, at the date or dates fixed by the Trustee and, in case of the distribution of such moneys on account of principal (or premium, if any) or interest, upon presentation of the Securities of that series, and notation thereon of the payment, if only partially paid, and upon surrender thereof if fully paid:</w:t>
      </w:r>
    </w:p>
    <w:p>
      <w:pPr>
        <w:spacing w:after="0" w:line="14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FIRST: To the payment of costs and expenses of collection and of all amounts payable to the Trustee under Section 7.06;</w:t>
      </w:r>
    </w:p>
    <w:p>
      <w:pPr>
        <w:spacing w:after="0" w:line="167" w:lineRule="exact"/>
        <w:rPr>
          <w:sz w:val="20"/>
          <w:szCs w:val="20"/>
          <w:color w:val="auto"/>
        </w:rPr>
      </w:pPr>
    </w:p>
    <w:p>
      <w:pPr>
        <w:jc w:val="both"/>
        <w:ind w:firstLine="752"/>
        <w:spacing w:after="0" w:line="255" w:lineRule="auto"/>
        <w:rPr>
          <w:sz w:val="20"/>
          <w:szCs w:val="20"/>
          <w:color w:val="auto"/>
        </w:rPr>
      </w:pPr>
      <w:r>
        <w:rPr>
          <w:rFonts w:ascii="Times New Roman" w:cs="Times New Roman" w:eastAsia="Times New Roman" w:hAnsi="Times New Roman"/>
          <w:sz w:val="14"/>
          <w:szCs w:val="14"/>
          <w:color w:val="auto"/>
        </w:rPr>
        <w:t>SECOND: To the payment of the amounts then due and unpaid upon Securities of such series for principal (and premium, if any) and interest, in respect of which or for the benefit of which such money has been collected, ratably, without preference or priority of any kind, according to the amounts due and payable on such Securities for principal (and premium, if any) and interest, respectively; and</w:t>
      </w:r>
    </w:p>
    <w:p>
      <w:pPr>
        <w:spacing w:after="0" w:line="14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THIRD: To the payment of the remainder, if any, to the Company or any other Person lawfully entitled thereto.</w:t>
      </w:r>
    </w:p>
    <w:p>
      <w:pPr>
        <w:spacing w:after="0" w:line="16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Section 6.04 Limitation on Suits</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781685</wp:posOffset>
            </wp:positionV>
            <wp:extent cx="719074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112" w:right="319" w:bottom="1440" w:gutter="0" w:footer="0" w:header="0"/>
        </w:sectPr>
      </w:pPr>
    </w:p>
    <w:bookmarkStart w:id="50" w:name="page51"/>
    <w:bookmarkEnd w:id="50"/>
    <w:p>
      <w:pPr>
        <w:jc w:val="both"/>
        <w:ind w:firstLine="752"/>
        <w:spacing w:after="0" w:line="267" w:lineRule="auto"/>
        <w:rPr>
          <w:sz w:val="20"/>
          <w:szCs w:val="20"/>
          <w:color w:val="auto"/>
        </w:rPr>
      </w:pPr>
      <w:r>
        <w:rPr>
          <w:rFonts w:ascii="Times New Roman" w:cs="Times New Roman" w:eastAsia="Times New Roman" w:hAnsi="Times New Roman"/>
          <w:sz w:val="13"/>
          <w:szCs w:val="13"/>
          <w:color w:val="auto"/>
        </w:rPr>
        <w:t>No holder of any Security of any series shall have any right by virtue or by availing of any provision of this Indenture to institute any suit, action or proceeding in equity or at law upon or under or with respect to this Indenture or for the appointment of a receiver or trustee, or for any other remedy hereunder, unless (i) such Securityholder previously shall have given to the Trustee written notice of an Event of Default and of the continuance thereof with respect to the Securities of such series specifying such Event of Default, as hereinbefore provided; (ii) the holders of not less than 25% in aggregate principal amount of the Securities of such series then Outstanding shall have made written request upon the Trustee to institute such action, suit or proceeding in its own name as Trustee hereunder; (iii) such Securityholder or Securityholders shall have offered to the Trustee indemnity satisfactory to it against the costs, expenses and liabilities to be incurred in compliance with such request;</w:t>
      </w:r>
    </w:p>
    <w:p>
      <w:pPr>
        <w:spacing w:after="0" w:line="1" w:lineRule="exact"/>
        <w:rPr>
          <w:sz w:val="20"/>
          <w:szCs w:val="20"/>
          <w:color w:val="auto"/>
        </w:rPr>
      </w:pPr>
    </w:p>
    <w:p>
      <w:pPr>
        <w:ind w:firstLine="2"/>
        <w:spacing w:after="0" w:line="249" w:lineRule="auto"/>
        <w:tabs>
          <w:tab w:leader="none" w:pos="234"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for 90 days after its receipt of such notice, request and offer of indemnity, shall have failed to institute any such action, suit or proceeding and (v) during such 90 day period, the holders of a majority in principal amount of the Securities of that series do not give the Trustee a direction inconsistent with the request.</w:t>
      </w:r>
    </w:p>
    <w:p>
      <w:pPr>
        <w:spacing w:after="0" w:line="147" w:lineRule="exact"/>
        <w:rPr>
          <w:sz w:val="20"/>
          <w:szCs w:val="20"/>
          <w:color w:val="auto"/>
        </w:rPr>
      </w:pPr>
    </w:p>
    <w:p>
      <w:pPr>
        <w:jc w:val="both"/>
        <w:ind w:firstLine="752"/>
        <w:spacing w:after="0" w:line="247" w:lineRule="auto"/>
        <w:rPr>
          <w:sz w:val="20"/>
          <w:szCs w:val="20"/>
          <w:color w:val="auto"/>
        </w:rPr>
      </w:pPr>
      <w:r>
        <w:rPr>
          <w:rFonts w:ascii="Times New Roman" w:cs="Times New Roman" w:eastAsia="Times New Roman" w:hAnsi="Times New Roman"/>
          <w:sz w:val="14"/>
          <w:szCs w:val="14"/>
          <w:color w:val="auto"/>
        </w:rPr>
        <w:t>Notwithstanding anything contained herein to the contrary or any other provisions of this Indenture, the right of any holder of any Security to receive payment of the principal of (and premium, if any) and interest on such Security, as therein provided, on or after the respective due dates expressed in such Security (or in the case of redemption, on the redemption date), or to institute suit for the enforcement of any such payment on or after such respective dates or redemption date, shall not be impaired or affected without the consent of such holder and by accepting a Security hereunder it is expressly understood, intended and covenanted by the taker and holder of every Security of such series with every other such taker and holder and the Trustee, that no one or more holders of Securities of such series shall have any right in any manner whatsoever by virtue or by availing of any provision of this Indenture to affect, disturb or prejudice the rights of the holders of any other of such Securities, or to obtain or seek to obtain priority over or preference to any other such holder, or to enforce any right under this Indenture, except in the manner herein provided and for the equal, ratable and common benefit of all holders of Securities of such series. For the protection and enforcement of the provisions of this Section, each and every Securityholder and the Trustee shall be entitled to such relief as can be given either at law or in equity.</w:t>
      </w:r>
    </w:p>
    <w:p>
      <w:pPr>
        <w:spacing w:after="0" w:line="14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Section 6.05 Rights and Remedies Cumulative; Delay or Omission Not Waiver</w:t>
      </w:r>
      <w:r>
        <w:rPr>
          <w:rFonts w:ascii="Times New Roman" w:cs="Times New Roman" w:eastAsia="Times New Roman" w:hAnsi="Times New Roman"/>
          <w:sz w:val="14"/>
          <w:szCs w:val="14"/>
          <w:color w:val="auto"/>
        </w:rPr>
        <w:t>.</w:t>
      </w:r>
    </w:p>
    <w:p>
      <w:pPr>
        <w:spacing w:after="0" w:line="171" w:lineRule="exact"/>
        <w:rPr>
          <w:sz w:val="20"/>
          <w:szCs w:val="20"/>
          <w:color w:val="auto"/>
        </w:rPr>
      </w:pPr>
    </w:p>
    <w:p>
      <w:pPr>
        <w:jc w:val="both"/>
        <w:ind w:firstLine="1506"/>
        <w:spacing w:after="0" w:line="255" w:lineRule="auto"/>
        <w:tabs>
          <w:tab w:leader="none" w:pos="1698" w:val="left"/>
        </w:tabs>
        <w:numPr>
          <w:ilvl w:val="0"/>
          <w:numId w:val="5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Except as otherwise provided in Section 2.07, all powers and remedies given by this Article to the Trustee or to the Securityholders shall, to the extent permitted by law, be deemed cumulative and not exclusive of any other powers and remedies available to the Trustee or the holders of the Securities, by judicial proceedings or otherwise, to enforce the performance or observance of the covenants and agreements contained in this Indenture or otherwise established with respect to such Securities.</w:t>
      </w:r>
    </w:p>
    <w:p>
      <w:pPr>
        <w:spacing w:after="0" w:line="143" w:lineRule="exact"/>
        <w:rPr>
          <w:rFonts w:ascii="Times New Roman" w:cs="Times New Roman" w:eastAsia="Times New Roman" w:hAnsi="Times New Roman"/>
          <w:sz w:val="14"/>
          <w:szCs w:val="14"/>
          <w:b w:val="1"/>
          <w:bCs w:val="1"/>
          <w:color w:val="auto"/>
        </w:rPr>
      </w:pPr>
    </w:p>
    <w:p>
      <w:pPr>
        <w:jc w:val="both"/>
        <w:ind w:firstLine="1506"/>
        <w:spacing w:after="0" w:line="255" w:lineRule="auto"/>
        <w:tabs>
          <w:tab w:leader="none" w:pos="1706" w:val="left"/>
        </w:tabs>
        <w:numPr>
          <w:ilvl w:val="0"/>
          <w:numId w:val="5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No delay or omission of the Trustee or of any holder of any of the Securities to exercise any right or power accruing upon any Event of Default occurring and continuing as aforesaid shall impair any such right or power, or shall be construed to be a waiver of any such default or an acquiescence therein; and, subject to the provisions of Section 6.04, every power and remedy given by this Article or by law to the Trustee or the Securityholders may be exercised from time to time, and as often as shall be deemed expedient, by the Trustee or by the Securityholders.</w:t>
      </w:r>
    </w:p>
    <w:p>
      <w:pPr>
        <w:spacing w:after="0" w:line="13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Section 6.06 Control by Securityholders</w:t>
      </w:r>
      <w:r>
        <w:rPr>
          <w:rFonts w:ascii="Times New Roman" w:cs="Times New Roman" w:eastAsia="Times New Roman" w:hAnsi="Times New Roman"/>
          <w:sz w:val="14"/>
          <w:szCs w:val="14"/>
          <w:color w:val="auto"/>
        </w:rPr>
        <w:t>.</w:t>
      </w:r>
    </w:p>
    <w:p>
      <w:pPr>
        <w:spacing w:after="0" w:line="171" w:lineRule="exact"/>
        <w:rPr>
          <w:sz w:val="20"/>
          <w:szCs w:val="20"/>
          <w:color w:val="auto"/>
        </w:rPr>
      </w:pPr>
    </w:p>
    <w:p>
      <w:pPr>
        <w:jc w:val="both"/>
        <w:ind w:firstLine="752"/>
        <w:spacing w:after="0" w:line="270" w:lineRule="auto"/>
        <w:rPr>
          <w:sz w:val="20"/>
          <w:szCs w:val="20"/>
          <w:color w:val="auto"/>
        </w:rPr>
      </w:pPr>
      <w:r>
        <w:rPr>
          <w:rFonts w:ascii="Times New Roman" w:cs="Times New Roman" w:eastAsia="Times New Roman" w:hAnsi="Times New Roman"/>
          <w:sz w:val="13"/>
          <w:szCs w:val="13"/>
          <w:color w:val="auto"/>
        </w:rPr>
        <w:t>The holders of a majority in aggregate principal amount of the Securities of any series at the time Outstanding, determined in accordance with Section 8.04, shall have the right to direct the time, method and place of conducting any proceeding for any remedy available to the Trustee, or exercising any trust or power conferred on the Trustee with respect to such series; provided, however, that such direction shall not be in conflict with any rule of law or with this Indenture or subject the Trustee in its sole discretion to personal liability. Subject to the provisions of Section 7.01, the Trustee shall have the right to decline to follow any such direction if the Trustee in good faith shall, by a Responsible Officer or officers of the Trustee, determine that the proceeding so directed, subject to the Trustee’s duties under the Trust Indenture Act, would involve the Trustee in personal liability or might be unduly prejudicial to the Securityholders not involved in the proceeding. The holders of a majority in aggregate principal amount of the Securities of any series at the time Outstanding affected thereby, determined in accordance with Section 8.04, may on behalf of the holders of all of the Securities of such series waive any past default in the performance of any of the covenants contained herein or established pursuant to Section 2.01 with respect to such series and its consequences,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654685</wp:posOffset>
            </wp:positionV>
            <wp:extent cx="719074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112" w:right="319" w:bottom="1440" w:gutter="0" w:footer="0" w:header="0"/>
        </w:sectPr>
      </w:pPr>
    </w:p>
    <w:bookmarkStart w:id="51" w:name="page52"/>
    <w:bookmarkEnd w:id="51"/>
    <w:p>
      <w:pPr>
        <w:jc w:val="both"/>
        <w:spacing w:after="0" w:line="277" w:lineRule="auto"/>
        <w:rPr>
          <w:sz w:val="20"/>
          <w:szCs w:val="20"/>
          <w:color w:val="auto"/>
        </w:rPr>
      </w:pPr>
      <w:r>
        <w:rPr>
          <w:rFonts w:ascii="Times New Roman" w:cs="Times New Roman" w:eastAsia="Times New Roman" w:hAnsi="Times New Roman"/>
          <w:sz w:val="13"/>
          <w:szCs w:val="13"/>
          <w:color w:val="auto"/>
        </w:rPr>
        <w:t>except a default in the payment of the principal of, or premium, if any, or interest on, any of the Securities of that series as and when the same shall become due by the terms of such Securities otherwise than by acceleration (unless such default has been cured and a sum sufficient to pay all matured installments of interest and principal and any premium has been deposited with the Trustee (in accordance with Section 6.01(c)). Upon any such waiver, the default covered thereby shall be deemed to be cured for all purposes of this Indenture and the Company, the Trustee and the holders of the Securities of such series shall be restored to their former positions and rights hereunder, respectively; but no such waiver shall extend to any subsequent or other default or impair any right consequent thereon.</w:t>
      </w:r>
    </w:p>
    <w:p>
      <w:pPr>
        <w:spacing w:after="0" w:line="1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Section 6.07 Undertaking to Pay Costs</w:t>
      </w:r>
      <w:r>
        <w:rPr>
          <w:rFonts w:ascii="Times New Roman" w:cs="Times New Roman" w:eastAsia="Times New Roman" w:hAnsi="Times New Roman"/>
          <w:sz w:val="14"/>
          <w:szCs w:val="14"/>
          <w:color w:val="auto"/>
        </w:rPr>
        <w:t>.</w:t>
      </w:r>
    </w:p>
    <w:p>
      <w:pPr>
        <w:spacing w:after="0" w:line="171" w:lineRule="exact"/>
        <w:rPr>
          <w:sz w:val="20"/>
          <w:szCs w:val="20"/>
          <w:color w:val="auto"/>
        </w:rPr>
      </w:pPr>
    </w:p>
    <w:p>
      <w:pPr>
        <w:jc w:val="both"/>
        <w:ind w:firstLine="752"/>
        <w:spacing w:after="0" w:line="248" w:lineRule="auto"/>
        <w:rPr>
          <w:sz w:val="20"/>
          <w:szCs w:val="20"/>
          <w:color w:val="auto"/>
        </w:rPr>
      </w:pPr>
      <w:r>
        <w:rPr>
          <w:rFonts w:ascii="Times New Roman" w:cs="Times New Roman" w:eastAsia="Times New Roman" w:hAnsi="Times New Roman"/>
          <w:sz w:val="14"/>
          <w:szCs w:val="14"/>
          <w:color w:val="auto"/>
        </w:rPr>
        <w:t>All parties to this Indenture agree, and each holder of any Securities by such holder’s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holding more than 10% in aggregate principal amount of the Outstanding Securities of any series, or to any suit instituted by any Securityholder for the enforcement of the payment of the principal of (or premium, if any) or interest on any Security of such series, on or after the respective due dates expressed in such Security or established pursuant to this Indenture.</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7</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CONCERNING THE TRUSTEE</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Section 7.01 Certain Duties and Responsibilities of Trustee</w:t>
      </w:r>
      <w:r>
        <w:rPr>
          <w:rFonts w:ascii="Times New Roman" w:cs="Times New Roman" w:eastAsia="Times New Roman" w:hAnsi="Times New Roman"/>
          <w:sz w:val="14"/>
          <w:szCs w:val="14"/>
          <w:color w:val="auto"/>
        </w:rPr>
        <w:t>.</w:t>
      </w:r>
    </w:p>
    <w:p>
      <w:pPr>
        <w:spacing w:after="0" w:line="171" w:lineRule="exact"/>
        <w:rPr>
          <w:sz w:val="20"/>
          <w:szCs w:val="20"/>
          <w:color w:val="auto"/>
        </w:rPr>
      </w:pPr>
    </w:p>
    <w:p>
      <w:pPr>
        <w:jc w:val="both"/>
        <w:ind w:firstLine="1506"/>
        <w:spacing w:after="0" w:line="250" w:lineRule="auto"/>
        <w:tabs>
          <w:tab w:leader="none" w:pos="1698" w:val="left"/>
        </w:tabs>
        <w:numPr>
          <w:ilvl w:val="0"/>
          <w:numId w:val="5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Trustee, prior to the occurrence of an Event of Default with respect to the Securities of a series and after the curing of all Events of Default with respect to the Securities of that series that may have occurred, shall undertake to perform with respect to the Securities of such series such duties and only such duties as are specifically set forth in this Indenture, and no implied covenants shall be read into this Indenture against the Trustee. In case an Event of Default with respect to the Securities of a series has occurred (that has not been cured or waived), the Trustee shall exercise with respect to Securities of that series such of the rights and powers vested in it by this Indenture, and use the same degree of care and skill in their exercise, as a prudent man would exercise or use under the circumstances in the conduct of his or her own affairs.</w:t>
      </w:r>
    </w:p>
    <w:p>
      <w:pPr>
        <w:spacing w:after="0" w:line="146" w:lineRule="exact"/>
        <w:rPr>
          <w:rFonts w:ascii="Times New Roman" w:cs="Times New Roman" w:eastAsia="Times New Roman" w:hAnsi="Times New Roman"/>
          <w:sz w:val="14"/>
          <w:szCs w:val="14"/>
          <w:b w:val="1"/>
          <w:bCs w:val="1"/>
          <w:color w:val="auto"/>
        </w:rPr>
      </w:pPr>
    </w:p>
    <w:p>
      <w:pPr>
        <w:ind w:left="1720" w:hanging="214"/>
        <w:spacing w:after="0"/>
        <w:tabs>
          <w:tab w:leader="none" w:pos="1720" w:val="left"/>
        </w:tabs>
        <w:numPr>
          <w:ilvl w:val="0"/>
          <w:numId w:val="5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No provision of this Indenture shall be construed to relieve the Trustee from liability for its own negligent action, its own negligent failure to act, or its own willful</w:t>
      </w:r>
    </w:p>
    <w:p>
      <w:pPr>
        <w:spacing w:after="0" w:line="14" w:lineRule="exact"/>
        <w:rPr>
          <w:rFonts w:ascii="Times New Roman" w:cs="Times New Roman" w:eastAsia="Times New Roman" w:hAnsi="Times New Roman"/>
          <w:sz w:val="14"/>
          <w:szCs w:val="14"/>
          <w:b w:val="1"/>
          <w:bCs w:val="1"/>
          <w:color w:val="auto"/>
        </w:rPr>
      </w:pPr>
    </w:p>
    <w:p>
      <w:pPr>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misconduct, except that:</w:t>
      </w:r>
    </w:p>
    <w:p>
      <w:pPr>
        <w:spacing w:after="0" w:line="156" w:lineRule="exact"/>
        <w:rPr>
          <w:sz w:val="20"/>
          <w:szCs w:val="20"/>
          <w:color w:val="auto"/>
        </w:rPr>
      </w:pPr>
    </w:p>
    <w:p>
      <w:pPr>
        <w:ind w:left="1660" w:hanging="154"/>
        <w:spacing w:after="0"/>
        <w:tabs>
          <w:tab w:leader="none" w:pos="1660" w:val="left"/>
        </w:tabs>
        <w:numPr>
          <w:ilvl w:val="0"/>
          <w:numId w:val="5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prior to the occurrence of an Event of Default with respect to the Securities of a series and after the curing or waiving of all such Events of Default with respect to that series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that may have occurred:</w:t>
      </w:r>
    </w:p>
    <w:p>
      <w:pPr>
        <w:spacing w:after="0" w:line="156" w:lineRule="exact"/>
        <w:rPr>
          <w:sz w:val="20"/>
          <w:szCs w:val="20"/>
          <w:color w:val="auto"/>
        </w:rPr>
      </w:pPr>
    </w:p>
    <w:p>
      <w:pPr>
        <w:jc w:val="both"/>
        <w:ind w:firstLine="2259"/>
        <w:spacing w:after="0" w:line="255" w:lineRule="auto"/>
        <w:tabs>
          <w:tab w:leader="none" w:pos="2485" w:val="left"/>
        </w:tabs>
        <w:numPr>
          <w:ilvl w:val="0"/>
          <w:numId w:val="5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duties and obligations of the Trustee shall with respect to the Securities of such series be determined solely by the express provisions of this Indenture, and the Trustee shall not be liable with respect to the Securities of such series except for the performance of such duties and obligations as are specifically set forth in this Indenture, and no implied covenants or obligations shall be read into this Indenture against the Trustee; and</w:t>
      </w:r>
    </w:p>
    <w:p>
      <w:pPr>
        <w:spacing w:after="0" w:line="143" w:lineRule="exact"/>
        <w:rPr>
          <w:rFonts w:ascii="Times New Roman" w:cs="Times New Roman" w:eastAsia="Times New Roman" w:hAnsi="Times New Roman"/>
          <w:sz w:val="14"/>
          <w:szCs w:val="14"/>
          <w:b w:val="1"/>
          <w:bCs w:val="1"/>
          <w:color w:val="auto"/>
        </w:rPr>
      </w:pPr>
    </w:p>
    <w:p>
      <w:pPr>
        <w:jc w:val="both"/>
        <w:ind w:firstLine="2259"/>
        <w:spacing w:after="0" w:line="252" w:lineRule="auto"/>
        <w:tabs>
          <w:tab w:leader="none" w:pos="2483" w:val="left"/>
        </w:tabs>
        <w:numPr>
          <w:ilvl w:val="0"/>
          <w:numId w:val="5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 the absence of bad faith on the part of the Trustee, the Trustee may with respect to the Securities of such series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 hereof are specifically required to be furnished to the Trustee, the Trustee shall be under a duty to examine the same to determine whether or not they conform to the requirements of this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764540</wp:posOffset>
            </wp:positionV>
            <wp:extent cx="719074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112" w:right="319" w:bottom="1440" w:gutter="0" w:footer="0" w:header="0"/>
        </w:sectPr>
      </w:pPr>
    </w:p>
    <w:bookmarkStart w:id="52" w:name="page53"/>
    <w:bookmarkEnd w:id="52"/>
    <w:p>
      <w:pPr>
        <w:ind w:left="-760" w:firstLine="1506"/>
        <w:spacing w:after="0" w:line="266" w:lineRule="auto"/>
        <w:tabs>
          <w:tab w:leader="none" w:pos="946" w:val="left"/>
        </w:tabs>
        <w:numPr>
          <w:ilvl w:val="0"/>
          <w:numId w:val="5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Trustee shall not be liable to any Securityholder or to any other Person for any error of judgment made in good faith by a Responsible Officer or Responsible Officers of the Trustee, unless it shall be proved that the Trustee was negligent in ascertaining the pertinent facts;</w:t>
      </w:r>
    </w:p>
    <w:p>
      <w:pPr>
        <w:spacing w:after="0" w:line="135" w:lineRule="exact"/>
        <w:rPr>
          <w:rFonts w:ascii="Times New Roman" w:cs="Times New Roman" w:eastAsia="Times New Roman" w:hAnsi="Times New Roman"/>
          <w:sz w:val="14"/>
          <w:szCs w:val="14"/>
          <w:b w:val="1"/>
          <w:bCs w:val="1"/>
          <w:color w:val="auto"/>
        </w:rPr>
      </w:pPr>
    </w:p>
    <w:p>
      <w:pPr>
        <w:jc w:val="both"/>
        <w:ind w:left="-760" w:firstLine="1506"/>
        <w:spacing w:after="0" w:line="255" w:lineRule="auto"/>
        <w:tabs>
          <w:tab w:leader="none" w:pos="994" w:val="left"/>
        </w:tabs>
        <w:numPr>
          <w:ilvl w:val="0"/>
          <w:numId w:val="5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Trustee shall not be liable with respect to any action taken or omitted to be taken by it in good faith in accordance with the direction of the holders of not less than a majority in principal amount of the Securities of any series at the time Outstanding relating to the time, method and place of conducting any proceeding for any remedy available to the Trustee, or exercising any trust or power conferred upon the Trustee under this Indenture with respect to the Securities of that series;</w:t>
      </w:r>
    </w:p>
    <w:p>
      <w:pPr>
        <w:spacing w:after="0" w:line="143" w:lineRule="exact"/>
        <w:rPr>
          <w:rFonts w:ascii="Times New Roman" w:cs="Times New Roman" w:eastAsia="Times New Roman" w:hAnsi="Times New Roman"/>
          <w:sz w:val="14"/>
          <w:szCs w:val="14"/>
          <w:b w:val="1"/>
          <w:bCs w:val="1"/>
          <w:color w:val="auto"/>
        </w:rPr>
      </w:pPr>
    </w:p>
    <w:p>
      <w:pPr>
        <w:jc w:val="both"/>
        <w:ind w:left="-760" w:firstLine="1506"/>
        <w:spacing w:after="0" w:line="255" w:lineRule="auto"/>
        <w:tabs>
          <w:tab w:leader="none" w:pos="976" w:val="left"/>
        </w:tabs>
        <w:numPr>
          <w:ilvl w:val="0"/>
          <w:numId w:val="5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none of the provisions contained in this Indenture shall require the Trustee to expend or risk its own funds or otherwise incur personal financial liability in the performance of any of its duties or in the exercise of any of its rights or powers if there is reasonable ground for believing that the repayment of such funds or liability is not reasonably assured to it under the terms of this Indenture or adequate indemnity against such risk is not reasonably assured to it;</w:t>
      </w:r>
    </w:p>
    <w:p>
      <w:pPr>
        <w:spacing w:after="0" w:line="143" w:lineRule="exact"/>
        <w:rPr>
          <w:rFonts w:ascii="Times New Roman" w:cs="Times New Roman" w:eastAsia="Times New Roman" w:hAnsi="Times New Roman"/>
          <w:sz w:val="14"/>
          <w:szCs w:val="14"/>
          <w:b w:val="1"/>
          <w:bCs w:val="1"/>
          <w:color w:val="auto"/>
        </w:rPr>
      </w:pPr>
    </w:p>
    <w:p>
      <w:pPr>
        <w:ind w:left="940" w:hanging="194"/>
        <w:spacing w:after="0"/>
        <w:tabs>
          <w:tab w:leader="none" w:pos="940" w:val="left"/>
        </w:tabs>
        <w:numPr>
          <w:ilvl w:val="0"/>
          <w:numId w:val="5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Trustee shall not be required to give any bond or surety in respect of the performance of its powers or duties hereunder;</w:t>
      </w:r>
    </w:p>
    <w:p>
      <w:pPr>
        <w:spacing w:after="0" w:line="167" w:lineRule="exact"/>
        <w:rPr>
          <w:rFonts w:ascii="Times New Roman" w:cs="Times New Roman" w:eastAsia="Times New Roman" w:hAnsi="Times New Roman"/>
          <w:sz w:val="14"/>
          <w:szCs w:val="14"/>
          <w:b w:val="1"/>
          <w:bCs w:val="1"/>
          <w:color w:val="auto"/>
        </w:rPr>
      </w:pPr>
    </w:p>
    <w:p>
      <w:pPr>
        <w:ind w:left="980" w:hanging="234"/>
        <w:spacing w:after="0"/>
        <w:tabs>
          <w:tab w:leader="none" w:pos="980" w:val="left"/>
        </w:tabs>
        <w:numPr>
          <w:ilvl w:val="0"/>
          <w:numId w:val="5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permissive right of the Trustee to do things enumerated in this Indenture shall not be construed as a duty of the Trustee; and</w:t>
      </w:r>
    </w:p>
    <w:p>
      <w:pPr>
        <w:spacing w:after="0" w:line="167" w:lineRule="exact"/>
        <w:rPr>
          <w:rFonts w:ascii="Times New Roman" w:cs="Times New Roman" w:eastAsia="Times New Roman" w:hAnsi="Times New Roman"/>
          <w:sz w:val="14"/>
          <w:szCs w:val="14"/>
          <w:b w:val="1"/>
          <w:bCs w:val="1"/>
          <w:color w:val="auto"/>
        </w:rPr>
      </w:pPr>
    </w:p>
    <w:p>
      <w:pPr>
        <w:ind w:left="1020" w:hanging="274"/>
        <w:spacing w:after="0"/>
        <w:tabs>
          <w:tab w:leader="none" w:pos="1020" w:val="left"/>
        </w:tabs>
        <w:numPr>
          <w:ilvl w:val="0"/>
          <w:numId w:val="5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No Trustee shall have any duty or responsibility for any act or omission of any other Trustee appointed with respect to a series of Securities hereunder.</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Section 7.02 Certain Rights of Trustee</w:t>
      </w:r>
      <w:r>
        <w:rPr>
          <w:rFonts w:ascii="Times New Roman" w:cs="Times New Roman" w:eastAsia="Times New Roman" w:hAnsi="Times New Roman"/>
          <w:sz w:val="14"/>
          <w:szCs w:val="14"/>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Except as otherwise provided in Section 7.01:</w:t>
      </w:r>
    </w:p>
    <w:p>
      <w:pPr>
        <w:spacing w:after="0" w:line="167" w:lineRule="exact"/>
        <w:rPr>
          <w:sz w:val="20"/>
          <w:szCs w:val="20"/>
          <w:color w:val="auto"/>
        </w:rPr>
      </w:pPr>
    </w:p>
    <w:p>
      <w:pPr>
        <w:ind w:left="-760" w:firstLine="1506"/>
        <w:spacing w:after="0" w:line="266" w:lineRule="auto"/>
        <w:tabs>
          <w:tab w:leader="none" w:pos="948" w:val="left"/>
        </w:tabs>
        <w:numPr>
          <w:ilvl w:val="0"/>
          <w:numId w:val="5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Trustee may conclusively rely and shall be protected in acting or refraining from acting upon any resolution, certificate, statement, instrument, opinion, report, notice, request, consent, order, approval, bond, security or other paper or document believed by it to be genuine and to have been signed or presented by the proper party or parties;</w:t>
      </w:r>
    </w:p>
    <w:p>
      <w:pPr>
        <w:spacing w:after="0" w:line="135" w:lineRule="exact"/>
        <w:rPr>
          <w:rFonts w:ascii="Times New Roman" w:cs="Times New Roman" w:eastAsia="Times New Roman" w:hAnsi="Times New Roman"/>
          <w:sz w:val="14"/>
          <w:szCs w:val="14"/>
          <w:b w:val="1"/>
          <w:bCs w:val="1"/>
          <w:color w:val="auto"/>
        </w:rPr>
      </w:pPr>
    </w:p>
    <w:p>
      <w:pPr>
        <w:ind w:left="-760" w:firstLine="1506"/>
        <w:spacing w:after="0" w:line="266" w:lineRule="auto"/>
        <w:tabs>
          <w:tab w:leader="none" w:pos="946" w:val="left"/>
        </w:tabs>
        <w:numPr>
          <w:ilvl w:val="0"/>
          <w:numId w:val="5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Any request, direction, order or demand of the Company mentioned herein shall be sufficiently evidenced by a Board Resolution or an instrument signed in the name of the Company by any authorized Officer of the Company (unless other evidence in respect thereof is specifically prescribed herein);</w:t>
      </w:r>
    </w:p>
    <w:p>
      <w:pPr>
        <w:spacing w:after="0" w:line="135" w:lineRule="exact"/>
        <w:rPr>
          <w:rFonts w:ascii="Times New Roman" w:cs="Times New Roman" w:eastAsia="Times New Roman" w:hAnsi="Times New Roman"/>
          <w:sz w:val="14"/>
          <w:szCs w:val="14"/>
          <w:b w:val="1"/>
          <w:bCs w:val="1"/>
          <w:color w:val="auto"/>
        </w:rPr>
      </w:pPr>
    </w:p>
    <w:p>
      <w:pPr>
        <w:ind w:left="-760" w:firstLine="1506"/>
        <w:spacing w:after="0" w:line="266" w:lineRule="auto"/>
        <w:tabs>
          <w:tab w:leader="none" w:pos="930" w:val="left"/>
        </w:tabs>
        <w:numPr>
          <w:ilvl w:val="0"/>
          <w:numId w:val="5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Trustee may consult with counsel and the opinion or written advice of such counsel or, if requested, any Opinion of Counsel shall be full and complete authorization and protection in respect of any action taken or suffered or omitted hereunder in good faith and in reliance thereon;</w:t>
      </w:r>
    </w:p>
    <w:p>
      <w:pPr>
        <w:spacing w:after="0" w:line="135" w:lineRule="exact"/>
        <w:rPr>
          <w:rFonts w:ascii="Times New Roman" w:cs="Times New Roman" w:eastAsia="Times New Roman" w:hAnsi="Times New Roman"/>
          <w:sz w:val="14"/>
          <w:szCs w:val="14"/>
          <w:b w:val="1"/>
          <w:bCs w:val="1"/>
          <w:color w:val="auto"/>
        </w:rPr>
      </w:pPr>
    </w:p>
    <w:p>
      <w:pPr>
        <w:jc w:val="both"/>
        <w:ind w:left="-760" w:firstLine="1506"/>
        <w:spacing w:after="0" w:line="250" w:lineRule="auto"/>
        <w:tabs>
          <w:tab w:leader="none" w:pos="946" w:val="left"/>
        </w:tabs>
        <w:numPr>
          <w:ilvl w:val="0"/>
          <w:numId w:val="5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Trustee shall be under no obligation to exercise any of the rights or powers vested in it by this Indenture at the request, order or direction of any of the Securityholders pursuant to the provisions of this Indenture, unless such Securityholders shall have offered to the Trustee security or indemnity reasonably acceptable to the Trustee against the costs, expenses and liabilities that may be incurred therein or thereby; nothing contained herein shall, however, relieve the Trustee of the obligation, upon the occurrence of an Event of Default with respect to a series of the Securities (that has not been cured or waived), to exercise with respect to Securities of that series such of the rights and powers vested in it by this Indenture, and to use the same degree of care and skill in their exercise, as a prudent man would exercise or use under the circumstances in the conduct of his or her own affairs;</w:t>
      </w:r>
    </w:p>
    <w:p>
      <w:pPr>
        <w:spacing w:after="0" w:line="146" w:lineRule="exact"/>
        <w:rPr>
          <w:rFonts w:ascii="Times New Roman" w:cs="Times New Roman" w:eastAsia="Times New Roman" w:hAnsi="Times New Roman"/>
          <w:sz w:val="14"/>
          <w:szCs w:val="14"/>
          <w:b w:val="1"/>
          <w:bCs w:val="1"/>
          <w:color w:val="auto"/>
        </w:rPr>
      </w:pPr>
    </w:p>
    <w:p>
      <w:pPr>
        <w:ind w:left="-760" w:firstLine="1506"/>
        <w:spacing w:after="0" w:line="266" w:lineRule="auto"/>
        <w:tabs>
          <w:tab w:leader="none" w:pos="930" w:val="left"/>
        </w:tabs>
        <w:numPr>
          <w:ilvl w:val="0"/>
          <w:numId w:val="5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Trustee shall not be liable for any action taken or omitted to be taken by it in good faith and believed by it to be authorized or within the discretion or rights or powers conferred upon it by this Indenture;</w:t>
      </w:r>
    </w:p>
    <w:p>
      <w:pPr>
        <w:spacing w:after="0" w:line="135" w:lineRule="exact"/>
        <w:rPr>
          <w:rFonts w:ascii="Times New Roman" w:cs="Times New Roman" w:eastAsia="Times New Roman" w:hAnsi="Times New Roman"/>
          <w:sz w:val="14"/>
          <w:szCs w:val="14"/>
          <w:b w:val="1"/>
          <w:bCs w:val="1"/>
          <w:color w:val="auto"/>
        </w:rPr>
      </w:pPr>
    </w:p>
    <w:p>
      <w:pPr>
        <w:ind w:left="-760" w:firstLine="1506"/>
        <w:spacing w:after="0" w:line="266" w:lineRule="auto"/>
        <w:tabs>
          <w:tab w:leader="none" w:pos="915" w:val="left"/>
        </w:tabs>
        <w:numPr>
          <w:ilvl w:val="0"/>
          <w:numId w:val="5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Trustee shall not be bound to make any investigation into the facts or matters stated in any resolution, certificate, statement, instrument, opinion, report, notice, request, consent, order, approval, bond,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654685</wp:posOffset>
            </wp:positionV>
            <wp:extent cx="719074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0520"/>
          </w:cols>
          <w:pgMar w:left="1060" w:top="1112" w:right="319" w:bottom="1440" w:gutter="0" w:footer="0" w:header="0"/>
        </w:sectPr>
      </w:pPr>
    </w:p>
    <w:bookmarkStart w:id="53" w:name="page54"/>
    <w:bookmarkEnd w:id="53"/>
    <w:p>
      <w:pPr>
        <w:jc w:val="both"/>
        <w:spacing w:after="0" w:line="250" w:lineRule="auto"/>
        <w:rPr>
          <w:sz w:val="20"/>
          <w:szCs w:val="20"/>
          <w:color w:val="auto"/>
        </w:rPr>
      </w:pPr>
      <w:r>
        <w:rPr>
          <w:rFonts w:ascii="Times New Roman" w:cs="Times New Roman" w:eastAsia="Times New Roman" w:hAnsi="Times New Roman"/>
          <w:sz w:val="14"/>
          <w:szCs w:val="14"/>
          <w:color w:val="auto"/>
        </w:rPr>
        <w:t>or other papers or documents or inquire as to the performance by the Company of one of its covenants under this Indenture, unless requested in writing so to do by the holders of not less than a majority in principal amount of the Outstanding Securities of the particular series affected thereby (determined as provided in Section 8.04); provided, however,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security or indemnity reasonably acceptable to the Trustee against such costs, expenses or liabilities as a condition to so proceeding. The reasonable expense of every such examination shall be paid by the Company or, if paid by the Trustee, shall be repaid by the Company upon demand;</w:t>
      </w:r>
    </w:p>
    <w:p>
      <w:pPr>
        <w:spacing w:after="0" w:line="146" w:lineRule="exact"/>
        <w:rPr>
          <w:sz w:val="20"/>
          <w:szCs w:val="20"/>
          <w:color w:val="auto"/>
        </w:rPr>
      </w:pPr>
    </w:p>
    <w:p>
      <w:pPr>
        <w:ind w:firstLine="1506"/>
        <w:spacing w:after="0" w:line="266" w:lineRule="auto"/>
        <w:tabs>
          <w:tab w:leader="none" w:pos="1698" w:val="left"/>
        </w:tabs>
        <w:numPr>
          <w:ilvl w:val="0"/>
          <w:numId w:val="5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135" w:lineRule="exact"/>
        <w:rPr>
          <w:rFonts w:ascii="Times New Roman" w:cs="Times New Roman" w:eastAsia="Times New Roman" w:hAnsi="Times New Roman"/>
          <w:sz w:val="14"/>
          <w:szCs w:val="14"/>
          <w:b w:val="1"/>
          <w:bCs w:val="1"/>
          <w:color w:val="auto"/>
        </w:rPr>
      </w:pPr>
    </w:p>
    <w:p>
      <w:pPr>
        <w:jc w:val="both"/>
        <w:ind w:firstLine="1506"/>
        <w:spacing w:after="0" w:line="252" w:lineRule="auto"/>
        <w:tabs>
          <w:tab w:leader="none" w:pos="1706" w:val="left"/>
        </w:tabs>
        <w:numPr>
          <w:ilvl w:val="0"/>
          <w:numId w:val="5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spacing w:after="0" w:line="144" w:lineRule="exact"/>
        <w:rPr>
          <w:rFonts w:ascii="Times New Roman" w:cs="Times New Roman" w:eastAsia="Times New Roman" w:hAnsi="Times New Roman"/>
          <w:sz w:val="14"/>
          <w:szCs w:val="14"/>
          <w:b w:val="1"/>
          <w:bCs w:val="1"/>
          <w:color w:val="auto"/>
        </w:rPr>
      </w:pPr>
    </w:p>
    <w:p>
      <w:pPr>
        <w:ind w:firstLine="1506"/>
        <w:spacing w:after="0" w:line="266" w:lineRule="auto"/>
        <w:tabs>
          <w:tab w:leader="none" w:pos="1668" w:val="left"/>
        </w:tabs>
        <w:numPr>
          <w:ilvl w:val="0"/>
          <w:numId w:val="5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 no event shall the Trustee be responsible or liable for special, indirect, punitive or consequential loss or damage of any kind whatsoever (including, but not limited to, loss of profit) irrespective of whether the Trustee has been advised of the likelihood of such loss or damage and regardless of the form of action;</w:t>
      </w:r>
    </w:p>
    <w:p>
      <w:pPr>
        <w:spacing w:after="0" w:line="135" w:lineRule="exact"/>
        <w:rPr>
          <w:rFonts w:ascii="Times New Roman" w:cs="Times New Roman" w:eastAsia="Times New Roman" w:hAnsi="Times New Roman"/>
          <w:sz w:val="14"/>
          <w:szCs w:val="14"/>
          <w:b w:val="1"/>
          <w:bCs w:val="1"/>
          <w:color w:val="auto"/>
        </w:rPr>
      </w:pPr>
    </w:p>
    <w:p>
      <w:pPr>
        <w:jc w:val="both"/>
        <w:ind w:firstLine="1506"/>
        <w:spacing w:after="0" w:line="247" w:lineRule="auto"/>
        <w:tabs>
          <w:tab w:leader="none" w:pos="1685" w:val="left"/>
        </w:tabs>
        <w:numPr>
          <w:ilvl w:val="0"/>
          <w:numId w:val="5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Trustee agrees to accept and act upon instructions or directions pursuant to this Indenture sent by unsecured e-mail, facsimile transmission or other similar unsecured electronic methods; provided, however, that such instructions or directions shall be signed by an authorized representative of the party providing such instructions or directions. If the party elects to give the Trustee e-mail or facsimile instructions (or instructions by a similar electronic method) and the Trustee in its discretion elects to act upon such instructions, the Trustee’s understanding of such instructions shall be deemed controlling. The Trustee shall not be liable for any losses, costs or expenses arising directly or indirectly from the Trustee’s reliance upon and compliance with such instructions notwithstanding such instructions conflict or are inconsistent with a subsequent written instruction. The party providing electronic instructions agrees to assume all risks arising out of the use of such electronic methods to submit instructions and directions to the Trustee, including without limitation the risk of the Trustee acting on unauthorized instructions, and the risk or interception and misuse by third parties. The Trustee may request that the Company deliver an Officer’s Certificate setting forth the names of individuals and/or titles of officers authorized at such time to furnish the Trustee with Officer’s Certificates, Company Orders and any other matters or directions pursuant to this Indenture;</w:t>
      </w:r>
    </w:p>
    <w:p>
      <w:pPr>
        <w:spacing w:after="0" w:line="151" w:lineRule="exact"/>
        <w:rPr>
          <w:rFonts w:ascii="Times New Roman" w:cs="Times New Roman" w:eastAsia="Times New Roman" w:hAnsi="Times New Roman"/>
          <w:sz w:val="14"/>
          <w:szCs w:val="14"/>
          <w:b w:val="1"/>
          <w:bCs w:val="1"/>
          <w:color w:val="auto"/>
        </w:rPr>
      </w:pPr>
    </w:p>
    <w:p>
      <w:pPr>
        <w:ind w:firstLine="1506"/>
        <w:spacing w:after="0" w:line="266" w:lineRule="auto"/>
        <w:tabs>
          <w:tab w:leader="none" w:pos="1716" w:val="left"/>
        </w:tabs>
        <w:numPr>
          <w:ilvl w:val="0"/>
          <w:numId w:val="5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rights, privileges, protections, immunities and benefits given to the Trustee, including, without limitation, its right to be indemnified, are extended to, and shall be enforceable by, the Trustee in each of its capacities hereunder and under the Securities, and each agent, custodian or other person employed to act under this Indenture; and</w:t>
      </w:r>
    </w:p>
    <w:p>
      <w:pPr>
        <w:spacing w:after="0" w:line="135" w:lineRule="exact"/>
        <w:rPr>
          <w:rFonts w:ascii="Times New Roman" w:cs="Times New Roman" w:eastAsia="Times New Roman" w:hAnsi="Times New Roman"/>
          <w:sz w:val="14"/>
          <w:szCs w:val="14"/>
          <w:b w:val="1"/>
          <w:bCs w:val="1"/>
          <w:color w:val="auto"/>
        </w:rPr>
      </w:pPr>
    </w:p>
    <w:p>
      <w:pPr>
        <w:jc w:val="both"/>
        <w:ind w:firstLine="1506"/>
        <w:spacing w:after="0" w:line="255" w:lineRule="auto"/>
        <w:tabs>
          <w:tab w:leader="none" w:pos="1668" w:val="left"/>
        </w:tabs>
        <w:numPr>
          <w:ilvl w:val="0"/>
          <w:numId w:val="5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Trustee shall not be deemed to have knowledge of any Default or Event of Default (other than an Event of Default constituting the failure to pay the interest on, or the principal of, the Securities if the Trustee also serves as the paying agent for such Securities) until the Trustee shall have received written notification in the manner set forth in this Indenture or a Responsible Officer of the Trustee shall have obtained actual knowledge.</w:t>
      </w:r>
    </w:p>
    <w:p>
      <w:pPr>
        <w:spacing w:after="0" w:line="13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Section 7.03 Trustee Not Responsible for Recitals or Issuance or Securities</w:t>
      </w:r>
      <w:r>
        <w:rPr>
          <w:rFonts w:ascii="Times New Roman" w:cs="Times New Roman" w:eastAsia="Times New Roman" w:hAnsi="Times New Roman"/>
          <w:sz w:val="14"/>
          <w:szCs w:val="14"/>
          <w:color w:val="auto"/>
        </w:rPr>
        <w:t>.</w:t>
      </w:r>
    </w:p>
    <w:p>
      <w:pPr>
        <w:spacing w:after="0" w:line="171" w:lineRule="exact"/>
        <w:rPr>
          <w:sz w:val="20"/>
          <w:szCs w:val="20"/>
          <w:color w:val="auto"/>
        </w:rPr>
      </w:pPr>
    </w:p>
    <w:p>
      <w:pPr>
        <w:jc w:val="both"/>
        <w:ind w:firstLine="1506"/>
        <w:spacing w:after="0" w:line="255" w:lineRule="auto"/>
        <w:tabs>
          <w:tab w:leader="none" w:pos="1698" w:val="left"/>
        </w:tabs>
        <w:numPr>
          <w:ilvl w:val="0"/>
          <w:numId w:val="5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recitals contained herein and in the Securities shall be taken as the statements of the Company, and the Trustee assumes no responsibility for the correctness of the same. The Trustee shall not be responsible for any statement in any registration statement, prospectus, or any other document in connection with the sale of Securities. The Trustee shall not be responsible for any rating on the Securities or any action or omission of any rating agency.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659765</wp:posOffset>
            </wp:positionV>
            <wp:extent cx="719074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112" w:right="319" w:bottom="1440" w:gutter="0" w:footer="0" w:header="0"/>
        </w:sectPr>
      </w:pPr>
    </w:p>
    <w:bookmarkStart w:id="54" w:name="page55"/>
    <w:bookmarkEnd w:id="54"/>
    <w:p>
      <w:pPr>
        <w:ind w:left="1700" w:hanging="194"/>
        <w:spacing w:after="0"/>
        <w:tabs>
          <w:tab w:leader="none" w:pos="1700" w:val="left"/>
        </w:tabs>
        <w:numPr>
          <w:ilvl w:val="0"/>
          <w:numId w:val="6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Trustee makes no representations as to the validity or sufficiency of this Indenture or of the Securities.</w:t>
      </w:r>
    </w:p>
    <w:p>
      <w:pPr>
        <w:spacing w:after="0" w:line="167" w:lineRule="exact"/>
        <w:rPr>
          <w:rFonts w:ascii="Times New Roman" w:cs="Times New Roman" w:eastAsia="Times New Roman" w:hAnsi="Times New Roman"/>
          <w:sz w:val="14"/>
          <w:szCs w:val="14"/>
          <w:b w:val="1"/>
          <w:bCs w:val="1"/>
          <w:color w:val="auto"/>
        </w:rPr>
      </w:pPr>
    </w:p>
    <w:p>
      <w:pPr>
        <w:jc w:val="both"/>
        <w:ind w:firstLine="1506"/>
        <w:spacing w:after="0" w:line="255" w:lineRule="auto"/>
        <w:tabs>
          <w:tab w:leader="none" w:pos="1690" w:val="left"/>
        </w:tabs>
        <w:numPr>
          <w:ilvl w:val="0"/>
          <w:numId w:val="6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Trustee shall not be accountable for the use or application by the Company of any of the Securities or of the proceeds of such Securities, or for the use or application of any moneys paid over by the Trustee in accordance with any provision of this Indenture or established pursuant to Section 2.01, or for the use or application of any moneys received by any paying agent other than the Trustee.</w:t>
      </w:r>
    </w:p>
    <w:p>
      <w:pPr>
        <w:spacing w:after="0" w:line="13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Section 7.04 May Hold Securities</w:t>
      </w:r>
      <w:r>
        <w:rPr>
          <w:rFonts w:ascii="Times New Roman" w:cs="Times New Roman" w:eastAsia="Times New Roman" w:hAnsi="Times New Roman"/>
          <w:sz w:val="14"/>
          <w:szCs w:val="14"/>
          <w:color w:val="auto"/>
        </w:rPr>
        <w:t>.</w:t>
      </w:r>
    </w:p>
    <w:p>
      <w:pPr>
        <w:spacing w:after="0" w:line="171" w:lineRule="exact"/>
        <w:rPr>
          <w:sz w:val="20"/>
          <w:szCs w:val="20"/>
          <w:color w:val="auto"/>
        </w:rPr>
      </w:pPr>
    </w:p>
    <w:p>
      <w:pPr>
        <w:jc w:val="both"/>
        <w:ind w:firstLine="752"/>
        <w:spacing w:after="0" w:line="266" w:lineRule="auto"/>
        <w:rPr>
          <w:sz w:val="20"/>
          <w:szCs w:val="20"/>
          <w:color w:val="auto"/>
        </w:rPr>
      </w:pPr>
      <w:r>
        <w:rPr>
          <w:rFonts w:ascii="Times New Roman" w:cs="Times New Roman" w:eastAsia="Times New Roman" w:hAnsi="Times New Roman"/>
          <w:sz w:val="14"/>
          <w:szCs w:val="14"/>
          <w:color w:val="auto"/>
        </w:rPr>
        <w:t>The Trustee or any paying agent or Security Registrar, in its individual or any other capacity, may become the owner or pledgee of Securities with the same rights it would have if it were not Trustee, paying agent or Security Registrar.</w:t>
      </w:r>
    </w:p>
    <w:p>
      <w:pPr>
        <w:spacing w:after="0" w:line="13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Section 7.05 Moneys Held in Trust</w:t>
      </w:r>
      <w:r>
        <w:rPr>
          <w:rFonts w:ascii="Times New Roman" w:cs="Times New Roman" w:eastAsia="Times New Roman" w:hAnsi="Times New Roman"/>
          <w:sz w:val="14"/>
          <w:szCs w:val="14"/>
          <w:color w:val="auto"/>
        </w:rPr>
        <w:t>.</w:t>
      </w:r>
    </w:p>
    <w:p>
      <w:pPr>
        <w:spacing w:after="0" w:line="171" w:lineRule="exact"/>
        <w:rPr>
          <w:sz w:val="20"/>
          <w:szCs w:val="20"/>
          <w:color w:val="auto"/>
        </w:rPr>
      </w:pPr>
    </w:p>
    <w:p>
      <w:pPr>
        <w:jc w:val="both"/>
        <w:ind w:firstLine="752"/>
        <w:spacing w:after="0" w:line="255" w:lineRule="auto"/>
        <w:rPr>
          <w:sz w:val="20"/>
          <w:szCs w:val="20"/>
          <w:color w:val="auto"/>
        </w:rPr>
      </w:pPr>
      <w:r>
        <w:rPr>
          <w:rFonts w:ascii="Times New Roman" w:cs="Times New Roman" w:eastAsia="Times New Roman" w:hAnsi="Times New Roman"/>
          <w:sz w:val="14"/>
          <w:szCs w:val="14"/>
          <w:color w:val="auto"/>
        </w:rPr>
        <w:t>Subject to the provisions of Section 11.05, all moneys received by the Trustee shall, until used or applied as herein provided, be held in trust for the purposes for which they were received, but need not be segregated from other funds except to the extent required by law. The Trustee shall be under no liability for interest on any moneys received by it hereunder except such as it may agree with the Company to pay thereon.</w:t>
      </w:r>
    </w:p>
    <w:p>
      <w:pPr>
        <w:spacing w:after="0" w:line="13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Section 7.06 Compensation and Reimbursement</w:t>
      </w:r>
      <w:r>
        <w:rPr>
          <w:rFonts w:ascii="Times New Roman" w:cs="Times New Roman" w:eastAsia="Times New Roman" w:hAnsi="Times New Roman"/>
          <w:sz w:val="14"/>
          <w:szCs w:val="14"/>
          <w:color w:val="auto"/>
        </w:rPr>
        <w:t>.</w:t>
      </w:r>
    </w:p>
    <w:p>
      <w:pPr>
        <w:spacing w:after="0" w:line="171" w:lineRule="exact"/>
        <w:rPr>
          <w:sz w:val="20"/>
          <w:szCs w:val="20"/>
          <w:color w:val="auto"/>
        </w:rPr>
      </w:pPr>
    </w:p>
    <w:p>
      <w:pPr>
        <w:jc w:val="both"/>
        <w:ind w:firstLine="1506"/>
        <w:spacing w:after="0" w:line="255" w:lineRule="auto"/>
        <w:tabs>
          <w:tab w:leader="none" w:pos="1698" w:val="left"/>
        </w:tabs>
        <w:numPr>
          <w:ilvl w:val="0"/>
          <w:numId w:val="6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Company shall pay to the Trustee for each of its capacities hereunder from time to time compensation for its services as the Company and the Trustee shall from time to time agree upon in writing. The Trustee’s compensation shall not be limited by any law on compensation of a trustee of an express trust. The Company shall reimburse the Trustee upon request for all reasonable out-of-pocket expenses incurred by it. Such expenses shall include the reasonable compensation and expenses of the Trustee’s agents and counsel.</w:t>
      </w:r>
    </w:p>
    <w:p>
      <w:pPr>
        <w:spacing w:after="0" w:line="143" w:lineRule="exact"/>
        <w:rPr>
          <w:rFonts w:ascii="Times New Roman" w:cs="Times New Roman" w:eastAsia="Times New Roman" w:hAnsi="Times New Roman"/>
          <w:sz w:val="14"/>
          <w:szCs w:val="14"/>
          <w:b w:val="1"/>
          <w:bCs w:val="1"/>
          <w:color w:val="auto"/>
        </w:rPr>
      </w:pPr>
    </w:p>
    <w:p>
      <w:pPr>
        <w:jc w:val="both"/>
        <w:ind w:firstLine="1506"/>
        <w:spacing w:after="0" w:line="250" w:lineRule="auto"/>
        <w:tabs>
          <w:tab w:leader="none" w:pos="1706" w:val="left"/>
        </w:tabs>
        <w:numPr>
          <w:ilvl w:val="0"/>
          <w:numId w:val="6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Company shall indemnify each of the Trustee in each of its capacities hereunder against any loss, liability or expense (including the cost of defending itself and including the reasonable compensation and expenses of the Trustee’s agents and counsel) incurred by it except as set forth in Section 7.06(c) in the exercise or performance of its powers, rights or duties under this Indenture as Trustee or Agent. The Trustee shall notify the Company promptly of any claim for which it may seek indemnity. The Company shall defend the claim and the Trustee shall cooperate in the defense. The Trustee may have one separate counsel and the Company shall pay the reasonable fees and expenses of such counsel. The Company need not pay for any settlement made without its consent, which consent shall not be unreasonably withheld. This indemnification shall apply to officers, directors, employees, shareholders and agents of the Trustee.</w:t>
      </w:r>
    </w:p>
    <w:p>
      <w:pPr>
        <w:spacing w:after="0" w:line="146" w:lineRule="exact"/>
        <w:rPr>
          <w:rFonts w:ascii="Times New Roman" w:cs="Times New Roman" w:eastAsia="Times New Roman" w:hAnsi="Times New Roman"/>
          <w:sz w:val="14"/>
          <w:szCs w:val="14"/>
          <w:b w:val="1"/>
          <w:bCs w:val="1"/>
          <w:color w:val="auto"/>
        </w:rPr>
      </w:pPr>
    </w:p>
    <w:p>
      <w:pPr>
        <w:ind w:firstLine="1506"/>
        <w:spacing w:after="0" w:line="266" w:lineRule="auto"/>
        <w:tabs>
          <w:tab w:leader="none" w:pos="1690" w:val="left"/>
        </w:tabs>
        <w:numPr>
          <w:ilvl w:val="0"/>
          <w:numId w:val="6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Company need not reimburse any expense or indemnify against any loss or liability incurred by the Trustee or by any officer, director, employee, shareholder or agent of the Trustee through negligence or bad faith.</w:t>
      </w:r>
    </w:p>
    <w:p>
      <w:pPr>
        <w:spacing w:after="0" w:line="135" w:lineRule="exact"/>
        <w:rPr>
          <w:rFonts w:ascii="Times New Roman" w:cs="Times New Roman" w:eastAsia="Times New Roman" w:hAnsi="Times New Roman"/>
          <w:sz w:val="14"/>
          <w:szCs w:val="14"/>
          <w:b w:val="1"/>
          <w:bCs w:val="1"/>
          <w:color w:val="auto"/>
        </w:rPr>
      </w:pPr>
    </w:p>
    <w:p>
      <w:pPr>
        <w:jc w:val="both"/>
        <w:ind w:firstLine="1506"/>
        <w:spacing w:after="0" w:line="272" w:lineRule="auto"/>
        <w:tabs>
          <w:tab w:leader="none" w:pos="1706" w:val="left"/>
        </w:tabs>
        <w:numPr>
          <w:ilvl w:val="0"/>
          <w:numId w:val="6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To ensure the Company’s payment obligations in this Section, the Trustee shall have a lien prior to the Securities on all funds or property held or collected by the Trustee, except that held in trust to pay principal of or interest on particular Securities. When the Trustee incurs expenses or renders services in connection with an Event of Default specified in Section 6.01(4) or</w:t>
      </w:r>
    </w:p>
    <w:p>
      <w:pPr>
        <w:spacing w:after="0" w:line="1" w:lineRule="exact"/>
        <w:rPr>
          <w:rFonts w:ascii="Times New Roman" w:cs="Times New Roman" w:eastAsia="Times New Roman" w:hAnsi="Times New Roman"/>
          <w:sz w:val="13"/>
          <w:szCs w:val="13"/>
          <w:b w:val="1"/>
          <w:bCs w:val="1"/>
          <w:color w:val="auto"/>
        </w:rPr>
      </w:pPr>
    </w:p>
    <w:p>
      <w:pPr>
        <w:spacing w:after="0" w:line="249"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4"/>
          <w:szCs w:val="14"/>
          <w:color w:val="auto"/>
        </w:rPr>
        <w:t>(5), the expenses (including the reasonable fees and expenses of its counsel) and the compensation for services in connection therewith are to constitute expenses of administration under any bankruptcy law. The provisions of this Section 7.06 shall survive the termination of this Indenture and the resignation or removal of the Trustee.</w:t>
      </w:r>
    </w:p>
    <w:p>
      <w:pPr>
        <w:spacing w:after="0" w:line="14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Section 7.07 Reliance on Officer’s Certificate</w:t>
      </w:r>
      <w:r>
        <w:rPr>
          <w:rFonts w:ascii="Times New Roman" w:cs="Times New Roman" w:eastAsia="Times New Roman" w:hAnsi="Times New Roman"/>
          <w:sz w:val="14"/>
          <w:szCs w:val="14"/>
          <w:color w:val="auto"/>
        </w:rPr>
        <w:t>.</w:t>
      </w:r>
    </w:p>
    <w:p>
      <w:pPr>
        <w:spacing w:after="0" w:line="171" w:lineRule="exact"/>
        <w:rPr>
          <w:sz w:val="20"/>
          <w:szCs w:val="20"/>
          <w:color w:val="auto"/>
        </w:rPr>
      </w:pPr>
    </w:p>
    <w:p>
      <w:pPr>
        <w:ind w:firstLine="752"/>
        <w:spacing w:after="0" w:line="266" w:lineRule="auto"/>
        <w:rPr>
          <w:sz w:val="20"/>
          <w:szCs w:val="20"/>
          <w:color w:val="auto"/>
        </w:rPr>
      </w:pPr>
      <w:r>
        <w:rPr>
          <w:rFonts w:ascii="Times New Roman" w:cs="Times New Roman" w:eastAsia="Times New Roman" w:hAnsi="Times New Roman"/>
          <w:sz w:val="14"/>
          <w:szCs w:val="14"/>
          <w:color w:val="auto"/>
        </w:rPr>
        <w:t>Except as otherwise provided in Section 7.01, whenever in the administration of the provisions of this Indenture the Trustee shall deem it reasonably necessary or desirable that a matter be proved or established prior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654685</wp:posOffset>
            </wp:positionV>
            <wp:extent cx="719074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276" w:right="319" w:bottom="1440" w:gutter="0" w:footer="0" w:header="0"/>
        </w:sectPr>
      </w:pPr>
    </w:p>
    <w:bookmarkStart w:id="55" w:name="page56"/>
    <w:bookmarkEnd w:id="55"/>
    <w:p>
      <w:pPr>
        <w:jc w:val="both"/>
        <w:spacing w:after="0" w:line="255" w:lineRule="auto"/>
        <w:rPr>
          <w:sz w:val="20"/>
          <w:szCs w:val="20"/>
          <w:color w:val="auto"/>
        </w:rPr>
      </w:pPr>
      <w:r>
        <w:rPr>
          <w:rFonts w:ascii="Times New Roman" w:cs="Times New Roman" w:eastAsia="Times New Roman" w:hAnsi="Times New Roman"/>
          <w:sz w:val="14"/>
          <w:szCs w:val="14"/>
          <w:color w:val="auto"/>
        </w:rPr>
        <w:t>taking or suffering or omitting to take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to be taken by it under the provisions of this Indenture upon the faith thereof.</w:t>
      </w:r>
    </w:p>
    <w:p>
      <w:pPr>
        <w:spacing w:after="0" w:line="13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Section 7.08 Disqualification; Conflicting Interests</w:t>
      </w:r>
      <w:r>
        <w:rPr>
          <w:rFonts w:ascii="Times New Roman" w:cs="Times New Roman" w:eastAsia="Times New Roman" w:hAnsi="Times New Roman"/>
          <w:sz w:val="14"/>
          <w:szCs w:val="14"/>
          <w:color w:val="auto"/>
        </w:rPr>
        <w:t>.</w:t>
      </w:r>
    </w:p>
    <w:p>
      <w:pPr>
        <w:spacing w:after="0" w:line="171" w:lineRule="exact"/>
        <w:rPr>
          <w:sz w:val="20"/>
          <w:szCs w:val="20"/>
          <w:color w:val="auto"/>
        </w:rPr>
      </w:pPr>
    </w:p>
    <w:p>
      <w:pPr>
        <w:jc w:val="both"/>
        <w:ind w:firstLine="752"/>
        <w:spacing w:after="0" w:line="266" w:lineRule="auto"/>
        <w:rPr>
          <w:sz w:val="20"/>
          <w:szCs w:val="20"/>
          <w:color w:val="auto"/>
        </w:rPr>
      </w:pPr>
      <w:r>
        <w:rPr>
          <w:rFonts w:ascii="Times New Roman" w:cs="Times New Roman" w:eastAsia="Times New Roman" w:hAnsi="Times New Roman"/>
          <w:sz w:val="14"/>
          <w:szCs w:val="14"/>
          <w:color w:val="auto"/>
        </w:rPr>
        <w:t>If the Trustee has or shall acquire any “conflicting interest” within the meaning of Section 310(b) of the Trust Indenture Act, the Trustee and the Company shall in all respects comply with the provisions of Section 310(b) of the Trust Indenture Act.</w:t>
      </w:r>
    </w:p>
    <w:p>
      <w:pPr>
        <w:spacing w:after="0" w:line="13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Section 7.09 Corporate Trustee Required; Eligibility</w:t>
      </w:r>
      <w:r>
        <w:rPr>
          <w:rFonts w:ascii="Times New Roman" w:cs="Times New Roman" w:eastAsia="Times New Roman" w:hAnsi="Times New Roman"/>
          <w:sz w:val="14"/>
          <w:szCs w:val="14"/>
          <w:color w:val="auto"/>
        </w:rPr>
        <w:t>.</w:t>
      </w:r>
    </w:p>
    <w:p>
      <w:pPr>
        <w:spacing w:after="0" w:line="171" w:lineRule="exact"/>
        <w:rPr>
          <w:sz w:val="20"/>
          <w:szCs w:val="20"/>
          <w:color w:val="auto"/>
        </w:rPr>
      </w:pPr>
    </w:p>
    <w:p>
      <w:pPr>
        <w:jc w:val="both"/>
        <w:ind w:firstLine="752"/>
        <w:spacing w:after="0" w:line="284" w:lineRule="auto"/>
        <w:rPr>
          <w:sz w:val="20"/>
          <w:szCs w:val="20"/>
          <w:color w:val="auto"/>
        </w:rPr>
      </w:pPr>
      <w:r>
        <w:rPr>
          <w:rFonts w:ascii="Times New Roman" w:cs="Times New Roman" w:eastAsia="Times New Roman" w:hAnsi="Times New Roman"/>
          <w:sz w:val="13"/>
          <w:szCs w:val="13"/>
          <w:color w:val="auto"/>
        </w:rPr>
        <w:t>There shall at all times be a Trustee with respect to the Securities issued hereunder which shall at all times be a corporation organized and doing business under the laws of the United States of America or any state or territory thereof or of the District of Columbia, or a corporation or other Person permitted to act as trustee by the Commission, authorized under such laws to exercise corporate trust powers, having a combined capital and surplus of at least fifty million U.S. dollars ($50,000,000), and subject to supervision or examination by federal, state, territorial, or District of Columbia authority.</w:t>
      </w:r>
    </w:p>
    <w:p>
      <w:pPr>
        <w:spacing w:after="0" w:line="126" w:lineRule="exact"/>
        <w:rPr>
          <w:sz w:val="20"/>
          <w:szCs w:val="20"/>
          <w:color w:val="auto"/>
        </w:rPr>
      </w:pPr>
    </w:p>
    <w:p>
      <w:pPr>
        <w:jc w:val="both"/>
        <w:ind w:firstLine="752"/>
        <w:spacing w:after="0" w:line="252" w:lineRule="auto"/>
        <w:rPr>
          <w:sz w:val="20"/>
          <w:szCs w:val="20"/>
          <w:color w:val="auto"/>
        </w:rPr>
      </w:pPr>
      <w:r>
        <w:rPr>
          <w:rFonts w:ascii="Times New Roman" w:cs="Times New Roman" w:eastAsia="Times New Roman" w:hAnsi="Times New Roman"/>
          <w:sz w:val="14"/>
          <w:szCs w:val="14"/>
          <w:color w:val="auto"/>
        </w:rPr>
        <w:t>If such corporation or other Person publishes reports of condition at least annually, pursuant to law or to the requirements of the aforesaid supervising or examining authority, then for the purposes of this Section, the combined capital and surplus of such corporation or other Person shall be deemed to be its combined capital and surplus as set forth in its most recent report of condition so published. The Company may not, nor may any Person directly or indirectly controlling, controlled by, or under common control with the Company, serve as Trustee. In case at any time the Trustee shall cease to be eligible in accordance with the provisions of this Section, the Trustee shall resign immediately in the manner and with the effect specified in Section 7.10.</w:t>
      </w:r>
    </w:p>
    <w:p>
      <w:pPr>
        <w:spacing w:after="0" w:line="14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Section 7.10 Resignation and Removal; Appointment of Successor</w:t>
      </w:r>
      <w:r>
        <w:rPr>
          <w:rFonts w:ascii="Times New Roman" w:cs="Times New Roman" w:eastAsia="Times New Roman" w:hAnsi="Times New Roman"/>
          <w:sz w:val="14"/>
          <w:szCs w:val="14"/>
          <w:color w:val="auto"/>
        </w:rPr>
        <w:t>.</w:t>
      </w:r>
    </w:p>
    <w:p>
      <w:pPr>
        <w:spacing w:after="0" w:line="171" w:lineRule="exact"/>
        <w:rPr>
          <w:sz w:val="20"/>
          <w:szCs w:val="20"/>
          <w:color w:val="auto"/>
        </w:rPr>
      </w:pPr>
    </w:p>
    <w:p>
      <w:pPr>
        <w:jc w:val="both"/>
        <w:ind w:firstLine="1506"/>
        <w:spacing w:after="0" w:line="248" w:lineRule="auto"/>
        <w:tabs>
          <w:tab w:leader="none" w:pos="1698" w:val="left"/>
        </w:tabs>
        <w:numPr>
          <w:ilvl w:val="0"/>
          <w:numId w:val="6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Trustee or any successor hereafter appointed may at any time resign with respect to the Securities of one or more series by giving written notice thereof to the Company and the Securityholders of such series. Upon receiving such notice of resignation, the Company shall promptly appoint a successor trustee with respect to Securities of such series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30 days after the sending of such notice of resignation, the resigning Trustee may petition any court of competent jurisdiction for the appointment of a successor trustee with respect to Securities of such series, or any Securityholder of that series who has been a bona fide holder of a Security or Securities for at least six months may on behalf of himself and all others similarly situated, petition any such court for the appointment of a successor trustee. Such court may thereupon after such notice, if any, as it may deem proper and prescribe, appoint a successor trustee.</w:t>
      </w:r>
    </w:p>
    <w:p>
      <w:pPr>
        <w:spacing w:after="0" w:line="148" w:lineRule="exact"/>
        <w:rPr>
          <w:rFonts w:ascii="Times New Roman" w:cs="Times New Roman" w:eastAsia="Times New Roman" w:hAnsi="Times New Roman"/>
          <w:sz w:val="14"/>
          <w:szCs w:val="14"/>
          <w:b w:val="1"/>
          <w:bCs w:val="1"/>
          <w:color w:val="auto"/>
        </w:rPr>
      </w:pPr>
    </w:p>
    <w:p>
      <w:pPr>
        <w:ind w:left="1700" w:hanging="194"/>
        <w:spacing w:after="0"/>
        <w:tabs>
          <w:tab w:leader="none" w:pos="1700" w:val="left"/>
        </w:tabs>
        <w:numPr>
          <w:ilvl w:val="0"/>
          <w:numId w:val="6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 case at any time any one of the following shall occur:</w:t>
      </w:r>
    </w:p>
    <w:p>
      <w:pPr>
        <w:spacing w:after="0" w:line="167" w:lineRule="exact"/>
        <w:rPr>
          <w:rFonts w:ascii="Times New Roman" w:cs="Times New Roman" w:eastAsia="Times New Roman" w:hAnsi="Times New Roman"/>
          <w:sz w:val="14"/>
          <w:szCs w:val="14"/>
          <w:b w:val="1"/>
          <w:bCs w:val="1"/>
          <w:color w:val="auto"/>
        </w:rPr>
      </w:pPr>
    </w:p>
    <w:p>
      <w:pPr>
        <w:ind w:firstLine="2259"/>
        <w:spacing w:after="0" w:line="266" w:lineRule="auto"/>
        <w:tabs>
          <w:tab w:leader="none" w:pos="2420" w:val="left"/>
        </w:tabs>
        <w:numPr>
          <w:ilvl w:val="1"/>
          <w:numId w:val="6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Trustee shall fail to comply with the provisions of Section 7.08 after written request therefor by the Company or by any Securityholder who has been a bona fide holder of a Security or Securities for at least six months; or</w:t>
      </w:r>
    </w:p>
    <w:p>
      <w:pPr>
        <w:spacing w:after="0" w:line="135" w:lineRule="exact"/>
        <w:rPr>
          <w:rFonts w:ascii="Times New Roman" w:cs="Times New Roman" w:eastAsia="Times New Roman" w:hAnsi="Times New Roman"/>
          <w:sz w:val="14"/>
          <w:szCs w:val="14"/>
          <w:b w:val="1"/>
          <w:bCs w:val="1"/>
          <w:color w:val="auto"/>
        </w:rPr>
      </w:pPr>
    </w:p>
    <w:p>
      <w:pPr>
        <w:ind w:left="2460" w:hanging="201"/>
        <w:spacing w:after="0"/>
        <w:tabs>
          <w:tab w:leader="none" w:pos="2460" w:val="left"/>
        </w:tabs>
        <w:numPr>
          <w:ilvl w:val="1"/>
          <w:numId w:val="6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the Trustee shall cease to be eligible in accordance with the provisions of Section 7.09 and shall fail to resign after written request therefor by the Company or</w:t>
      </w:r>
    </w:p>
    <w:p>
      <w:pPr>
        <w:spacing w:after="0" w:line="26" w:lineRule="exact"/>
        <w:rPr>
          <w:rFonts w:ascii="Times New Roman" w:cs="Times New Roman" w:eastAsia="Times New Roman" w:hAnsi="Times New Roman"/>
          <w:sz w:val="13"/>
          <w:szCs w:val="13"/>
          <w:b w:val="1"/>
          <w:bCs w:val="1"/>
          <w:color w:val="auto"/>
        </w:rPr>
      </w:pPr>
    </w:p>
    <w:p>
      <w:pPr>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4"/>
          <w:szCs w:val="14"/>
          <w:color w:val="auto"/>
        </w:rPr>
        <w:t>by any such Securityholder; or</w:t>
      </w:r>
    </w:p>
    <w:p>
      <w:pPr>
        <w:spacing w:after="0" w:line="155" w:lineRule="exact"/>
        <w:rPr>
          <w:rFonts w:ascii="Times New Roman" w:cs="Times New Roman" w:eastAsia="Times New Roman" w:hAnsi="Times New Roman"/>
          <w:sz w:val="13"/>
          <w:szCs w:val="13"/>
          <w:b w:val="1"/>
          <w:bCs w:val="1"/>
          <w:color w:val="auto"/>
        </w:rPr>
      </w:pPr>
    </w:p>
    <w:p>
      <w:pPr>
        <w:jc w:val="both"/>
        <w:ind w:firstLine="2259"/>
        <w:spacing w:after="0" w:line="255" w:lineRule="auto"/>
        <w:tabs>
          <w:tab w:leader="none" w:pos="2496" w:val="left"/>
        </w:tabs>
        <w:numPr>
          <w:ilvl w:val="1"/>
          <w:numId w:val="6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Trustee shall become incapable of acting, or shall be adjudged a bankrupt or insolvent, or commence a voluntary bankruptcy proceeding, or a receiver of the Trustee or of its property shall be appointed or consented to, or any public officer shall take charge or control of the Trustee or of its property or affairs for the purpose of rehabilitation, conservation or liquidation;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659765</wp:posOffset>
            </wp:positionV>
            <wp:extent cx="719074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112" w:right="319" w:bottom="1440" w:gutter="0" w:footer="0" w:header="0"/>
        </w:sectPr>
      </w:pPr>
    </w:p>
    <w:bookmarkStart w:id="56" w:name="page57"/>
    <w:bookmarkEnd w:id="56"/>
    <w:p>
      <w:pPr>
        <w:jc w:val="both"/>
        <w:ind w:firstLine="752"/>
        <w:spacing w:after="0" w:line="252" w:lineRule="auto"/>
        <w:rPr>
          <w:sz w:val="20"/>
          <w:szCs w:val="20"/>
          <w:color w:val="auto"/>
        </w:rPr>
      </w:pPr>
      <w:r>
        <w:rPr>
          <w:rFonts w:ascii="Times New Roman" w:cs="Times New Roman" w:eastAsia="Times New Roman" w:hAnsi="Times New Roman"/>
          <w:sz w:val="14"/>
          <w:szCs w:val="14"/>
          <w:color w:val="auto"/>
        </w:rPr>
        <w:t>then, in any such case, the Company may remove the Trustee with respect to all Securities and appoint a successor trustee by written instrument, in duplicate, executed by order of the Board of Directors, one copy of which instrument shall be delivered to the Trustee so removed and one copy to the successor trustee, or any Securityholder who has been a bona fide holder of a Security or Securities for at least six months may, on behalf of that holder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spacing w:after="0" w:line="145" w:lineRule="exact"/>
        <w:rPr>
          <w:sz w:val="20"/>
          <w:szCs w:val="20"/>
          <w:color w:val="auto"/>
        </w:rPr>
      </w:pPr>
    </w:p>
    <w:p>
      <w:pPr>
        <w:ind w:firstLine="1506"/>
        <w:spacing w:after="0" w:line="266" w:lineRule="auto"/>
        <w:tabs>
          <w:tab w:leader="none" w:pos="1690" w:val="left"/>
        </w:tabs>
        <w:numPr>
          <w:ilvl w:val="0"/>
          <w:numId w:val="6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holders of a majority in aggregate principal amount of the Securities of any series at the time Outstanding may at any time remove the Trustee with respect to such series by so notifying the Trustee and the Company and may appoint a successor Trustee for such series with the consent of the Company.</w:t>
      </w:r>
    </w:p>
    <w:p>
      <w:pPr>
        <w:spacing w:after="0" w:line="135" w:lineRule="exact"/>
        <w:rPr>
          <w:rFonts w:ascii="Times New Roman" w:cs="Times New Roman" w:eastAsia="Times New Roman" w:hAnsi="Times New Roman"/>
          <w:sz w:val="14"/>
          <w:szCs w:val="14"/>
          <w:b w:val="1"/>
          <w:bCs w:val="1"/>
          <w:color w:val="auto"/>
        </w:rPr>
      </w:pPr>
    </w:p>
    <w:p>
      <w:pPr>
        <w:ind w:firstLine="1506"/>
        <w:spacing w:after="0" w:line="266" w:lineRule="auto"/>
        <w:tabs>
          <w:tab w:leader="none" w:pos="1706" w:val="left"/>
        </w:tabs>
        <w:numPr>
          <w:ilvl w:val="0"/>
          <w:numId w:val="6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Any resignation or removal of the Trustee and appointment of a successor trustee with respect to the Securities of a series pursuant to any of the provisions of this Section shall become effective upon acceptance of appointment by the successor trustee as provided in Section 7.11.</w:t>
      </w:r>
    </w:p>
    <w:p>
      <w:pPr>
        <w:spacing w:after="0" w:line="135" w:lineRule="exact"/>
        <w:rPr>
          <w:rFonts w:ascii="Times New Roman" w:cs="Times New Roman" w:eastAsia="Times New Roman" w:hAnsi="Times New Roman"/>
          <w:sz w:val="14"/>
          <w:szCs w:val="14"/>
          <w:b w:val="1"/>
          <w:bCs w:val="1"/>
          <w:color w:val="auto"/>
        </w:rPr>
      </w:pPr>
    </w:p>
    <w:p>
      <w:pPr>
        <w:ind w:firstLine="1506"/>
        <w:spacing w:after="0" w:line="266" w:lineRule="auto"/>
        <w:tabs>
          <w:tab w:leader="none" w:pos="1690" w:val="left"/>
        </w:tabs>
        <w:numPr>
          <w:ilvl w:val="0"/>
          <w:numId w:val="6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Any successor trustee appointed pursuant to this Section may be appointed with respect to the Securities of one or more series or all of such series, and at any time there shall be only one Trustee with respect to the Securities of any particular series.</w:t>
      </w:r>
    </w:p>
    <w:p>
      <w:pPr>
        <w:spacing w:after="0" w:line="13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Section 7.11 Acceptance of Appointment By Successor</w:t>
      </w:r>
      <w:r>
        <w:rPr>
          <w:rFonts w:ascii="Times New Roman" w:cs="Times New Roman" w:eastAsia="Times New Roman" w:hAnsi="Times New Roman"/>
          <w:sz w:val="14"/>
          <w:szCs w:val="14"/>
          <w:color w:val="auto"/>
        </w:rPr>
        <w:t>.</w:t>
      </w:r>
    </w:p>
    <w:p>
      <w:pPr>
        <w:spacing w:after="0" w:line="171" w:lineRule="exact"/>
        <w:rPr>
          <w:sz w:val="20"/>
          <w:szCs w:val="20"/>
          <w:color w:val="auto"/>
        </w:rPr>
      </w:pPr>
    </w:p>
    <w:p>
      <w:pPr>
        <w:jc w:val="both"/>
        <w:ind w:firstLine="1506"/>
        <w:spacing w:after="0" w:line="250" w:lineRule="auto"/>
        <w:tabs>
          <w:tab w:leader="none" w:pos="1698" w:val="left"/>
        </w:tabs>
        <w:numPr>
          <w:ilvl w:val="0"/>
          <w:numId w:val="6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any amounts due to it pursuant to the provisions of Section 7.06,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146" w:lineRule="exact"/>
        <w:rPr>
          <w:rFonts w:ascii="Times New Roman" w:cs="Times New Roman" w:eastAsia="Times New Roman" w:hAnsi="Times New Roman"/>
          <w:sz w:val="14"/>
          <w:szCs w:val="14"/>
          <w:b w:val="1"/>
          <w:bCs w:val="1"/>
          <w:color w:val="auto"/>
        </w:rPr>
      </w:pPr>
    </w:p>
    <w:p>
      <w:pPr>
        <w:jc w:val="both"/>
        <w:ind w:firstLine="1506"/>
        <w:spacing w:after="0" w:line="267" w:lineRule="auto"/>
        <w:tabs>
          <w:tab w:leader="none" w:pos="1716" w:val="left"/>
        </w:tabs>
        <w:numPr>
          <w:ilvl w:val="0"/>
          <w:numId w:val="6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(i)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(ii)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(iii)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that each such Trustee shall be trustee of a trust or trusts hereunder separate and apart from any trust or trusts hereunder administered by any other such Trustee and that no Trustee shall be responsible for any act or failure to act on the part of any other Trustee hereunder; and upon the execution and delivery of such supplemental indenture the resignation or removal of the retiring Trustee shall become effective to the extent provided therein, such retiring Trustee shall with respect to the Securities of that or those series to which the appointment of such successor trustee relates have no further responsibility for the exercise of rights and powers or for the performance of the duties and obligations vested in the Trustee under this Indenture,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to the extent contemplated by such supplemental indenture, the property and money held by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654685</wp:posOffset>
            </wp:positionV>
            <wp:extent cx="719074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276" w:right="3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color w:val="auto"/>
        </w:rPr>
        <w:t>retiring Trustee hereunder with respect to the Securities of that or those series to which the appointment of such successor trustee relates.</w:t>
      </w:r>
    </w:p>
    <w:p>
      <w:pPr>
        <w:spacing w:after="0" w:line="167" w:lineRule="exact"/>
        <w:rPr>
          <w:sz w:val="20"/>
          <w:szCs w:val="20"/>
          <w:color w:val="auto"/>
        </w:rPr>
      </w:pPr>
    </w:p>
    <w:p>
      <w:pPr>
        <w:ind w:firstLine="1506"/>
        <w:spacing w:after="0" w:line="266" w:lineRule="auto"/>
        <w:tabs>
          <w:tab w:leader="none" w:pos="1691" w:val="left"/>
        </w:tabs>
        <w:numPr>
          <w:ilvl w:val="0"/>
          <w:numId w:val="6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Upon request of any such successor trustee, the Company shall execute any and all instruments for more fully and certainly vesting in and confirming to such successor trustee all such rights, powers and trusts referred to in paragraph (a) or (b) of this Section, as the case may be.</w:t>
      </w:r>
    </w:p>
    <w:p>
      <w:pPr>
        <w:spacing w:after="0" w:line="135" w:lineRule="exact"/>
        <w:rPr>
          <w:rFonts w:ascii="Times New Roman" w:cs="Times New Roman" w:eastAsia="Times New Roman" w:hAnsi="Times New Roman"/>
          <w:sz w:val="14"/>
          <w:szCs w:val="14"/>
          <w:b w:val="1"/>
          <w:bCs w:val="1"/>
          <w:color w:val="auto"/>
        </w:rPr>
      </w:pPr>
    </w:p>
    <w:p>
      <w:pPr>
        <w:ind w:left="1700" w:hanging="194"/>
        <w:spacing w:after="0"/>
        <w:tabs>
          <w:tab w:leader="none" w:pos="1700" w:val="left"/>
        </w:tabs>
        <w:numPr>
          <w:ilvl w:val="0"/>
          <w:numId w:val="6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No successor trustee shall accept its appointment unless at the time of such acceptance such successor trustee shall be qualified and eligible under this Article.</w:t>
      </w:r>
    </w:p>
    <w:p>
      <w:pPr>
        <w:spacing w:after="0" w:line="167" w:lineRule="exact"/>
        <w:rPr>
          <w:rFonts w:ascii="Times New Roman" w:cs="Times New Roman" w:eastAsia="Times New Roman" w:hAnsi="Times New Roman"/>
          <w:sz w:val="14"/>
          <w:szCs w:val="14"/>
          <w:b w:val="1"/>
          <w:bCs w:val="1"/>
          <w:color w:val="auto"/>
        </w:rPr>
      </w:pPr>
    </w:p>
    <w:p>
      <w:pPr>
        <w:jc w:val="both"/>
        <w:ind w:firstLine="1506"/>
        <w:spacing w:after="0" w:line="255" w:lineRule="auto"/>
        <w:tabs>
          <w:tab w:leader="none" w:pos="1711" w:val="left"/>
        </w:tabs>
        <w:numPr>
          <w:ilvl w:val="0"/>
          <w:numId w:val="6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Upon acceptance of appointment by a successor trustee as provided in this Section, the Company shall send notice of the succession of such trustee hereunder to the Securityholders. If the Company fails to send such notice within ten days after acceptance of appointment by the successor trustee, the successor trustee shall cause such notice to be sent at the expense of the Company.</w:t>
      </w:r>
    </w:p>
    <w:p>
      <w:pPr>
        <w:spacing w:after="0" w:line="13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Section 7.12 Merger, Conversion, Consolidation or Succession to Business</w:t>
      </w:r>
      <w:r>
        <w:rPr>
          <w:rFonts w:ascii="Times New Roman" w:cs="Times New Roman" w:eastAsia="Times New Roman" w:hAnsi="Times New Roman"/>
          <w:sz w:val="14"/>
          <w:szCs w:val="14"/>
          <w:color w:val="auto"/>
        </w:rPr>
        <w:t>.</w:t>
      </w:r>
    </w:p>
    <w:p>
      <w:pPr>
        <w:spacing w:after="0" w:line="171" w:lineRule="exact"/>
        <w:rPr>
          <w:sz w:val="20"/>
          <w:szCs w:val="20"/>
          <w:color w:val="auto"/>
        </w:rPr>
      </w:pPr>
    </w:p>
    <w:p>
      <w:pPr>
        <w:jc w:val="both"/>
        <w:ind w:firstLine="752"/>
        <w:spacing w:after="0" w:line="249" w:lineRule="auto"/>
        <w:rPr>
          <w:sz w:val="20"/>
          <w:szCs w:val="20"/>
          <w:color w:val="auto"/>
        </w:rPr>
      </w:pPr>
      <w:r>
        <w:rPr>
          <w:rFonts w:ascii="Times New Roman" w:cs="Times New Roman" w:eastAsia="Times New Roman" w:hAnsi="Times New Roman"/>
          <w:sz w:val="14"/>
          <w:szCs w:val="14"/>
          <w:color w:val="auto"/>
        </w:rPr>
        <w:t>Any corporation into which the Trustee may be merged or converted or with which it may be consolidated, or any corporation resulting from any merger, conversion or consolidation to which the Trustee shall be a party, or any corporation succeeding to all or substantially all the corporate trust business of the Trustee, including the administration of the trust created by this Indenture, shall be the successor of the Trustee hereunder, provided that such corporation shall be qualified under the provisions of Section 7.08 and eligible under the provisions of Section 7.09, without the execution or filing of any paper or any further act on the part of any of the parties hereto, anything herein to the contrary notwithstanding.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14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Section 7.13 Preferential Collection of Claims Against the Company</w:t>
      </w:r>
      <w:r>
        <w:rPr>
          <w:rFonts w:ascii="Times New Roman" w:cs="Times New Roman" w:eastAsia="Times New Roman" w:hAnsi="Times New Roman"/>
          <w:sz w:val="14"/>
          <w:szCs w:val="14"/>
          <w:color w:val="auto"/>
        </w:rPr>
        <w:t>.</w:t>
      </w:r>
    </w:p>
    <w:p>
      <w:pPr>
        <w:spacing w:after="0" w:line="171" w:lineRule="exact"/>
        <w:rPr>
          <w:sz w:val="20"/>
          <w:szCs w:val="20"/>
          <w:color w:val="auto"/>
        </w:rPr>
      </w:pPr>
    </w:p>
    <w:p>
      <w:pPr>
        <w:jc w:val="both"/>
        <w:ind w:firstLine="752"/>
        <w:spacing w:after="0" w:line="266" w:lineRule="auto"/>
        <w:rPr>
          <w:sz w:val="20"/>
          <w:szCs w:val="20"/>
          <w:color w:val="auto"/>
        </w:rPr>
      </w:pPr>
      <w:r>
        <w:rPr>
          <w:rFonts w:ascii="Times New Roman" w:cs="Times New Roman" w:eastAsia="Times New Roman" w:hAnsi="Times New Roman"/>
          <w:sz w:val="14"/>
          <w:szCs w:val="14"/>
          <w:color w:val="auto"/>
        </w:rPr>
        <w:t>The Trustee shall comply with Section 311(a) of the Trust Indenture Act, excluding any creditor relationship described in Section 311(b) of the Trust Indenture Act. A Trustee who has resigned or been removed shall be subject to Section 311(a) of the Trust Indenture Act to the extent included therein.</w:t>
      </w:r>
    </w:p>
    <w:p>
      <w:pPr>
        <w:spacing w:after="0" w:line="13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Section 7.14 Notice of Default</w:t>
      </w:r>
      <w:r>
        <w:rPr>
          <w:rFonts w:ascii="Times New Roman" w:cs="Times New Roman" w:eastAsia="Times New Roman" w:hAnsi="Times New Roman"/>
          <w:sz w:val="14"/>
          <w:szCs w:val="14"/>
          <w:color w:val="auto"/>
        </w:rPr>
        <w:t>.</w:t>
      </w:r>
    </w:p>
    <w:p>
      <w:pPr>
        <w:spacing w:after="0" w:line="171" w:lineRule="exact"/>
        <w:rPr>
          <w:sz w:val="20"/>
          <w:szCs w:val="20"/>
          <w:color w:val="auto"/>
        </w:rPr>
      </w:pPr>
    </w:p>
    <w:p>
      <w:pPr>
        <w:jc w:val="both"/>
        <w:ind w:firstLine="752"/>
        <w:spacing w:after="0" w:line="250" w:lineRule="auto"/>
        <w:rPr>
          <w:sz w:val="20"/>
          <w:szCs w:val="20"/>
          <w:color w:val="auto"/>
        </w:rPr>
      </w:pPr>
      <w:r>
        <w:rPr>
          <w:rFonts w:ascii="Times New Roman" w:cs="Times New Roman" w:eastAsia="Times New Roman" w:hAnsi="Times New Roman"/>
          <w:sz w:val="14"/>
          <w:szCs w:val="14"/>
          <w:color w:val="auto"/>
        </w:rPr>
        <w:t xml:space="preserve">If any Event of Default occurs and is continuing and if such Event of Default is known to a Responsible Officer of the Trustee, the Trustee shall send to each Securityholder in the manner and to the extent provided in Section 313(c) of the Trust Indenture Act notice of the Event of Default within the earlier of 90 days after it occurs and 30 days after it is known to a Responsible Officer of the Trustee or written notice of it is received by the Trustee, unless such Event of Default has been cured;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except in the case of a default in the payment of the principal of (or premium, if any) or interest on any Security, the Trustee shall be protected in withholding such notice if and so long as the Responsible Officers of the Trustee in good faith determine that the withholding of such notice is in the interest of the Securityholders.</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8</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CONCERNING THE SECURITYHOLDERS</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Section 8.01 Evidence of Action by Securityholders</w:t>
      </w:r>
      <w:r>
        <w:rPr>
          <w:rFonts w:ascii="Times New Roman" w:cs="Times New Roman" w:eastAsia="Times New Roman" w:hAnsi="Times New Roman"/>
          <w:sz w:val="14"/>
          <w:szCs w:val="14"/>
          <w:color w:val="auto"/>
        </w:rPr>
        <w:t>.</w:t>
      </w:r>
    </w:p>
    <w:p>
      <w:pPr>
        <w:spacing w:after="0" w:line="171" w:lineRule="exact"/>
        <w:rPr>
          <w:sz w:val="20"/>
          <w:szCs w:val="20"/>
          <w:color w:val="auto"/>
        </w:rPr>
      </w:pPr>
    </w:p>
    <w:p>
      <w:pPr>
        <w:jc w:val="both"/>
        <w:ind w:firstLine="752"/>
        <w:spacing w:after="0" w:line="255" w:lineRule="auto"/>
        <w:rPr>
          <w:sz w:val="20"/>
          <w:szCs w:val="20"/>
          <w:color w:val="auto"/>
        </w:rPr>
      </w:pPr>
      <w:r>
        <w:rPr>
          <w:rFonts w:ascii="Times New Roman" w:cs="Times New Roman" w:eastAsia="Times New Roman" w:hAnsi="Times New Roman"/>
          <w:sz w:val="14"/>
          <w:szCs w:val="14"/>
          <w:color w:val="auto"/>
        </w:rPr>
        <w:t>Whenever in this Indenture it is provided that the holders of a majority or specified percentage in aggregate principal amount of the Securities of a particular series may take any action (including the making of any demand or request, the giving of any notice, consent or waiver or the taking of any other action), the fact that at the time of taking any such action the holders of such majority or specified percentage of that series have joined therein may be evidenced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659765</wp:posOffset>
            </wp:positionV>
            <wp:extent cx="719074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112" w:right="3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color w:val="auto"/>
        </w:rPr>
        <w:t>by any instrument or any number of instruments of similar tenor executed by such holders of Securities of that series in person or by agent or proxy appointed in writing.</w:t>
      </w:r>
    </w:p>
    <w:p>
      <w:pPr>
        <w:spacing w:after="0" w:line="167" w:lineRule="exact"/>
        <w:rPr>
          <w:sz w:val="20"/>
          <w:szCs w:val="20"/>
          <w:color w:val="auto"/>
        </w:rPr>
      </w:pPr>
    </w:p>
    <w:p>
      <w:pPr>
        <w:jc w:val="both"/>
        <w:ind w:firstLine="752"/>
        <w:spacing w:after="0" w:line="248" w:lineRule="auto"/>
        <w:rPr>
          <w:sz w:val="20"/>
          <w:szCs w:val="20"/>
          <w:color w:val="auto"/>
        </w:rPr>
      </w:pPr>
      <w:r>
        <w:rPr>
          <w:rFonts w:ascii="Times New Roman" w:cs="Times New Roman" w:eastAsia="Times New Roman" w:hAnsi="Times New Roman"/>
          <w:sz w:val="14"/>
          <w:szCs w:val="14"/>
          <w:color w:val="auto"/>
        </w:rPr>
        <w:t>If the Company shall solicit from the Securityholders of any series any request, demand, authorization, direction, notice, consent, waiver or other action, the Company may, at its option, as evidenced by an Officer’s Certificate, fix in advance a record date for such series for the determination of Securityholders entitled to give such request, demand, authorization, direction, notice, consent, waiver or other action, but the Company shall have no obligation to do so. If such a record date is fixed, such request, demand, authorization, direction, notice, consent, waiver or other action may be given before or after the record date, but only the Securityholders of record at the close of business on the record date shall be deemed to be Securityholders for the purposes of determining whether Securityholders of the requisite proportion of Outstanding Securities of that series have authorized or agreed or consented to such request, demand, authorization, direction, notice, consent, waiver or other action, and for that purpose the Outstanding Securities of that series shall be computed as of the record date; provided, however, that no such authorization, agreement or consent by such Securityholders on the record date shall be deemed effective unless it shall become effective pursuant to the provisions of this Indenture not later than six months after the record date.</w:t>
      </w:r>
    </w:p>
    <w:p>
      <w:pPr>
        <w:spacing w:after="0" w:line="1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Section 8.02 Proof of Execution by Securityholders</w:t>
      </w:r>
      <w:r>
        <w:rPr>
          <w:rFonts w:ascii="Times New Roman" w:cs="Times New Roman" w:eastAsia="Times New Roman" w:hAnsi="Times New Roman"/>
          <w:sz w:val="14"/>
          <w:szCs w:val="14"/>
          <w:color w:val="auto"/>
        </w:rPr>
        <w:t>.</w:t>
      </w:r>
    </w:p>
    <w:p>
      <w:pPr>
        <w:spacing w:after="0" w:line="171" w:lineRule="exact"/>
        <w:rPr>
          <w:sz w:val="20"/>
          <w:szCs w:val="20"/>
          <w:color w:val="auto"/>
        </w:rPr>
      </w:pPr>
    </w:p>
    <w:p>
      <w:pPr>
        <w:jc w:val="both"/>
        <w:ind w:firstLine="752"/>
        <w:spacing w:after="0" w:line="266" w:lineRule="auto"/>
        <w:rPr>
          <w:sz w:val="20"/>
          <w:szCs w:val="20"/>
          <w:color w:val="auto"/>
        </w:rPr>
      </w:pPr>
      <w:r>
        <w:rPr>
          <w:rFonts w:ascii="Times New Roman" w:cs="Times New Roman" w:eastAsia="Times New Roman" w:hAnsi="Times New Roman"/>
          <w:sz w:val="14"/>
          <w:szCs w:val="14"/>
          <w:color w:val="auto"/>
        </w:rPr>
        <w:t>Subject to the provisions of Section 7.01, proof of the execution of any instrument by a Securityholder (such proof will not require notarization) or his or her agent or proxy and proof of the holding by any Person of any of the Securities shall be sufficient if made in the following manner:</w:t>
      </w:r>
    </w:p>
    <w:p>
      <w:pPr>
        <w:spacing w:after="0" w:line="136" w:lineRule="exact"/>
        <w:rPr>
          <w:sz w:val="20"/>
          <w:szCs w:val="20"/>
          <w:color w:val="auto"/>
        </w:rPr>
      </w:pPr>
    </w:p>
    <w:p>
      <w:pPr>
        <w:ind w:left="1700" w:hanging="194"/>
        <w:spacing w:after="0"/>
        <w:tabs>
          <w:tab w:leader="none" w:pos="1700" w:val="left"/>
        </w:tabs>
        <w:numPr>
          <w:ilvl w:val="0"/>
          <w:numId w:val="6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fact and date of the execution by any such Person of any instrument may be proved in any reasonable manner acceptable to the Trustee.</w:t>
      </w:r>
    </w:p>
    <w:p>
      <w:pPr>
        <w:spacing w:after="0" w:line="167" w:lineRule="exact"/>
        <w:rPr>
          <w:rFonts w:ascii="Times New Roman" w:cs="Times New Roman" w:eastAsia="Times New Roman" w:hAnsi="Times New Roman"/>
          <w:sz w:val="14"/>
          <w:szCs w:val="14"/>
          <w:b w:val="1"/>
          <w:bCs w:val="1"/>
          <w:color w:val="auto"/>
        </w:rPr>
      </w:pPr>
    </w:p>
    <w:p>
      <w:pPr>
        <w:ind w:right="1980" w:firstLine="1506"/>
        <w:spacing w:after="0" w:line="486" w:lineRule="auto"/>
        <w:tabs>
          <w:tab w:leader="none" w:pos="1706" w:val="left"/>
        </w:tabs>
        <w:numPr>
          <w:ilvl w:val="0"/>
          <w:numId w:val="6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ownership of Securities shall be proved by the Security Register of such Securities or by a certificate of the Security Registrar thereof. The Trustee may require such additional proof of any matter referred to in this Section as it shall deem necessary.</w:t>
      </w:r>
    </w:p>
    <w:p>
      <w:pPr>
        <w:spacing w:after="0" w:line="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Section 8.03 Who May be Deemed Owners</w:t>
      </w:r>
      <w:r>
        <w:rPr>
          <w:rFonts w:ascii="Times New Roman" w:cs="Times New Roman" w:eastAsia="Times New Roman" w:hAnsi="Times New Roman"/>
          <w:sz w:val="14"/>
          <w:szCs w:val="14"/>
          <w:color w:val="auto"/>
        </w:rPr>
        <w:t>.</w:t>
      </w:r>
    </w:p>
    <w:p>
      <w:pPr>
        <w:spacing w:after="0" w:line="171" w:lineRule="exact"/>
        <w:rPr>
          <w:sz w:val="20"/>
          <w:szCs w:val="20"/>
          <w:color w:val="auto"/>
        </w:rPr>
      </w:pPr>
    </w:p>
    <w:p>
      <w:pPr>
        <w:jc w:val="both"/>
        <w:ind w:firstLine="752"/>
        <w:spacing w:after="0" w:line="252" w:lineRule="auto"/>
        <w:rPr>
          <w:sz w:val="20"/>
          <w:szCs w:val="20"/>
          <w:color w:val="auto"/>
        </w:rPr>
      </w:pPr>
      <w:r>
        <w:rPr>
          <w:rFonts w:ascii="Times New Roman" w:cs="Times New Roman" w:eastAsia="Times New Roman" w:hAnsi="Times New Roman"/>
          <w:sz w:val="14"/>
          <w:szCs w:val="14"/>
          <w:color w:val="auto"/>
        </w:rPr>
        <w:t>Prior to the due presentment for registration of transfer of any Security, the Company, the Trustee, any paying agent and any Security Registrar may deem and treat the Person in whose name such Security shall be registered upon the books of the Security Registrar as the absolute owner of such Security (whether or not such Security shall be overdue and notwithstanding any notice of ownership or writing thereon made by anyone other than the Security Registrar) for the purpose of receiving payment of or on account of the principal of, premium, if any, and (subject to Section 2.03) interest on such Security and for all other purposes; and neither the Company nor the Trustee nor any paying agent nor any Security Registrar shall be affected by any notice to the contrary.</w:t>
      </w:r>
    </w:p>
    <w:p>
      <w:pPr>
        <w:spacing w:after="0" w:line="14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Section 8.04 Certain Securities Owned by Company Disregarded</w:t>
      </w:r>
      <w:r>
        <w:rPr>
          <w:rFonts w:ascii="Times New Roman" w:cs="Times New Roman" w:eastAsia="Times New Roman" w:hAnsi="Times New Roman"/>
          <w:sz w:val="14"/>
          <w:szCs w:val="14"/>
          <w:color w:val="auto"/>
        </w:rPr>
        <w:t>.</w:t>
      </w:r>
    </w:p>
    <w:p>
      <w:pPr>
        <w:spacing w:after="0" w:line="171" w:lineRule="exact"/>
        <w:rPr>
          <w:sz w:val="20"/>
          <w:szCs w:val="20"/>
          <w:color w:val="auto"/>
        </w:rPr>
      </w:pPr>
    </w:p>
    <w:p>
      <w:pPr>
        <w:jc w:val="both"/>
        <w:ind w:firstLine="752"/>
        <w:spacing w:after="0" w:line="248" w:lineRule="auto"/>
        <w:rPr>
          <w:sz w:val="20"/>
          <w:szCs w:val="20"/>
          <w:color w:val="auto"/>
        </w:rPr>
      </w:pPr>
      <w:r>
        <w:rPr>
          <w:rFonts w:ascii="Times New Roman" w:cs="Times New Roman" w:eastAsia="Times New Roman" w:hAnsi="Times New Roman"/>
          <w:sz w:val="14"/>
          <w:szCs w:val="14"/>
          <w:color w:val="auto"/>
        </w:rPr>
        <w:t>In determining whether the holders of the requisite aggregate principal amount of Securities of a particular series have concurred in any direction, consent or waiver under this Indenture, the Securities of that series that are owned by the Company or any other obligor on the Securities of that series or by any Person directly or indirectly controlling or controlled by or under common control with the Company or any other obligor on the Securities of that series shall be disregarded and deemed not to be Outstanding for the purpose of any such determination, except that for the purpose of determining whether the Trustee shall be protected in relying on any such direction, consent or waiver, only Securities of such series that the Trustee actually knows are so owned shall be so disregarded. The Securities so owned that have been pledged in good faith may be regarded as Outstanding for the purposes of this Section, if the pledgee shall establish to the satisfaction of the Trustee the pledgee’s right so to act with respect to such Securities and that the pledgee is not a Person directly or indirectly controlling or controlled by or under direct or indirect common control with the Company or any such other obligor. In case of a dispute as to such right, any decision by the Trustee taken upon the advice of counsel shall be full protection to the Trustee.</w:t>
      </w:r>
    </w:p>
    <w:p>
      <w:pPr>
        <w:spacing w:after="0" w:line="1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Section 8.05 Actions Binding on Future Securityholders</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677545</wp:posOffset>
            </wp:positionV>
            <wp:extent cx="719074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112" w:right="319" w:bottom="1440" w:gutter="0" w:footer="0" w:header="0"/>
        </w:sectPr>
      </w:pPr>
    </w:p>
    <w:bookmarkStart w:id="59" w:name="page60"/>
    <w:bookmarkEnd w:id="59"/>
    <w:p>
      <w:pPr>
        <w:jc w:val="both"/>
        <w:ind w:firstLine="752"/>
        <w:spacing w:after="0" w:line="248" w:lineRule="auto"/>
        <w:rPr>
          <w:sz w:val="20"/>
          <w:szCs w:val="20"/>
          <w:color w:val="auto"/>
        </w:rPr>
      </w:pPr>
      <w:r>
        <w:rPr>
          <w:rFonts w:ascii="Times New Roman" w:cs="Times New Roman" w:eastAsia="Times New Roman" w:hAnsi="Times New Roman"/>
          <w:sz w:val="14"/>
          <w:szCs w:val="14"/>
          <w:color w:val="auto"/>
        </w:rPr>
        <w:t>At any time prior to (but not after) the evidencing to the Trustee, as provided in Section 8.01, of the taking of any action by the holders of the majority or percentage in aggregate principal amount of the Securities of a particular series specified in this Indenture in connection with such action, any holder of a Security of that series that is shown by the evidence to be included in the Securities the holders of which have consented to such action may, by filing written notice with the Trustee, and upon proof of holding as provided in Section 8.02, revoke such action so far as concerns such Security. Except as aforesaid any such action taken by the holder of any Security shall be conclusive and binding upon such holder and upon all future holders and owners of such Security, and of any Security issued in exchange therefor, on registration of transfer thereof or in place thereof, irrespective of whether or not any notation in regard thereto is made upon such Security. Any action taken by the holders of the majority or percentage in aggregate principal amount of the Securities of a particular series specified in this Indenture in connection with such action shall be conclusively binding upon the Company, the Trustee and the holders of all the Securities of that series.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9</w:t>
      </w:r>
    </w:p>
    <w:p>
      <w:pPr>
        <w:spacing w:after="0" w:line="16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4"/>
          <w:szCs w:val="14"/>
          <w:b w:val="1"/>
          <w:bCs w:val="1"/>
          <w:color w:val="auto"/>
        </w:rPr>
        <w:t>SUPPLEMENTAL INDENTURES</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Section 9.01 Supplemental Indentures Without the Consent of Securityholders</w:t>
      </w:r>
      <w:r>
        <w:rPr>
          <w:rFonts w:ascii="Times New Roman" w:cs="Times New Roman" w:eastAsia="Times New Roman" w:hAnsi="Times New Roman"/>
          <w:sz w:val="14"/>
          <w:szCs w:val="14"/>
          <w:color w:val="auto"/>
        </w:rPr>
        <w:t>.</w:t>
      </w:r>
    </w:p>
    <w:p>
      <w:pPr>
        <w:spacing w:after="0" w:line="171" w:lineRule="exact"/>
        <w:rPr>
          <w:sz w:val="20"/>
          <w:szCs w:val="20"/>
          <w:color w:val="auto"/>
        </w:rPr>
      </w:pPr>
    </w:p>
    <w:p>
      <w:pPr>
        <w:jc w:val="both"/>
        <w:ind w:firstLine="752"/>
        <w:spacing w:after="0" w:line="266" w:lineRule="auto"/>
        <w:rPr>
          <w:sz w:val="20"/>
          <w:szCs w:val="20"/>
          <w:color w:val="auto"/>
        </w:rPr>
      </w:pPr>
      <w:r>
        <w:rPr>
          <w:rFonts w:ascii="Times New Roman" w:cs="Times New Roman" w:eastAsia="Times New Roman" w:hAnsi="Times New Roman"/>
          <w:sz w:val="14"/>
          <w:szCs w:val="14"/>
          <w:color w:val="auto"/>
        </w:rPr>
        <w:t>In addition to any supplemental indenture otherwise authorized by this Indenture, the Company and the Trustee may from time to time and at any time enter into an indenture or indentures supplemental hereto (which shall conform to the provisions of the Trust Indenture Act as then in effect), without the consent of the Securityholders, for one or more of the following purposes:</w:t>
      </w:r>
    </w:p>
    <w:p>
      <w:pPr>
        <w:spacing w:after="0" w:line="136" w:lineRule="exact"/>
        <w:rPr>
          <w:sz w:val="20"/>
          <w:szCs w:val="20"/>
          <w:color w:val="auto"/>
        </w:rPr>
      </w:pPr>
    </w:p>
    <w:p>
      <w:pPr>
        <w:ind w:left="1700" w:hanging="194"/>
        <w:spacing w:after="0"/>
        <w:tabs>
          <w:tab w:leader="none" w:pos="1700" w:val="left"/>
        </w:tabs>
        <w:numPr>
          <w:ilvl w:val="0"/>
          <w:numId w:val="6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to cure any ambiguity, defect, or inconsistency herein or in the Securities of any series;</w:t>
      </w:r>
    </w:p>
    <w:p>
      <w:pPr>
        <w:spacing w:after="0" w:line="167" w:lineRule="exact"/>
        <w:rPr>
          <w:rFonts w:ascii="Times New Roman" w:cs="Times New Roman" w:eastAsia="Times New Roman" w:hAnsi="Times New Roman"/>
          <w:sz w:val="14"/>
          <w:szCs w:val="14"/>
          <w:b w:val="1"/>
          <w:bCs w:val="1"/>
          <w:color w:val="auto"/>
        </w:rPr>
      </w:pPr>
    </w:p>
    <w:p>
      <w:pPr>
        <w:ind w:left="1700" w:hanging="194"/>
        <w:spacing w:after="0"/>
        <w:tabs>
          <w:tab w:leader="none" w:pos="1700" w:val="left"/>
        </w:tabs>
        <w:numPr>
          <w:ilvl w:val="0"/>
          <w:numId w:val="6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to comply with Article Ten;</w:t>
      </w:r>
    </w:p>
    <w:p>
      <w:pPr>
        <w:spacing w:after="0" w:line="167" w:lineRule="exact"/>
        <w:rPr>
          <w:rFonts w:ascii="Times New Roman" w:cs="Times New Roman" w:eastAsia="Times New Roman" w:hAnsi="Times New Roman"/>
          <w:sz w:val="14"/>
          <w:szCs w:val="14"/>
          <w:b w:val="1"/>
          <w:bCs w:val="1"/>
          <w:color w:val="auto"/>
        </w:rPr>
      </w:pPr>
    </w:p>
    <w:p>
      <w:pPr>
        <w:ind w:left="1700" w:hanging="194"/>
        <w:spacing w:after="0"/>
        <w:tabs>
          <w:tab w:leader="none" w:pos="1700" w:val="left"/>
        </w:tabs>
        <w:numPr>
          <w:ilvl w:val="0"/>
          <w:numId w:val="6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to provide for uncertificated Securities in addition to or in place of certificated Securities;</w:t>
      </w:r>
    </w:p>
    <w:p>
      <w:pPr>
        <w:spacing w:after="0" w:line="167" w:lineRule="exact"/>
        <w:rPr>
          <w:rFonts w:ascii="Times New Roman" w:cs="Times New Roman" w:eastAsia="Times New Roman" w:hAnsi="Times New Roman"/>
          <w:sz w:val="14"/>
          <w:szCs w:val="14"/>
          <w:b w:val="1"/>
          <w:bCs w:val="1"/>
          <w:color w:val="auto"/>
        </w:rPr>
      </w:pPr>
    </w:p>
    <w:p>
      <w:pPr>
        <w:jc w:val="both"/>
        <w:ind w:firstLine="1506"/>
        <w:spacing w:after="0" w:line="252" w:lineRule="auto"/>
        <w:tabs>
          <w:tab w:leader="none" w:pos="1706" w:val="left"/>
        </w:tabs>
        <w:numPr>
          <w:ilvl w:val="0"/>
          <w:numId w:val="6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to add to the covenants, restrictions, conditions or provisions relating to the Company for the benefit of the holders of all or any series of Securities (and if such covenants, restrictions, conditions or provisions are to be for the benefit of less than all series of Securities, stating that such covenants, restrictions, conditions or provisions are expressly being included solely for the benefit of such series), to make the occurrence, or the occurrence and the continuance, of a default in any such additional covenants, restrictions, conditions or provisions an Event of Default, or to surrender any right or power herein conferred upon the Company;</w:t>
      </w:r>
    </w:p>
    <w:p>
      <w:pPr>
        <w:spacing w:after="0" w:line="144" w:lineRule="exact"/>
        <w:rPr>
          <w:rFonts w:ascii="Times New Roman" w:cs="Times New Roman" w:eastAsia="Times New Roman" w:hAnsi="Times New Roman"/>
          <w:sz w:val="14"/>
          <w:szCs w:val="14"/>
          <w:b w:val="1"/>
          <w:bCs w:val="1"/>
          <w:color w:val="auto"/>
        </w:rPr>
      </w:pPr>
    </w:p>
    <w:p>
      <w:pPr>
        <w:ind w:left="1700" w:hanging="194"/>
        <w:spacing w:after="0"/>
        <w:tabs>
          <w:tab w:leader="none" w:pos="1700" w:val="left"/>
        </w:tabs>
        <w:numPr>
          <w:ilvl w:val="0"/>
          <w:numId w:val="6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to add to, delete from, or revise the conditions, limitations, and restrictions on the authorized amount, terms, or purposes of issue, authentication, and delivery of Securities, as</w:t>
      </w:r>
    </w:p>
    <w:p>
      <w:pPr>
        <w:spacing w:after="0" w:line="26" w:lineRule="exact"/>
        <w:rPr>
          <w:rFonts w:ascii="Times New Roman" w:cs="Times New Roman" w:eastAsia="Times New Roman" w:hAnsi="Times New Roman"/>
          <w:sz w:val="13"/>
          <w:szCs w:val="13"/>
          <w:b w:val="1"/>
          <w:bCs w:val="1"/>
          <w:color w:val="auto"/>
        </w:rPr>
      </w:pPr>
    </w:p>
    <w:p>
      <w:pPr>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4"/>
          <w:szCs w:val="14"/>
          <w:color w:val="auto"/>
        </w:rPr>
        <w:t>herein set forth;</w:t>
      </w:r>
    </w:p>
    <w:p>
      <w:pPr>
        <w:spacing w:after="0" w:line="155" w:lineRule="exact"/>
        <w:rPr>
          <w:rFonts w:ascii="Times New Roman" w:cs="Times New Roman" w:eastAsia="Times New Roman" w:hAnsi="Times New Roman"/>
          <w:sz w:val="13"/>
          <w:szCs w:val="13"/>
          <w:b w:val="1"/>
          <w:bCs w:val="1"/>
          <w:color w:val="auto"/>
        </w:rPr>
      </w:pPr>
    </w:p>
    <w:p>
      <w:pPr>
        <w:ind w:left="1680" w:hanging="174"/>
        <w:spacing w:after="0"/>
        <w:tabs>
          <w:tab w:leader="none" w:pos="1680" w:val="left"/>
        </w:tabs>
        <w:numPr>
          <w:ilvl w:val="0"/>
          <w:numId w:val="6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to make any change that does not adversely affect the rights of any Securityholder in any material respect;</w:t>
      </w:r>
    </w:p>
    <w:p>
      <w:pPr>
        <w:spacing w:after="0" w:line="167" w:lineRule="exact"/>
        <w:rPr>
          <w:rFonts w:ascii="Times New Roman" w:cs="Times New Roman" w:eastAsia="Times New Roman" w:hAnsi="Times New Roman"/>
          <w:sz w:val="14"/>
          <w:szCs w:val="14"/>
          <w:b w:val="1"/>
          <w:bCs w:val="1"/>
          <w:color w:val="auto"/>
        </w:rPr>
      </w:pPr>
    </w:p>
    <w:p>
      <w:pPr>
        <w:ind w:firstLine="1506"/>
        <w:spacing w:after="0" w:line="266" w:lineRule="auto"/>
        <w:tabs>
          <w:tab w:leader="none" w:pos="1708" w:val="left"/>
        </w:tabs>
        <w:numPr>
          <w:ilvl w:val="0"/>
          <w:numId w:val="6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to provide for the issuance of and establish the form and terms and conditions of the Securities of any series as provided in Section 2.01, to establish the form of any certifications required to be furnished pursuant to the terms of this Indenture or any series of Securities, or to add to the rights of the holders of any series of Securities;</w:t>
      </w:r>
    </w:p>
    <w:p>
      <w:pPr>
        <w:spacing w:after="0" w:line="135" w:lineRule="exact"/>
        <w:rPr>
          <w:rFonts w:ascii="Times New Roman" w:cs="Times New Roman" w:eastAsia="Times New Roman" w:hAnsi="Times New Roman"/>
          <w:sz w:val="14"/>
          <w:szCs w:val="14"/>
          <w:b w:val="1"/>
          <w:bCs w:val="1"/>
          <w:color w:val="auto"/>
        </w:rPr>
      </w:pPr>
    </w:p>
    <w:p>
      <w:pPr>
        <w:ind w:left="1700" w:hanging="194"/>
        <w:spacing w:after="0"/>
        <w:tabs>
          <w:tab w:leader="none" w:pos="1700" w:val="left"/>
        </w:tabs>
        <w:numPr>
          <w:ilvl w:val="0"/>
          <w:numId w:val="6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to evidence and provide for the acceptance of appointment hereunder by a successor trustee; or</w:t>
      </w:r>
    </w:p>
    <w:p>
      <w:pPr>
        <w:spacing w:after="0" w:line="167" w:lineRule="exact"/>
        <w:rPr>
          <w:rFonts w:ascii="Times New Roman" w:cs="Times New Roman" w:eastAsia="Times New Roman" w:hAnsi="Times New Roman"/>
          <w:sz w:val="14"/>
          <w:szCs w:val="14"/>
          <w:b w:val="1"/>
          <w:bCs w:val="1"/>
          <w:color w:val="auto"/>
        </w:rPr>
      </w:pPr>
    </w:p>
    <w:p>
      <w:pPr>
        <w:ind w:left="1660" w:hanging="154"/>
        <w:spacing w:after="0"/>
        <w:tabs>
          <w:tab w:leader="none" w:pos="1660" w:val="left"/>
        </w:tabs>
        <w:numPr>
          <w:ilvl w:val="0"/>
          <w:numId w:val="6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to comply with any requirements of the Commission or any successor in connection with the qualification of this Indenture under the Trust Indenture Act.</w:t>
      </w:r>
    </w:p>
    <w:p>
      <w:pPr>
        <w:spacing w:after="0" w:line="167" w:lineRule="exact"/>
        <w:rPr>
          <w:sz w:val="20"/>
          <w:szCs w:val="20"/>
          <w:color w:val="auto"/>
        </w:rPr>
      </w:pPr>
    </w:p>
    <w:p>
      <w:pPr>
        <w:ind w:firstLine="752"/>
        <w:spacing w:after="0" w:line="266" w:lineRule="auto"/>
        <w:rPr>
          <w:sz w:val="20"/>
          <w:szCs w:val="20"/>
          <w:color w:val="auto"/>
        </w:rPr>
      </w:pPr>
      <w:r>
        <w:rPr>
          <w:rFonts w:ascii="Times New Roman" w:cs="Times New Roman" w:eastAsia="Times New Roman" w:hAnsi="Times New Roman"/>
          <w:sz w:val="14"/>
          <w:szCs w:val="14"/>
          <w:color w:val="auto"/>
        </w:rPr>
        <w:t>The Trustee is hereby authorized to join with the Company in the execution of any such supplemental indenture, and to make any further appropriate agreements and stipulations that may be therein contained, but the Trustee shall not be obligated to enter into any such supplemental indenture that affects the Trustee’s own rights, duties or immunities under this Indenture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654685</wp:posOffset>
            </wp:positionV>
            <wp:extent cx="719074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276" w:right="319" w:bottom="1440" w:gutter="0" w:footer="0" w:header="0"/>
        </w:sectPr>
      </w:pPr>
    </w:p>
    <w:bookmarkStart w:id="60" w:name="page61"/>
    <w:bookmarkEnd w:id="60"/>
    <w:p>
      <w:pPr>
        <w:jc w:val="both"/>
        <w:ind w:firstLine="752"/>
        <w:spacing w:after="0" w:line="266" w:lineRule="auto"/>
        <w:rPr>
          <w:sz w:val="20"/>
          <w:szCs w:val="20"/>
          <w:color w:val="auto"/>
        </w:rPr>
      </w:pPr>
      <w:r>
        <w:rPr>
          <w:rFonts w:ascii="Times New Roman" w:cs="Times New Roman" w:eastAsia="Times New Roman" w:hAnsi="Times New Roman"/>
          <w:sz w:val="14"/>
          <w:szCs w:val="14"/>
          <w:color w:val="auto"/>
        </w:rPr>
        <w:t>Any supplemental indenture authorized by the provisions of this Section may be executed by the Company and the Trustee without the consent of the holders of any of the Securities at the time Outstanding, notwithstanding any of the provisions of Section 9.02.</w:t>
      </w:r>
    </w:p>
    <w:p>
      <w:pPr>
        <w:spacing w:after="0" w:line="13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Section 9.02 Supplemental Indentures With Consent of Securityholders</w:t>
      </w:r>
      <w:r>
        <w:rPr>
          <w:rFonts w:ascii="Times New Roman" w:cs="Times New Roman" w:eastAsia="Times New Roman" w:hAnsi="Times New Roman"/>
          <w:sz w:val="14"/>
          <w:szCs w:val="14"/>
          <w:color w:val="auto"/>
        </w:rPr>
        <w:t>.</w:t>
      </w:r>
    </w:p>
    <w:p>
      <w:pPr>
        <w:spacing w:after="0" w:line="171" w:lineRule="exact"/>
        <w:rPr>
          <w:sz w:val="20"/>
          <w:szCs w:val="20"/>
          <w:color w:val="auto"/>
        </w:rPr>
      </w:pPr>
    </w:p>
    <w:p>
      <w:pPr>
        <w:jc w:val="both"/>
        <w:ind w:firstLine="752"/>
        <w:spacing w:after="0" w:line="248" w:lineRule="auto"/>
        <w:rPr>
          <w:sz w:val="20"/>
          <w:szCs w:val="20"/>
          <w:color w:val="auto"/>
        </w:rPr>
      </w:pPr>
      <w:r>
        <w:rPr>
          <w:rFonts w:ascii="Times New Roman" w:cs="Times New Roman" w:eastAsia="Times New Roman" w:hAnsi="Times New Roman"/>
          <w:sz w:val="14"/>
          <w:szCs w:val="14"/>
          <w:color w:val="auto"/>
        </w:rPr>
        <w:t>With the consent (evidenced as provided in Section 8.01) of the holders of not less than a majority in aggregate principal amount of the Securities of each series affected by such supplemental indenture or indentures at the time Outstanding, the Company, when authorized by a Board Resolution, and the Trustee may from time to time and at any time enter into an indenture or indentures supplemental hereto (which shall conform to the provisions of the Trust Indenture Act as then in effect) for the purpose of adding any provisions to or changing in any manner or eliminating any of the provisions of this Indenture or of any supplemental indenture or of modifying in any manner not covered by Section 9.01 the rights of the holders of the Securities of such series under this Indenture; provided, however, that no such supplemental indenture shall, without the consent of the holders of each Security then Outstanding and affected thereby, (a) extend the fixed maturity of any Securities of any series, or reduce the principal amount thereof, or reduce the rate or extend the time of payment of interest thereon, or reduce any premium payable upon the redemption thereof or (b) reduce the aforesaid percentage of Securities, the holders of which are required to consent to any such supplemental indenture.</w:t>
      </w:r>
    </w:p>
    <w:p>
      <w:pPr>
        <w:spacing w:after="0" w:line="149" w:lineRule="exact"/>
        <w:rPr>
          <w:sz w:val="20"/>
          <w:szCs w:val="20"/>
          <w:color w:val="auto"/>
        </w:rPr>
      </w:pPr>
    </w:p>
    <w:p>
      <w:pPr>
        <w:jc w:val="both"/>
        <w:ind w:firstLine="752"/>
        <w:spacing w:after="0" w:line="266" w:lineRule="auto"/>
        <w:rPr>
          <w:sz w:val="20"/>
          <w:szCs w:val="20"/>
          <w:color w:val="auto"/>
        </w:rPr>
      </w:pPr>
      <w:r>
        <w:rPr>
          <w:rFonts w:ascii="Times New Roman" w:cs="Times New Roman" w:eastAsia="Times New Roman" w:hAnsi="Times New Roman"/>
          <w:sz w:val="14"/>
          <w:szCs w:val="14"/>
          <w:color w:val="auto"/>
        </w:rPr>
        <w:t>It shall not be necessary for the consent of the Securityholders of any series affected thereby under this Section to approve the particular form of any proposed supplemental indenture, but it shall be sufficient if such consent shall approve the substance thereof.</w:t>
      </w:r>
    </w:p>
    <w:p>
      <w:pPr>
        <w:spacing w:after="0" w:line="13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Section 9.03 Effect of Supplemental Indentures</w:t>
      </w:r>
      <w:r>
        <w:rPr>
          <w:rFonts w:ascii="Times New Roman" w:cs="Times New Roman" w:eastAsia="Times New Roman" w:hAnsi="Times New Roman"/>
          <w:sz w:val="14"/>
          <w:szCs w:val="14"/>
          <w:color w:val="auto"/>
        </w:rPr>
        <w:t>.</w:t>
      </w:r>
    </w:p>
    <w:p>
      <w:pPr>
        <w:spacing w:after="0" w:line="171" w:lineRule="exact"/>
        <w:rPr>
          <w:sz w:val="20"/>
          <w:szCs w:val="20"/>
          <w:color w:val="auto"/>
        </w:rPr>
      </w:pPr>
    </w:p>
    <w:p>
      <w:pPr>
        <w:jc w:val="both"/>
        <w:ind w:firstLine="752"/>
        <w:spacing w:after="0" w:line="252" w:lineRule="auto"/>
        <w:rPr>
          <w:sz w:val="20"/>
          <w:szCs w:val="20"/>
          <w:color w:val="auto"/>
        </w:rPr>
      </w:pPr>
      <w:r>
        <w:rPr>
          <w:rFonts w:ascii="Times New Roman" w:cs="Times New Roman" w:eastAsia="Times New Roman" w:hAnsi="Times New Roman"/>
          <w:sz w:val="14"/>
          <w:szCs w:val="14"/>
          <w:color w:val="auto"/>
        </w:rPr>
        <w:t>Upon the execution of any supplemental indenture pursuant to the provisions of this Article or of Section 10.01, this Indenture shall, with respect to such series, be and be deemed to be modified and amended in accordance therewith and the respective rights, limitations of rights, obligations, duties and immunities under this Indenture of the Trustee, the Company and the holders of Securities of the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14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Section 9.04 Securities Affected by Supplemental Indentures</w:t>
      </w:r>
      <w:r>
        <w:rPr>
          <w:rFonts w:ascii="Times New Roman" w:cs="Times New Roman" w:eastAsia="Times New Roman" w:hAnsi="Times New Roman"/>
          <w:sz w:val="14"/>
          <w:szCs w:val="14"/>
          <w:color w:val="auto"/>
        </w:rPr>
        <w:t>.</w:t>
      </w:r>
    </w:p>
    <w:p>
      <w:pPr>
        <w:spacing w:after="0" w:line="171" w:lineRule="exact"/>
        <w:rPr>
          <w:sz w:val="20"/>
          <w:szCs w:val="20"/>
          <w:color w:val="auto"/>
        </w:rPr>
      </w:pPr>
    </w:p>
    <w:p>
      <w:pPr>
        <w:jc w:val="both"/>
        <w:ind w:firstLine="752"/>
        <w:spacing w:after="0" w:line="252" w:lineRule="auto"/>
        <w:rPr>
          <w:sz w:val="20"/>
          <w:szCs w:val="20"/>
          <w:color w:val="auto"/>
        </w:rPr>
      </w:pPr>
      <w:r>
        <w:rPr>
          <w:rFonts w:ascii="Times New Roman" w:cs="Times New Roman" w:eastAsia="Times New Roman" w:hAnsi="Times New Roman"/>
          <w:sz w:val="14"/>
          <w:szCs w:val="14"/>
          <w:color w:val="auto"/>
        </w:rPr>
        <w:t>Securities of any series affected by a supplemental indenture, authenticated and delivered after the execution of such supplemental indenture pursuant to the provisions of this Article or of Section 10.01, may bear a notation in form approved by the Company, provided such form meets the requirements of any securities exchange upon which such series may be listed, as to any matter provided for in such supplemental indenture. If the Company shall so determine, new Securities of that series so modified as to conform, in the opinion of the Board of Directors, to any modification of this Indenture contained in any such supplemental indenture may be prepared by the Company, authenticated by the Trustee and delivered in exchange for the Securities of that series then Outstanding.</w:t>
      </w:r>
    </w:p>
    <w:p>
      <w:pPr>
        <w:spacing w:after="0" w:line="14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Section 9.05 Execution of Supplemental Indentures</w:t>
      </w:r>
      <w:r>
        <w:rPr>
          <w:rFonts w:ascii="Times New Roman" w:cs="Times New Roman" w:eastAsia="Times New Roman" w:hAnsi="Times New Roman"/>
          <w:sz w:val="14"/>
          <w:szCs w:val="14"/>
          <w:color w:val="auto"/>
        </w:rPr>
        <w:t>.</w:t>
      </w:r>
    </w:p>
    <w:p>
      <w:pPr>
        <w:spacing w:after="0" w:line="171" w:lineRule="exact"/>
        <w:rPr>
          <w:sz w:val="20"/>
          <w:szCs w:val="20"/>
          <w:color w:val="auto"/>
        </w:rPr>
      </w:pPr>
    </w:p>
    <w:p>
      <w:pPr>
        <w:jc w:val="both"/>
        <w:ind w:firstLine="752"/>
        <w:spacing w:after="0" w:line="249" w:lineRule="auto"/>
        <w:rPr>
          <w:sz w:val="20"/>
          <w:szCs w:val="20"/>
          <w:color w:val="auto"/>
        </w:rPr>
      </w:pPr>
      <w:r>
        <w:rPr>
          <w:rFonts w:ascii="Times New Roman" w:cs="Times New Roman" w:eastAsia="Times New Roman" w:hAnsi="Times New Roman"/>
          <w:sz w:val="14"/>
          <w:szCs w:val="14"/>
          <w:color w:val="auto"/>
        </w:rPr>
        <w:t>Upon the request of the Company, accompanied by its Board Resolutions authorizing the execution of any such supplemental indenture, and upon the filing with the Trustee of evidence of the consent of Securityholders required to consent thereto as aforesaid,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 The Trustee, subject to the provisions of Section 7.01, shall receive an Officer’s Certificate or an Opinion of Counsel as conclusive evidence that any supplemental indenture executed pursuant to this Article is authorized or permitted by the terms of this Article and that all conditions precedent to the execution of the supplemental indenture have been complied with; provided, however, that such Officer’s Certificate or Opinion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661670</wp:posOffset>
            </wp:positionV>
            <wp:extent cx="719074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276" w:right="3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color w:val="auto"/>
        </w:rPr>
        <w:t>Counsel need not be provided in connection with the execution of a supplemental indenture that establishes the terms of a series of Securities pursuant to Section 2.01 hereof.</w:t>
      </w:r>
    </w:p>
    <w:p>
      <w:pPr>
        <w:spacing w:after="0" w:line="167" w:lineRule="exact"/>
        <w:rPr>
          <w:sz w:val="20"/>
          <w:szCs w:val="20"/>
          <w:color w:val="auto"/>
        </w:rPr>
      </w:pPr>
    </w:p>
    <w:p>
      <w:pPr>
        <w:jc w:val="both"/>
        <w:ind w:firstLine="752"/>
        <w:spacing w:after="0" w:line="255" w:lineRule="auto"/>
        <w:rPr>
          <w:sz w:val="20"/>
          <w:szCs w:val="20"/>
          <w:color w:val="auto"/>
        </w:rPr>
      </w:pPr>
      <w:r>
        <w:rPr>
          <w:rFonts w:ascii="Times New Roman" w:cs="Times New Roman" w:eastAsia="Times New Roman" w:hAnsi="Times New Roman"/>
          <w:sz w:val="14"/>
          <w:szCs w:val="14"/>
          <w:color w:val="auto"/>
        </w:rPr>
        <w:t>Promptly after the execution by the Company and the Trustee of any supplemental indenture pursuant to the provisions of this Section, the Company shall (or shall direct the Trustee to) send a notice, setting forth in general terms the substance of such supplemental indenture, to the Securityholders of all series affected thereby, as their names and addresses appear upon the Security Register. Any failure of the Company to send, or cause the sending of, such notice, or any defect therein, shall not, however, in any way impair or affect the validity of any such supplemental indenture.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10</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SUCCESSOR ENTITY</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Section 10.01 Company May Consolidate, Etc.</w:t>
      </w:r>
    </w:p>
    <w:p>
      <w:pPr>
        <w:spacing w:after="0" w:line="171" w:lineRule="exact"/>
        <w:rPr>
          <w:sz w:val="20"/>
          <w:szCs w:val="20"/>
          <w:color w:val="auto"/>
        </w:rPr>
      </w:pPr>
    </w:p>
    <w:p>
      <w:pPr>
        <w:jc w:val="both"/>
        <w:ind w:firstLine="752"/>
        <w:spacing w:after="0" w:line="247" w:lineRule="auto"/>
        <w:rPr>
          <w:sz w:val="20"/>
          <w:szCs w:val="20"/>
          <w:color w:val="auto"/>
        </w:rPr>
      </w:pPr>
      <w:r>
        <w:rPr>
          <w:rFonts w:ascii="Times New Roman" w:cs="Times New Roman" w:eastAsia="Times New Roman" w:hAnsi="Times New Roman"/>
          <w:sz w:val="14"/>
          <w:szCs w:val="14"/>
          <w:color w:val="auto"/>
        </w:rPr>
        <w:t>Nothing contained in this Indenture shall prevent any consolidation or merger of the Company with or into any other Person (whether or not affiliated with the Company) or successive consolidations or mergers in which the Company or its successor or successors shall be a party or parties, or shall prevent any sale, conveyance, transfer or other disposition of the property of the Company or its successor or successors as an entirety, or substantially as an entirety, to any other Person (whether or not affiliated with the Company or its successor or successors); provided, however, the Company hereby covenants and agrees that, upon any such consolidation or merger (in each case, if the Company is not the survivor of such transaction) or any such sale, conveyance, transfer or other disposition (other than a sale, conveyance, transfer or other disposition to a Subsidiary of the Company), the due and punctual payment of the principal of (premium, if any) and interest on all of the Securities of all series in accordance with the terms of each series, according to their tenor, and the due and punctual performance and observance of all the covenants and conditions of this Indenture with respect to each series or established with respect to such series pursuant to Section 2.01 to be kept or performed by the Company shall be expressly assumed, by supplemental indenture (which shall conform to the provisions of the Trust Indenture Act, as then in effect) reasonably satisfactory in form to the Trustee executed and delivered to the Trustee by the entity formed by such consolidation, or into which the Company shall have been merged, or by the entity which shall have acquired such property.</w:t>
      </w:r>
    </w:p>
    <w:p>
      <w:pPr>
        <w:spacing w:after="0" w:line="14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Section 10.02 Successor Entity Substituted</w:t>
      </w:r>
      <w:r>
        <w:rPr>
          <w:rFonts w:ascii="Times New Roman" w:cs="Times New Roman" w:eastAsia="Times New Roman" w:hAnsi="Times New Roman"/>
          <w:sz w:val="14"/>
          <w:szCs w:val="14"/>
          <w:color w:val="auto"/>
        </w:rPr>
        <w:t>.</w:t>
      </w:r>
    </w:p>
    <w:p>
      <w:pPr>
        <w:spacing w:after="0" w:line="171" w:lineRule="exact"/>
        <w:rPr>
          <w:sz w:val="20"/>
          <w:szCs w:val="20"/>
          <w:color w:val="auto"/>
        </w:rPr>
      </w:pPr>
    </w:p>
    <w:p>
      <w:pPr>
        <w:jc w:val="both"/>
        <w:ind w:firstLine="1506"/>
        <w:spacing w:after="0" w:line="252" w:lineRule="auto"/>
        <w:tabs>
          <w:tab w:leader="none" w:pos="1698" w:val="left"/>
        </w:tabs>
        <w:numPr>
          <w:ilvl w:val="0"/>
          <w:numId w:val="6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 case of any such consolidation, merger, sale, conveyance, transfer or other disposition and upon the assumption by the successor entity by supplemental indenture, executed and delivered to the Trustee and satisfactory in form to the Trustee, of the obligations set forth under Section 10.01 on all of the Securities of all series Outstanding, such successor entity shall succeed to and be substituted for the Company with the same effect as if it had been named as the Company herein, and thereupon the predecessor corporation shall be relieved of all obligations and covenants under this Indenture and the Securities.</w:t>
      </w:r>
    </w:p>
    <w:p>
      <w:pPr>
        <w:spacing w:after="0" w:line="144" w:lineRule="exact"/>
        <w:rPr>
          <w:rFonts w:ascii="Times New Roman" w:cs="Times New Roman" w:eastAsia="Times New Roman" w:hAnsi="Times New Roman"/>
          <w:sz w:val="14"/>
          <w:szCs w:val="14"/>
          <w:b w:val="1"/>
          <w:bCs w:val="1"/>
          <w:color w:val="auto"/>
        </w:rPr>
      </w:pPr>
    </w:p>
    <w:p>
      <w:pPr>
        <w:ind w:firstLine="1506"/>
        <w:spacing w:after="0" w:line="266" w:lineRule="auto"/>
        <w:tabs>
          <w:tab w:leader="none" w:pos="1706" w:val="left"/>
        </w:tabs>
        <w:numPr>
          <w:ilvl w:val="0"/>
          <w:numId w:val="6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 case of any such consolidation, merger, sale, conveyance, transfer or other disposition, such changes in phraseology and form (but not in substance) may be made in the Securities thereafter to be issued as may be appropriate.</w:t>
      </w:r>
    </w:p>
    <w:p>
      <w:pPr>
        <w:spacing w:after="0" w:line="135" w:lineRule="exact"/>
        <w:rPr>
          <w:rFonts w:ascii="Times New Roman" w:cs="Times New Roman" w:eastAsia="Times New Roman" w:hAnsi="Times New Roman"/>
          <w:sz w:val="14"/>
          <w:szCs w:val="14"/>
          <w:b w:val="1"/>
          <w:bCs w:val="1"/>
          <w:color w:val="auto"/>
        </w:rPr>
      </w:pPr>
    </w:p>
    <w:p>
      <w:pPr>
        <w:ind w:firstLine="1506"/>
        <w:spacing w:after="0" w:line="266" w:lineRule="auto"/>
        <w:tabs>
          <w:tab w:leader="none" w:pos="1690" w:val="left"/>
        </w:tabs>
        <w:numPr>
          <w:ilvl w:val="0"/>
          <w:numId w:val="6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Nothing contained in this Article shall require any action by the Company in the case of a consolidation or merger of any Person into the Company where the Company is the survivor of such transaction, or the acquisition by the Company, by purchase or otherwise, of all or any part of the property of any other Person (whether or not affiliated with the Company).</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11</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SATISFACTION AND DISCHARGE</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Section 11.01 Satisfaction and Discharge of Indenture</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781685</wp:posOffset>
            </wp:positionV>
            <wp:extent cx="719074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112" w:right="319" w:bottom="1440" w:gutter="0" w:footer="0" w:header="0"/>
        </w:sectPr>
      </w:pPr>
    </w:p>
    <w:bookmarkStart w:id="62" w:name="page63"/>
    <w:bookmarkEnd w:id="62"/>
    <w:p>
      <w:pPr>
        <w:jc w:val="both"/>
        <w:ind w:firstLine="752"/>
        <w:spacing w:after="0" w:line="267" w:lineRule="auto"/>
        <w:rPr>
          <w:sz w:val="20"/>
          <w:szCs w:val="20"/>
          <w:color w:val="auto"/>
        </w:rPr>
      </w:pPr>
      <w:r>
        <w:rPr>
          <w:rFonts w:ascii="Times New Roman" w:cs="Times New Roman" w:eastAsia="Times New Roman" w:hAnsi="Times New Roman"/>
          <w:sz w:val="13"/>
          <w:szCs w:val="13"/>
          <w:color w:val="auto"/>
        </w:rPr>
        <w:t>If at any time: (a) the Company shall have delivered to the Trustee for cancellation all Securities of a series theretofore authenticated and not delivered to the Trustee for cancellation (other than any Securities that shall have been destroyed, lost or stolen and that shall have been replaced or paid as provided in Section 2.07 and Securities for whose payment money or Governmental Obligations have theretofore been deposited in trust or segregated and held in trust by the Company and thereupon repaid to the Company or discharged from such trust, as provided in Section 11.05); or (b) all such Securities of a particular series not theretofore delivered to the Trustee for cancellation shall have become due and payable, or are by their terms to become due and payable within one year or are to be called for redemption within one year under arrangements satisfactory to the Trustee for the giving of notice of redemption, and the Company shall deposit or cause to be deposited with the Trustee as trust funds the entire amount in moneys or Governmental Obligations or a combination thereof, sufficient in the opinion of a nationally recognized firm of independent public accountants expressed in a written certification thereof delivered to the Trustee, to pay at maturity or upon redemption all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with respect to such series by the Company then this Indenture shall thereupon cease to be of further effect with respect to such series except for the provisions of Sections 2.03, 2.05, 2.07, 4.01, 4.02, 4.03, 7.10, 11.05 and 13.04, that shall survive until the date of maturity or redemption date, as the case may be, and Sections 7.06 and 11.05, that shall survive to such date and thereafter, and the Trustee, on demand of the Company and at the cost and expense of the Company shall execute proper instruments acknowledging satisfaction of and discharging this Indenture with respect to such series.</w:t>
      </w:r>
    </w:p>
    <w:p>
      <w:pPr>
        <w:spacing w:after="0" w:line="13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Section 11.02 Discharge of Obligations</w:t>
      </w:r>
      <w:r>
        <w:rPr>
          <w:rFonts w:ascii="Times New Roman" w:cs="Times New Roman" w:eastAsia="Times New Roman" w:hAnsi="Times New Roman"/>
          <w:sz w:val="14"/>
          <w:szCs w:val="14"/>
          <w:color w:val="auto"/>
        </w:rPr>
        <w:t>.</w:t>
      </w:r>
    </w:p>
    <w:p>
      <w:pPr>
        <w:spacing w:after="0" w:line="171" w:lineRule="exact"/>
        <w:rPr>
          <w:sz w:val="20"/>
          <w:szCs w:val="20"/>
          <w:color w:val="auto"/>
        </w:rPr>
      </w:pPr>
    </w:p>
    <w:p>
      <w:pPr>
        <w:jc w:val="both"/>
        <w:ind w:firstLine="752"/>
        <w:spacing w:after="0" w:line="249" w:lineRule="auto"/>
        <w:rPr>
          <w:sz w:val="20"/>
          <w:szCs w:val="20"/>
          <w:color w:val="auto"/>
        </w:rPr>
      </w:pPr>
      <w:r>
        <w:rPr>
          <w:rFonts w:ascii="Times New Roman" w:cs="Times New Roman" w:eastAsia="Times New Roman" w:hAnsi="Times New Roman"/>
          <w:sz w:val="14"/>
          <w:szCs w:val="14"/>
          <w:color w:val="auto"/>
        </w:rPr>
        <w:t>If at any time all such Securities of a particular series not heretofore delivered to the Trustee for cancellation or that have not become due and payable as described in Section 11.01 shall have been paid by the Company by depositing irrevocably with the Trustee as trust funds moneys or an amount of Governmental Obligations sufficient to pay at maturity or upon redemption all such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by the Company with respect to such series, then after the date such moneys or Governmental Obligations, as the case may be, are deposited with the Trustee the obligations of the Company under this Indenture with respect to such series shall cease to be of further effect except for the provisions of Sections 2.03, 2.05, 2.07, 4.01, 4.02, 4.03, 7.06, 7.10, 11.05 and 13.04 hereof that shall survive until such Securities shall mature and be paid.</w:t>
      </w:r>
    </w:p>
    <w:p>
      <w:pPr>
        <w:spacing w:after="0" w:line="14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Thereafter, Sections 7.06 and 11.05 shall survive.</w:t>
      </w:r>
    </w:p>
    <w:p>
      <w:pPr>
        <w:spacing w:after="0" w:line="16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Section 11.03 Deposited Moneys to be Held in Trust</w:t>
      </w:r>
      <w:r>
        <w:rPr>
          <w:rFonts w:ascii="Times New Roman" w:cs="Times New Roman" w:eastAsia="Times New Roman" w:hAnsi="Times New Roman"/>
          <w:sz w:val="14"/>
          <w:szCs w:val="14"/>
          <w:color w:val="auto"/>
        </w:rPr>
        <w:t>.</w:t>
      </w:r>
    </w:p>
    <w:p>
      <w:pPr>
        <w:spacing w:after="0" w:line="171" w:lineRule="exact"/>
        <w:rPr>
          <w:sz w:val="20"/>
          <w:szCs w:val="20"/>
          <w:color w:val="auto"/>
        </w:rPr>
      </w:pPr>
    </w:p>
    <w:p>
      <w:pPr>
        <w:jc w:val="both"/>
        <w:ind w:firstLine="752"/>
        <w:spacing w:after="0" w:line="255" w:lineRule="auto"/>
        <w:rPr>
          <w:sz w:val="20"/>
          <w:szCs w:val="20"/>
          <w:color w:val="auto"/>
        </w:rPr>
      </w:pPr>
      <w:r>
        <w:rPr>
          <w:rFonts w:ascii="Times New Roman" w:cs="Times New Roman" w:eastAsia="Times New Roman" w:hAnsi="Times New Roman"/>
          <w:sz w:val="14"/>
          <w:szCs w:val="14"/>
          <w:color w:val="auto"/>
        </w:rPr>
        <w:t>All moneys or Governmental Obligations deposited with the Trustee pursuant to Sections 11.01 or 11.02 shall be held in trust and shall be available for payment as due, either directly or through any paying agent (including the Company acting as its own paying agent), to the holders of the particular series of Securities for the payment or redemption of which such moneys or Governmental Obligations have been deposited with the Trustee.</w:t>
      </w:r>
    </w:p>
    <w:p>
      <w:pPr>
        <w:spacing w:after="0" w:line="13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Section 11.04 Payment of Moneys Held by Paying Agents</w:t>
      </w:r>
      <w:r>
        <w:rPr>
          <w:rFonts w:ascii="Times New Roman" w:cs="Times New Roman" w:eastAsia="Times New Roman" w:hAnsi="Times New Roman"/>
          <w:sz w:val="14"/>
          <w:szCs w:val="14"/>
          <w:color w:val="auto"/>
        </w:rPr>
        <w:t>.</w:t>
      </w:r>
    </w:p>
    <w:p>
      <w:pPr>
        <w:spacing w:after="0" w:line="171" w:lineRule="exact"/>
        <w:rPr>
          <w:sz w:val="20"/>
          <w:szCs w:val="20"/>
          <w:color w:val="auto"/>
        </w:rPr>
      </w:pPr>
    </w:p>
    <w:p>
      <w:pPr>
        <w:jc w:val="both"/>
        <w:ind w:firstLine="752"/>
        <w:spacing w:after="0" w:line="266" w:lineRule="auto"/>
        <w:rPr>
          <w:sz w:val="20"/>
          <w:szCs w:val="20"/>
          <w:color w:val="auto"/>
        </w:rPr>
      </w:pPr>
      <w:r>
        <w:rPr>
          <w:rFonts w:ascii="Times New Roman" w:cs="Times New Roman" w:eastAsia="Times New Roman" w:hAnsi="Times New Roman"/>
          <w:sz w:val="14"/>
          <w:szCs w:val="14"/>
          <w:color w:val="auto"/>
        </w:rPr>
        <w:t>In connection with the satisfaction and discharge of this Indenture all moneys or Governmental Obligations then held by any paying agent under the provisions of this Indenture shall, upon demand of the Company, be paid to the Trustee and thereupon such paying agent shall be released from all further liability with respect to such moneys or Governmental Obligations.</w:t>
      </w:r>
    </w:p>
    <w:p>
      <w:pPr>
        <w:spacing w:after="0" w:line="13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Section 11.05 Repayment to Company</w:t>
      </w:r>
      <w:r>
        <w:rPr>
          <w:rFonts w:ascii="Times New Roman" w:cs="Times New Roman" w:eastAsia="Times New Roman" w:hAnsi="Times New Roman"/>
          <w:sz w:val="14"/>
          <w:szCs w:val="14"/>
          <w:color w:val="auto"/>
        </w:rPr>
        <w:t>.</w:t>
      </w:r>
    </w:p>
    <w:p>
      <w:pPr>
        <w:spacing w:after="0" w:line="171" w:lineRule="exact"/>
        <w:rPr>
          <w:sz w:val="20"/>
          <w:szCs w:val="20"/>
          <w:color w:val="auto"/>
        </w:rPr>
      </w:pPr>
    </w:p>
    <w:p>
      <w:pPr>
        <w:jc w:val="both"/>
        <w:ind w:firstLine="752"/>
        <w:spacing w:after="0" w:line="255" w:lineRule="auto"/>
        <w:rPr>
          <w:sz w:val="20"/>
          <w:szCs w:val="20"/>
          <w:color w:val="auto"/>
        </w:rPr>
      </w:pPr>
      <w:r>
        <w:rPr>
          <w:rFonts w:ascii="Times New Roman" w:cs="Times New Roman" w:eastAsia="Times New Roman" w:hAnsi="Times New Roman"/>
          <w:sz w:val="14"/>
          <w:szCs w:val="14"/>
          <w:color w:val="auto"/>
        </w:rPr>
        <w:t>Any moneys or Governmental Obligations deposited with any paying agent or the Trustee, or then held by the Company, in trust for payment of principal of or premium, if any, or interest on the Securities of a particular series that are not applied but remain unclaimed by the holders of such Securities for at least two years after the date upon which the principal of (and premium, if any) or interest on such Securities shall have respectively become due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659765</wp:posOffset>
            </wp:positionV>
            <wp:extent cx="719074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3">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112" w:right="319" w:bottom="1440" w:gutter="0" w:footer="0" w:header="0"/>
        </w:sectPr>
      </w:pPr>
    </w:p>
    <w:bookmarkStart w:id="63" w:name="page64"/>
    <w:bookmarkEnd w:id="63"/>
    <w:p>
      <w:pPr>
        <w:jc w:val="both"/>
        <w:spacing w:after="0" w:line="255" w:lineRule="auto"/>
        <w:rPr>
          <w:sz w:val="20"/>
          <w:szCs w:val="20"/>
          <w:color w:val="auto"/>
        </w:rPr>
      </w:pPr>
      <w:r>
        <w:rPr>
          <w:rFonts w:ascii="Times New Roman" w:cs="Times New Roman" w:eastAsia="Times New Roman" w:hAnsi="Times New Roman"/>
          <w:sz w:val="14"/>
          <w:szCs w:val="14"/>
          <w:color w:val="auto"/>
        </w:rPr>
        <w:t>payable, or such other shorter period set forth in applicable escheat or abandoned or unclaimed property law, shall be repaid to the Company on May 31 of each year or upon the Company’s request or (if then held by the Company) shall be discharged from such trust; and thereupon the paying agent and the Trustee shall be released from all further liability with respect to such moneys or Governmental Obligations, and the holder of any of the Securities entitled to receive such payment shall thereafter, as a general creditor, look only to the Company for the payment thereof.</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12</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IMMUNITY OF INCORPORATORS, SHAREHOLDER, OFFICERS AND DIRECTORS</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Section 12.01 No Recourse</w:t>
      </w:r>
      <w:r>
        <w:rPr>
          <w:rFonts w:ascii="Times New Roman" w:cs="Times New Roman" w:eastAsia="Times New Roman" w:hAnsi="Times New Roman"/>
          <w:sz w:val="14"/>
          <w:szCs w:val="14"/>
          <w:color w:val="auto"/>
        </w:rPr>
        <w:t>.</w:t>
      </w:r>
    </w:p>
    <w:p>
      <w:pPr>
        <w:spacing w:after="0" w:line="171" w:lineRule="exact"/>
        <w:rPr>
          <w:sz w:val="20"/>
          <w:szCs w:val="20"/>
          <w:color w:val="auto"/>
        </w:rPr>
      </w:pPr>
    </w:p>
    <w:p>
      <w:pPr>
        <w:jc w:val="both"/>
        <w:ind w:firstLine="752"/>
        <w:spacing w:after="0" w:line="247" w:lineRule="auto"/>
        <w:rPr>
          <w:sz w:val="20"/>
          <w:szCs w:val="20"/>
          <w:color w:val="auto"/>
        </w:rPr>
      </w:pPr>
      <w:r>
        <w:rPr>
          <w:rFonts w:ascii="Times New Roman" w:cs="Times New Roman" w:eastAsia="Times New Roman" w:hAnsi="Times New Roman"/>
          <w:sz w:val="14"/>
          <w:szCs w:val="14"/>
          <w:color w:val="auto"/>
        </w:rPr>
        <w:t>No recourse under or upon any obligation, covenant or agreement of this Indenture, or of any Security, or for any claim based thereon or otherwise in respect thereof, shall be had against any incorporator, shareholder, officer or director, past, present or future as such, of the Company or of any predecessor or successor corporation, either directly or through the Company or any such predecessor or successor corporation, whether by virtue of any constitution, statute or rule of law, or by the 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shareholder, officers or directors as such, of the Company or of any predecessor or successor corporation, or any of them, because of the creation of the indebtedness hereby authorized, or under or by reason of the obligations, covenants or agreements contained in this Indenture or in any of the Securities or implied therefrom; and that any and all such personal liability of every name and nature, either at common law or in equity or by constitution or statute, of, and any and all such rights and claims against, every such incorporator, shareholder, officer or director as such, because of the creation of the indebtedness hereby authorized, or under or by reason of the obligations, covenants or agreements contained in this Indenture or in any of the Securities or implied therefrom, are hereby expressly waived and released as a condition of, and as a consideration for, the execution of this Indenture and the issuance of such Securities.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13</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MISCELLANEOUS PROVISIONS</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Section 13.01 Effect on Successors and Assigns</w:t>
      </w:r>
      <w:r>
        <w:rPr>
          <w:rFonts w:ascii="Times New Roman" w:cs="Times New Roman" w:eastAsia="Times New Roman" w:hAnsi="Times New Roman"/>
          <w:sz w:val="14"/>
          <w:szCs w:val="14"/>
          <w:color w:val="auto"/>
        </w:rPr>
        <w:t>.</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All the covenants, stipulations, promises and agreements in this Indenture made by or on behalf of the Company shall bind its successors and assigns, whether so expressed or not.</w:t>
      </w:r>
    </w:p>
    <w:p>
      <w:pPr>
        <w:spacing w:after="0" w:line="16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Section 13.02 Actions by Successor</w:t>
      </w:r>
      <w:r>
        <w:rPr>
          <w:rFonts w:ascii="Times New Roman" w:cs="Times New Roman" w:eastAsia="Times New Roman" w:hAnsi="Times New Roman"/>
          <w:sz w:val="14"/>
          <w:szCs w:val="14"/>
          <w:color w:val="auto"/>
        </w:rPr>
        <w:t>.</w:t>
      </w:r>
    </w:p>
    <w:p>
      <w:pPr>
        <w:spacing w:after="0" w:line="171" w:lineRule="exact"/>
        <w:rPr>
          <w:sz w:val="20"/>
          <w:szCs w:val="20"/>
          <w:color w:val="auto"/>
        </w:rPr>
      </w:pPr>
    </w:p>
    <w:p>
      <w:pPr>
        <w:jc w:val="both"/>
        <w:ind w:firstLine="752"/>
        <w:spacing w:after="0" w:line="266" w:lineRule="auto"/>
        <w:rPr>
          <w:sz w:val="20"/>
          <w:szCs w:val="20"/>
          <w:color w:val="auto"/>
        </w:rPr>
      </w:pPr>
      <w:r>
        <w:rPr>
          <w:rFonts w:ascii="Times New Roman" w:cs="Times New Roman" w:eastAsia="Times New Roman" w:hAnsi="Times New Roman"/>
          <w:sz w:val="14"/>
          <w:szCs w:val="14"/>
          <w:color w:val="auto"/>
        </w:rPr>
        <w:t>Any act or proceeding by any provision of this Indenture authorized or required to be done or performed by any board, committee or officer of the Company shall and may be done and performed with like force and effect by the corresponding board, committee or officer of any corporation that shall at the time be the lawful successor of the Company.</w:t>
      </w:r>
    </w:p>
    <w:p>
      <w:pPr>
        <w:spacing w:after="0" w:line="13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Section 13.03 Surrender of Company Powers</w:t>
      </w:r>
      <w:r>
        <w:rPr>
          <w:rFonts w:ascii="Times New Roman" w:cs="Times New Roman" w:eastAsia="Times New Roman" w:hAnsi="Times New Roman"/>
          <w:sz w:val="14"/>
          <w:szCs w:val="14"/>
          <w:color w:val="auto"/>
        </w:rPr>
        <w:t>.</w:t>
      </w:r>
    </w:p>
    <w:p>
      <w:pPr>
        <w:spacing w:after="0" w:line="171" w:lineRule="exact"/>
        <w:rPr>
          <w:sz w:val="20"/>
          <w:szCs w:val="20"/>
          <w:color w:val="auto"/>
        </w:rPr>
      </w:pPr>
    </w:p>
    <w:p>
      <w:pPr>
        <w:jc w:val="both"/>
        <w:ind w:firstLine="752"/>
        <w:spacing w:after="0" w:line="266" w:lineRule="auto"/>
        <w:rPr>
          <w:sz w:val="20"/>
          <w:szCs w:val="20"/>
          <w:color w:val="auto"/>
        </w:rPr>
      </w:pPr>
      <w:r>
        <w:rPr>
          <w:rFonts w:ascii="Times New Roman" w:cs="Times New Roman" w:eastAsia="Times New Roman" w:hAnsi="Times New Roman"/>
          <w:sz w:val="14"/>
          <w:szCs w:val="14"/>
          <w:color w:val="auto"/>
        </w:rPr>
        <w:t>The Company by instrument in writing executed by authority of its Board of Directors and delivered to the Trustee may surrender any of the powers reserved to the Company, and thereupon such power so surrendered shall terminate both as to the Company and as to any successor corporation.</w:t>
      </w:r>
    </w:p>
    <w:p>
      <w:pPr>
        <w:spacing w:after="0" w:line="13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Section 13.04 Notices</w:t>
      </w:r>
      <w:r>
        <w:rPr>
          <w:rFonts w:ascii="Times New Roman" w:cs="Times New Roman" w:eastAsia="Times New Roman" w:hAnsi="Times New Roman"/>
          <w:sz w:val="14"/>
          <w:szCs w:val="14"/>
          <w:color w:val="auto"/>
        </w:rPr>
        <w:t>.</w:t>
      </w:r>
    </w:p>
    <w:p>
      <w:pPr>
        <w:spacing w:after="0" w:line="171" w:lineRule="exact"/>
        <w:rPr>
          <w:sz w:val="20"/>
          <w:szCs w:val="20"/>
          <w:color w:val="auto"/>
        </w:rPr>
      </w:pPr>
    </w:p>
    <w:p>
      <w:pPr>
        <w:jc w:val="both"/>
        <w:ind w:firstLine="752"/>
        <w:spacing w:after="0" w:line="255" w:lineRule="auto"/>
        <w:rPr>
          <w:sz w:val="20"/>
          <w:szCs w:val="20"/>
          <w:color w:val="auto"/>
        </w:rPr>
      </w:pPr>
      <w:r>
        <w:rPr>
          <w:rFonts w:ascii="Times New Roman" w:cs="Times New Roman" w:eastAsia="Times New Roman" w:hAnsi="Times New Roman"/>
          <w:sz w:val="14"/>
          <w:szCs w:val="14"/>
          <w:color w:val="auto"/>
        </w:rPr>
        <w:t>Except as otherwise expressly provided herein, any notice, request or demand that by any provision of this Indenture is required or permitted to be given, made or served by the Trustee, the Security Registrar, any paying or other agent under this Indenture or by the holders of Securities or by any other Person pursuant to this Indenture to or on the Company may be given or served by being deposited in first class mail, postage prepaid, addressed (until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659765</wp:posOffset>
            </wp:positionV>
            <wp:extent cx="719074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4">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112" w:right="319" w:bottom="1440" w:gutter="0" w:footer="0" w:header="0"/>
        </w:sectPr>
      </w:pPr>
    </w:p>
    <w:bookmarkStart w:id="64" w:name="page65"/>
    <w:bookmarkEnd w:id="64"/>
    <w:p>
      <w:pPr>
        <w:jc w:val="both"/>
        <w:spacing w:after="0" w:line="255" w:lineRule="auto"/>
        <w:rPr>
          <w:sz w:val="20"/>
          <w:szCs w:val="20"/>
          <w:color w:val="auto"/>
        </w:rPr>
      </w:pPr>
      <w:r>
        <w:rPr>
          <w:rFonts w:ascii="Times New Roman" w:cs="Times New Roman" w:eastAsia="Times New Roman" w:hAnsi="Times New Roman"/>
          <w:sz w:val="14"/>
          <w:szCs w:val="14"/>
          <w:color w:val="auto"/>
        </w:rPr>
        <w:t>another address is filed in writing by the Company with the Trustee), as follows: Lineage Cell Therapeutics, Inc., 2173 Salk Avenue, Suite 200, Carlsbad, CA 92008, Attn: Chief Financial Officer. Any notice, election, request or demand by the Company or any Securityholder or by any other Person pursuant to this Indenture to or upon the Trustee shall be deemed to have been sufficiently given or made, for all purposes, if given or made in writing at the Corporate Trust Office of the Trustee.</w:t>
      </w:r>
    </w:p>
    <w:p>
      <w:pPr>
        <w:spacing w:after="0" w:line="13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Section 13.05 Governing Law; Jury Trial Waiver</w:t>
      </w:r>
      <w:r>
        <w:rPr>
          <w:rFonts w:ascii="Times New Roman" w:cs="Times New Roman" w:eastAsia="Times New Roman" w:hAnsi="Times New Roman"/>
          <w:sz w:val="14"/>
          <w:szCs w:val="14"/>
          <w:color w:val="auto"/>
        </w:rPr>
        <w:t>.</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This Indenture and each Security shall be governed by, and construed in accordance with, the internal laws of the State of New York, except to the extent that the Trust Indenture Act is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applicable.</w:t>
      </w:r>
    </w:p>
    <w:p>
      <w:pPr>
        <w:spacing w:after="0" w:line="156" w:lineRule="exact"/>
        <w:rPr>
          <w:sz w:val="20"/>
          <w:szCs w:val="20"/>
          <w:color w:val="auto"/>
        </w:rPr>
      </w:pPr>
    </w:p>
    <w:p>
      <w:pPr>
        <w:jc w:val="both"/>
        <w:ind w:firstLine="752"/>
        <w:spacing w:after="0" w:line="255" w:lineRule="auto"/>
        <w:rPr>
          <w:sz w:val="20"/>
          <w:szCs w:val="20"/>
          <w:color w:val="auto"/>
        </w:rPr>
      </w:pPr>
      <w:r>
        <w:rPr>
          <w:rFonts w:ascii="Times New Roman" w:cs="Times New Roman" w:eastAsia="Times New Roman" w:hAnsi="Times New Roman"/>
          <w:sz w:val="14"/>
          <w:szCs w:val="14"/>
          <w:color w:val="auto"/>
        </w:rPr>
        <w:t>EACH PARTY HERETO, AND EACH HOLDER OF A SECURITY BY ACCEPTANCE THEREOF, HEREBY WAIVES, TO THE FULLEST EXTENT PERMITTED BY APPLICABLE LAW, ANY RIGHT IT MAY HAVE TO A TRIAL BY JURY IN RESPECT OF ANY LITIGATION DIRECTLY OR INDIRECTLY ARISING OUT OF, UNDER OR IN CONNECTION WITH THIS INDENTURE.</w:t>
      </w:r>
    </w:p>
    <w:p>
      <w:pPr>
        <w:spacing w:after="0" w:line="13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Section 13.06 Treatment of Securities as Debt</w:t>
      </w:r>
      <w:r>
        <w:rPr>
          <w:rFonts w:ascii="Times New Roman" w:cs="Times New Roman" w:eastAsia="Times New Roman" w:hAnsi="Times New Roman"/>
          <w:sz w:val="14"/>
          <w:szCs w:val="14"/>
          <w:color w:val="auto"/>
        </w:rPr>
        <w:t>.</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3"/>
          <w:szCs w:val="13"/>
          <w:color w:val="auto"/>
        </w:rPr>
        <w:t>It is intended that the Securities will be treated as indebtedness and not as equity for federal income tax purposes. The provisions of this Indenture shall be interpreted to further this intention.</w:t>
      </w:r>
    </w:p>
    <w:p>
      <w:pPr>
        <w:spacing w:after="0" w:line="1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Section 13.07 Certificates and Opinions as to Conditions Precedent</w:t>
      </w:r>
      <w:r>
        <w:rPr>
          <w:rFonts w:ascii="Times New Roman" w:cs="Times New Roman" w:eastAsia="Times New Roman" w:hAnsi="Times New Roman"/>
          <w:sz w:val="14"/>
          <w:szCs w:val="14"/>
          <w:color w:val="auto"/>
        </w:rPr>
        <w:t>.</w:t>
      </w:r>
    </w:p>
    <w:p>
      <w:pPr>
        <w:spacing w:after="0" w:line="171" w:lineRule="exact"/>
        <w:rPr>
          <w:sz w:val="20"/>
          <w:szCs w:val="20"/>
          <w:color w:val="auto"/>
        </w:rPr>
      </w:pPr>
    </w:p>
    <w:p>
      <w:pPr>
        <w:jc w:val="both"/>
        <w:ind w:firstLine="1506"/>
        <w:spacing w:after="0" w:line="250" w:lineRule="auto"/>
        <w:tabs>
          <w:tab w:leader="none" w:pos="1698" w:val="left"/>
        </w:tabs>
        <w:numPr>
          <w:ilvl w:val="0"/>
          <w:numId w:val="6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Upon any application or demand by the Company to the Trustee to take any action under any of the provisions of this Indenture, the Company shall furnish to the Trustee an Officer’s Certificate stating that all conditions precedent provided for in this Indenture (other than the certificate to be delivered pursuant to Section 13.12) relating to the proposed action have been complied with and, if requested,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w:t>
      </w:r>
    </w:p>
    <w:p>
      <w:pPr>
        <w:spacing w:after="0" w:line="146" w:lineRule="exact"/>
        <w:rPr>
          <w:rFonts w:ascii="Times New Roman" w:cs="Times New Roman" w:eastAsia="Times New Roman" w:hAnsi="Times New Roman"/>
          <w:sz w:val="14"/>
          <w:szCs w:val="14"/>
          <w:b w:val="1"/>
          <w:bCs w:val="1"/>
          <w:color w:val="auto"/>
        </w:rPr>
      </w:pPr>
    </w:p>
    <w:p>
      <w:pPr>
        <w:jc w:val="both"/>
        <w:ind w:firstLine="1506"/>
        <w:spacing w:after="0" w:line="250" w:lineRule="auto"/>
        <w:tabs>
          <w:tab w:leader="none" w:pos="1706" w:val="left"/>
        </w:tabs>
        <w:numPr>
          <w:ilvl w:val="0"/>
          <w:numId w:val="6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Each certificate or opinion provided for in this Indenture and delivered to the Trustee with respect to compliance with a condition or covenant in this Indenture (other than the certificate to be delivered pursuant to Section 13.12 of this Indenture or Section 314(a)(1) of the Trust Indenture Act) shall include (i) a statement that the Person making such certificate or opinion has read such covenant or condition; (ii) a brief statement as to the nature and scope of the examination or investigation upon which the statements or opinions contained in such certificate or opinion are based; (iii) a statement that, in the opinion of such Person, he has made such examination or investigation as is reasonably necessary to enable him to express an informed opinion as to whether or not such covenant or condition has been complied with; and (iv) a statement as to whether or not, in the opinion of such Person, such condition or covenant has been complied with.</w:t>
      </w:r>
    </w:p>
    <w:p>
      <w:pPr>
        <w:spacing w:after="0" w:line="14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Section 13.08 Payments on Business Days</w:t>
      </w:r>
      <w:r>
        <w:rPr>
          <w:rFonts w:ascii="Times New Roman" w:cs="Times New Roman" w:eastAsia="Times New Roman" w:hAnsi="Times New Roman"/>
          <w:sz w:val="14"/>
          <w:szCs w:val="14"/>
          <w:color w:val="auto"/>
        </w:rPr>
        <w:t>.</w:t>
      </w:r>
    </w:p>
    <w:p>
      <w:pPr>
        <w:spacing w:after="0" w:line="171" w:lineRule="exact"/>
        <w:rPr>
          <w:sz w:val="20"/>
          <w:szCs w:val="20"/>
          <w:color w:val="auto"/>
        </w:rPr>
      </w:pPr>
    </w:p>
    <w:p>
      <w:pPr>
        <w:jc w:val="both"/>
        <w:ind w:firstLine="752"/>
        <w:spacing w:after="0" w:line="252" w:lineRule="auto"/>
        <w:rPr>
          <w:sz w:val="20"/>
          <w:szCs w:val="20"/>
          <w:color w:val="auto"/>
        </w:rPr>
      </w:pPr>
      <w:r>
        <w:rPr>
          <w:rFonts w:ascii="Times New Roman" w:cs="Times New Roman" w:eastAsia="Times New Roman" w:hAnsi="Times New Roman"/>
          <w:sz w:val="14"/>
          <w:szCs w:val="14"/>
          <w:color w:val="auto"/>
        </w:rPr>
        <w:t>Except as provided pursuant to Section 2.01 pursuant to a Board Resolution, and set forth in an Officer’s Certificate, or established in one or more indentures supplemental to this Indenture, in any case where the date of maturity of interest or principal of any Security or the date of redemption of any Security shall not be a Business Day, then payment of interest or principal (and premium, if any) may be made on the next succeeding Business Day with the same force and effect as if made on the nominal date of maturity or redemption, and no interest shall accrue for the period after such nominal date.</w:t>
      </w:r>
    </w:p>
    <w:p>
      <w:pPr>
        <w:spacing w:after="0" w:line="14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Section 13.09 Conflict with Trust Indenture Act</w:t>
      </w:r>
      <w:r>
        <w:rPr>
          <w:rFonts w:ascii="Times New Roman" w:cs="Times New Roman" w:eastAsia="Times New Roman" w:hAnsi="Times New Roman"/>
          <w:sz w:val="14"/>
          <w:szCs w:val="14"/>
          <w:color w:val="auto"/>
        </w:rPr>
        <w:t>.</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If and to the extent that any provision of this Indenture limits, qualifies or conflicts with the duties imposed by Section 318(c) of the Trust Indenture Act, such imposed duties shall control.</w:t>
      </w:r>
    </w:p>
    <w:p>
      <w:pPr>
        <w:spacing w:after="0" w:line="16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Section 13.10 Counterparts</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677545</wp:posOffset>
            </wp:positionV>
            <wp:extent cx="719074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5">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112" w:right="319" w:bottom="1440" w:gutter="0" w:footer="0" w:header="0"/>
        </w:sectPr>
      </w:pPr>
    </w:p>
    <w:bookmarkStart w:id="65" w:name="page66"/>
    <w:bookmarkEnd w:id="65"/>
    <w:p>
      <w:pPr>
        <w:jc w:val="both"/>
        <w:ind w:firstLine="752"/>
        <w:spacing w:after="0" w:line="255" w:lineRule="auto"/>
        <w:rPr>
          <w:sz w:val="20"/>
          <w:szCs w:val="20"/>
          <w:color w:val="auto"/>
        </w:rPr>
      </w:pPr>
      <w:r>
        <w:rPr>
          <w:rFonts w:ascii="Times New Roman" w:cs="Times New Roman" w:eastAsia="Times New Roman" w:hAnsi="Times New Roman"/>
          <w:sz w:val="14"/>
          <w:szCs w:val="14"/>
          <w:color w:val="auto"/>
        </w:rPr>
        <w:t>This Indenture may be executed in any number of counterparts, each of which shall be an original, but such counterparts shall together constitute but one and the same instrument.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w:t>
      </w:r>
    </w:p>
    <w:p>
      <w:pPr>
        <w:spacing w:after="0" w:line="13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Section 13.11 Separability</w:t>
      </w:r>
      <w:r>
        <w:rPr>
          <w:rFonts w:ascii="Times New Roman" w:cs="Times New Roman" w:eastAsia="Times New Roman" w:hAnsi="Times New Roman"/>
          <w:sz w:val="14"/>
          <w:szCs w:val="14"/>
          <w:color w:val="auto"/>
        </w:rPr>
        <w:t>.</w:t>
      </w:r>
    </w:p>
    <w:p>
      <w:pPr>
        <w:spacing w:after="0" w:line="171" w:lineRule="exact"/>
        <w:rPr>
          <w:sz w:val="20"/>
          <w:szCs w:val="20"/>
          <w:color w:val="auto"/>
        </w:rPr>
      </w:pPr>
    </w:p>
    <w:p>
      <w:pPr>
        <w:jc w:val="both"/>
        <w:ind w:firstLine="752"/>
        <w:spacing w:after="0" w:line="255" w:lineRule="auto"/>
        <w:rPr>
          <w:sz w:val="20"/>
          <w:szCs w:val="20"/>
          <w:color w:val="auto"/>
        </w:rPr>
      </w:pPr>
      <w:r>
        <w:rPr>
          <w:rFonts w:ascii="Times New Roman" w:cs="Times New Roman" w:eastAsia="Times New Roman" w:hAnsi="Times New Roman"/>
          <w:sz w:val="14"/>
          <w:szCs w:val="14"/>
          <w:color w:val="auto"/>
        </w:rPr>
        <w:t>In case any one or more of the provisions contained in this Indenture or in the Securities of any series shall for any reason be held to be invalid, illegal or unenforceable in any respect, such invalidity, illegality or unenforceability shall not affect any other provisions of this Indenture or of such Securities, but this Indenture and such Securities shall be construed as if such invalid or illegal or unenforceable provision had never been contained herein or therein.</w:t>
      </w:r>
    </w:p>
    <w:p>
      <w:pPr>
        <w:spacing w:after="0" w:line="13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Section 13.12 Compliance Certificates</w:t>
      </w:r>
      <w:r>
        <w:rPr>
          <w:rFonts w:ascii="Times New Roman" w:cs="Times New Roman" w:eastAsia="Times New Roman" w:hAnsi="Times New Roman"/>
          <w:sz w:val="14"/>
          <w:szCs w:val="14"/>
          <w:color w:val="auto"/>
        </w:rPr>
        <w:t>.</w:t>
      </w:r>
    </w:p>
    <w:p>
      <w:pPr>
        <w:spacing w:after="0" w:line="171" w:lineRule="exact"/>
        <w:rPr>
          <w:sz w:val="20"/>
          <w:szCs w:val="20"/>
          <w:color w:val="auto"/>
        </w:rPr>
      </w:pPr>
    </w:p>
    <w:p>
      <w:pPr>
        <w:jc w:val="both"/>
        <w:ind w:firstLine="752"/>
        <w:spacing w:after="0" w:line="250" w:lineRule="auto"/>
        <w:rPr>
          <w:sz w:val="20"/>
          <w:szCs w:val="20"/>
          <w:color w:val="auto"/>
        </w:rPr>
      </w:pPr>
      <w:r>
        <w:rPr>
          <w:rFonts w:ascii="Times New Roman" w:cs="Times New Roman" w:eastAsia="Times New Roman" w:hAnsi="Times New Roman"/>
          <w:sz w:val="14"/>
          <w:szCs w:val="14"/>
          <w:color w:val="auto"/>
        </w:rPr>
        <w:t>The Company shall deliver to the Trustee, within 120 days after the end of each fiscal year during which any Securities of any series were outstanding, an officer’s certificate stating whether or not the signers know of any Event of Default that occurred during such fiscal year. Such certificate shall contain a certification from the principal executive officer, principal financial officer or principal accounting officer of the Company that a review has been conducted of the activities of the Company and the Company’s performance under this Indenture and that the Company has complied with all conditions and covenants under this Indenture. For purposes of this Section 13.12, such compliance shall be determined without regard to any period of grace or requirement of notice provided under this Indenture. If the officer of the Company signing such certificate has knowledge of such an Event of Default, the certificate shall describe any such Event of Default and its status.</w:t>
      </w:r>
    </w:p>
    <w:p>
      <w:pPr>
        <w:spacing w:after="0" w:line="14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Section 13.13 U.S.A Patriot Act</w:t>
      </w:r>
      <w:r>
        <w:rPr>
          <w:rFonts w:ascii="Times New Roman" w:cs="Times New Roman" w:eastAsia="Times New Roman" w:hAnsi="Times New Roman"/>
          <w:sz w:val="14"/>
          <w:szCs w:val="14"/>
          <w:color w:val="auto"/>
        </w:rPr>
        <w:t>.</w:t>
      </w:r>
    </w:p>
    <w:p>
      <w:pPr>
        <w:spacing w:after="0" w:line="171" w:lineRule="exact"/>
        <w:rPr>
          <w:sz w:val="20"/>
          <w:szCs w:val="20"/>
          <w:color w:val="auto"/>
        </w:rPr>
      </w:pPr>
    </w:p>
    <w:p>
      <w:pPr>
        <w:jc w:val="both"/>
        <w:ind w:firstLine="752"/>
        <w:spacing w:after="0" w:line="255" w:lineRule="auto"/>
        <w:rPr>
          <w:sz w:val="20"/>
          <w:szCs w:val="20"/>
          <w:color w:val="auto"/>
        </w:rPr>
      </w:pPr>
      <w:r>
        <w:rPr>
          <w:rFonts w:ascii="Times New Roman" w:cs="Times New Roman" w:eastAsia="Times New Roman" w:hAnsi="Times New Roman"/>
          <w:sz w:val="14"/>
          <w:szCs w:val="14"/>
          <w:color w:val="auto"/>
        </w:rPr>
        <w:t>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13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Section 13.14 Force Majeure</w:t>
      </w:r>
      <w:r>
        <w:rPr>
          <w:rFonts w:ascii="Times New Roman" w:cs="Times New Roman" w:eastAsia="Times New Roman" w:hAnsi="Times New Roman"/>
          <w:sz w:val="14"/>
          <w:szCs w:val="14"/>
          <w:color w:val="auto"/>
        </w:rPr>
        <w:t>.</w:t>
      </w:r>
    </w:p>
    <w:p>
      <w:pPr>
        <w:spacing w:after="0" w:line="171" w:lineRule="exact"/>
        <w:rPr>
          <w:sz w:val="20"/>
          <w:szCs w:val="20"/>
          <w:color w:val="auto"/>
        </w:rPr>
      </w:pPr>
    </w:p>
    <w:p>
      <w:pPr>
        <w:jc w:val="both"/>
        <w:ind w:firstLine="752"/>
        <w:spacing w:after="0" w:line="250" w:lineRule="auto"/>
        <w:rPr>
          <w:sz w:val="20"/>
          <w:szCs w:val="20"/>
          <w:color w:val="auto"/>
        </w:rPr>
      </w:pPr>
      <w:r>
        <w:rPr>
          <w:rFonts w:ascii="Times New Roman" w:cs="Times New Roman" w:eastAsia="Times New Roman" w:hAnsi="Times New Roman"/>
          <w:sz w:val="14"/>
          <w:szCs w:val="14"/>
          <w:color w:val="auto"/>
        </w:rPr>
        <w:t>In no event shall the Trustee, the Security Registrar, any paying agent or any other agent under this Indenture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or utilities, communications or computer (software and hardware) services; it being understood that the Trustee, the Security Registrar, any paying agent or any other agent under this Indenture shall use reasonable efforts which are consistent with accepted practices in the banking industry to resume performance as soon as practicable under the circumstances.</w:t>
      </w:r>
    </w:p>
    <w:p>
      <w:pPr>
        <w:spacing w:after="0" w:line="14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Section 13.15 Table of Contents; Headings.</w:t>
      </w:r>
    </w:p>
    <w:p>
      <w:pPr>
        <w:spacing w:after="0" w:line="171" w:lineRule="exact"/>
        <w:rPr>
          <w:sz w:val="20"/>
          <w:szCs w:val="20"/>
          <w:color w:val="auto"/>
        </w:rPr>
      </w:pPr>
    </w:p>
    <w:p>
      <w:pPr>
        <w:jc w:val="both"/>
        <w:ind w:firstLine="752"/>
        <w:spacing w:after="0" w:line="266" w:lineRule="auto"/>
        <w:rPr>
          <w:sz w:val="20"/>
          <w:szCs w:val="20"/>
          <w:color w:val="auto"/>
        </w:rPr>
      </w:pPr>
      <w:r>
        <w:rPr>
          <w:rFonts w:ascii="Times New Roman" w:cs="Times New Roman" w:eastAsia="Times New Roman" w:hAnsi="Times New Roman"/>
          <w:sz w:val="14"/>
          <w:szCs w:val="14"/>
          <w:color w:val="auto"/>
        </w:rPr>
        <w:t>The table of contents and headings of the articles and sections of this Indenture have been inserted for convenience of reference only, are not intended to be considered a part hereof, and will not modify or restrict any of the terms or provisions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758825</wp:posOffset>
            </wp:positionV>
            <wp:extent cx="719074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6">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276" w:right="3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color w:val="auto"/>
        </w:rPr>
        <w:t>I</w:t>
      </w:r>
      <w:r>
        <w:rPr>
          <w:rFonts w:ascii="Times New Roman" w:cs="Times New Roman" w:eastAsia="Times New Roman" w:hAnsi="Times New Roman"/>
          <w:sz w:val="9"/>
          <w:szCs w:val="9"/>
          <w:b w:val="1"/>
          <w:bCs w:val="1"/>
          <w:color w:val="auto"/>
        </w:rPr>
        <w:t>n</w:t>
      </w:r>
      <w:r>
        <w:rPr>
          <w:rFonts w:ascii="Times New Roman" w:cs="Times New Roman" w:eastAsia="Times New Roman" w:hAnsi="Times New Roman"/>
          <w:sz w:val="14"/>
          <w:szCs w:val="14"/>
          <w:b w:val="1"/>
          <w:bCs w:val="1"/>
          <w:color w:val="auto"/>
        </w:rPr>
        <w:t xml:space="preserve"> W</w:t>
      </w:r>
      <w:r>
        <w:rPr>
          <w:rFonts w:ascii="Times New Roman" w:cs="Times New Roman" w:eastAsia="Times New Roman" w:hAnsi="Times New Roman"/>
          <w:sz w:val="9"/>
          <w:szCs w:val="9"/>
          <w:b w:val="1"/>
          <w:bCs w:val="1"/>
          <w:color w:val="auto"/>
        </w:rPr>
        <w:t>itness</w:t>
      </w:r>
      <w:r>
        <w:rPr>
          <w:rFonts w:ascii="Times New Roman" w:cs="Times New Roman" w:eastAsia="Times New Roman" w:hAnsi="Times New Roman"/>
          <w:sz w:val="14"/>
          <w:szCs w:val="14"/>
          <w:b w:val="1"/>
          <w:bCs w:val="1"/>
          <w:color w:val="auto"/>
        </w:rPr>
        <w:t xml:space="preserve"> W</w:t>
      </w:r>
      <w:r>
        <w:rPr>
          <w:rFonts w:ascii="Times New Roman" w:cs="Times New Roman" w:eastAsia="Times New Roman" w:hAnsi="Times New Roman"/>
          <w:sz w:val="9"/>
          <w:szCs w:val="9"/>
          <w:b w:val="1"/>
          <w:bCs w:val="1"/>
          <w:color w:val="auto"/>
        </w:rPr>
        <w:t>hereof</w:t>
      </w:r>
      <w:r>
        <w:rPr>
          <w:rFonts w:ascii="Times New Roman" w:cs="Times New Roman" w:eastAsia="Times New Roman" w:hAnsi="Times New Roman"/>
          <w:sz w:val="14"/>
          <w:szCs w:val="14"/>
          <w:color w:val="auto"/>
        </w:rPr>
        <w:t>, the parties hereto have caused this Indenture to be duly executed all as of the day and year first above written.</w:t>
      </w:r>
    </w:p>
    <w:p>
      <w:pPr>
        <w:spacing w:after="0" w:line="16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4"/>
          <w:szCs w:val="14"/>
          <w:b w:val="1"/>
          <w:bCs w:val="1"/>
          <w:color w:val="auto"/>
        </w:rPr>
        <w:t>L</w:t>
      </w:r>
      <w:r>
        <w:rPr>
          <w:rFonts w:ascii="Times New Roman" w:cs="Times New Roman" w:eastAsia="Times New Roman" w:hAnsi="Times New Roman"/>
          <w:sz w:val="9"/>
          <w:szCs w:val="9"/>
          <w:b w:val="1"/>
          <w:bCs w:val="1"/>
          <w:color w:val="auto"/>
        </w:rPr>
        <w:t>ineage</w:t>
      </w:r>
      <w:r>
        <w:rPr>
          <w:rFonts w:ascii="Times New Roman" w:cs="Times New Roman" w:eastAsia="Times New Roman" w:hAnsi="Times New Roman"/>
          <w:sz w:val="14"/>
          <w:szCs w:val="14"/>
          <w:b w:val="1"/>
          <w:bCs w:val="1"/>
          <w:color w:val="auto"/>
        </w:rPr>
        <w:t xml:space="preserve"> C</w:t>
      </w:r>
      <w:r>
        <w:rPr>
          <w:rFonts w:ascii="Times New Roman" w:cs="Times New Roman" w:eastAsia="Times New Roman" w:hAnsi="Times New Roman"/>
          <w:sz w:val="9"/>
          <w:szCs w:val="9"/>
          <w:b w:val="1"/>
          <w:bCs w:val="1"/>
          <w:color w:val="auto"/>
        </w:rPr>
        <w:t>ell</w:t>
      </w:r>
      <w:r>
        <w:rPr>
          <w:rFonts w:ascii="Times New Roman" w:cs="Times New Roman" w:eastAsia="Times New Roman" w:hAnsi="Times New Roman"/>
          <w:sz w:val="14"/>
          <w:szCs w:val="14"/>
          <w:b w:val="1"/>
          <w:bCs w:val="1"/>
          <w:color w:val="auto"/>
        </w:rPr>
        <w:t xml:space="preserve"> T</w:t>
      </w:r>
      <w:r>
        <w:rPr>
          <w:rFonts w:ascii="Times New Roman" w:cs="Times New Roman" w:eastAsia="Times New Roman" w:hAnsi="Times New Roman"/>
          <w:sz w:val="9"/>
          <w:szCs w:val="9"/>
          <w:b w:val="1"/>
          <w:bCs w:val="1"/>
          <w:color w:val="auto"/>
        </w:rPr>
        <w:t>herapeutics</w:t>
      </w:r>
      <w:r>
        <w:rPr>
          <w:rFonts w:ascii="Times New Roman" w:cs="Times New Roman" w:eastAsia="Times New Roman" w:hAnsi="Times New Roman"/>
          <w:sz w:val="14"/>
          <w:szCs w:val="14"/>
          <w:b w:val="1"/>
          <w:bCs w:val="1"/>
          <w:color w:val="auto"/>
        </w:rPr>
        <w:t>, I</w:t>
      </w:r>
      <w:r>
        <w:rPr>
          <w:rFonts w:ascii="Times New Roman" w:cs="Times New Roman" w:eastAsia="Times New Roman" w:hAnsi="Times New Roman"/>
          <w:sz w:val="9"/>
          <w:szCs w:val="9"/>
          <w:b w:val="1"/>
          <w:bCs w:val="1"/>
          <w:color w:val="auto"/>
        </w:rPr>
        <w:t>nc</w:t>
      </w:r>
      <w:r>
        <w:rPr>
          <w:rFonts w:ascii="Times New Roman" w:cs="Times New Roman" w:eastAsia="Times New Roman" w:hAnsi="Times New Roman"/>
          <w:sz w:val="14"/>
          <w:szCs w:val="14"/>
          <w:b w:val="1"/>
          <w:bCs w:val="1"/>
          <w:color w:val="auto"/>
        </w:rPr>
        <w:t>.</w:t>
      </w:r>
    </w:p>
    <w:p>
      <w:pPr>
        <w:spacing w:after="0" w:line="17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3459480</wp:posOffset>
            </wp:positionH>
            <wp:positionV relativeFrom="paragraph">
              <wp:posOffset>10160</wp:posOffset>
            </wp:positionV>
            <wp:extent cx="3224530" cy="133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7">
                      <a:extLst>
                        <a:ext uri="{28A0092B-C50C-407E-A947-70E740481C1C}"/>
                      </a:extLst>
                    </a:blip>
                    <a:srcRect/>
                    <a:stretch>
                      <a:fillRect/>
                    </a:stretch>
                  </pic:blipFill>
                  <pic:spPr bwMode="auto">
                    <a:xfrm>
                      <a:off x="0" y="0"/>
                      <a:ext cx="3224530" cy="13335"/>
                    </a:xfrm>
                    <a:prstGeom prst="rect">
                      <a:avLst/>
                    </a:prstGeom>
                    <a:noFill/>
                  </pic:spPr>
                </pic:pic>
              </a:graphicData>
            </a:graphic>
          </wp:anchor>
        </w:drawing>
      </w:r>
    </w:p>
    <w:p>
      <w:pPr>
        <w:spacing w:after="0" w:line="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3459480</wp:posOffset>
            </wp:positionH>
            <wp:positionV relativeFrom="paragraph">
              <wp:posOffset>10160</wp:posOffset>
            </wp:positionV>
            <wp:extent cx="3224530" cy="133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8">
                      <a:extLst>
                        <a:ext uri="{28A0092B-C50C-407E-A947-70E740481C1C}"/>
                      </a:extLst>
                    </a:blip>
                    <a:srcRect/>
                    <a:stretch>
                      <a:fillRect/>
                    </a:stretch>
                  </pic:blipFill>
                  <pic:spPr bwMode="auto">
                    <a:xfrm>
                      <a:off x="0" y="0"/>
                      <a:ext cx="3224530" cy="13335"/>
                    </a:xfrm>
                    <a:prstGeom prst="rect">
                      <a:avLst/>
                    </a:prstGeom>
                    <a:noFill/>
                  </pic:spPr>
                </pic:pic>
              </a:graphicData>
            </a:graphic>
          </wp:anchor>
        </w:drawing>
      </w:r>
    </w:p>
    <w:p>
      <w:pPr>
        <w:spacing w:after="0" w:line="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3459480</wp:posOffset>
            </wp:positionH>
            <wp:positionV relativeFrom="paragraph">
              <wp:posOffset>10160</wp:posOffset>
            </wp:positionV>
            <wp:extent cx="3224530" cy="133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9">
                      <a:extLst>
                        <a:ext uri="{28A0092B-C50C-407E-A947-70E740481C1C}"/>
                      </a:extLst>
                    </a:blip>
                    <a:srcRect/>
                    <a:stretch>
                      <a:fillRect/>
                    </a:stretch>
                  </pic:blipFill>
                  <pic:spPr bwMode="auto">
                    <a:xfrm>
                      <a:off x="0" y="0"/>
                      <a:ext cx="3224530" cy="13335"/>
                    </a:xfrm>
                    <a:prstGeom prst="rect">
                      <a:avLst/>
                    </a:prstGeom>
                    <a:noFill/>
                  </pic:spPr>
                </pic:pic>
              </a:graphicData>
            </a:graphic>
          </wp:anchor>
        </w:drawing>
      </w:r>
    </w:p>
    <w:p>
      <w:pPr>
        <w:spacing w:after="0" w:line="16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9"/>
          <w:szCs w:val="9"/>
          <w:b w:val="1"/>
          <w:bCs w:val="1"/>
          <w:color w:val="auto"/>
        </w:rPr>
        <w:t>rustee</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as Trustee</w:t>
      </w:r>
    </w:p>
    <w:p>
      <w:pPr>
        <w:spacing w:after="0" w:line="17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3459480</wp:posOffset>
            </wp:positionH>
            <wp:positionV relativeFrom="paragraph">
              <wp:posOffset>10160</wp:posOffset>
            </wp:positionV>
            <wp:extent cx="3224530" cy="133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0">
                      <a:extLst>
                        <a:ext uri="{28A0092B-C50C-407E-A947-70E740481C1C}"/>
                      </a:extLst>
                    </a:blip>
                    <a:srcRect/>
                    <a:stretch>
                      <a:fillRect/>
                    </a:stretch>
                  </pic:blipFill>
                  <pic:spPr bwMode="auto">
                    <a:xfrm>
                      <a:off x="0" y="0"/>
                      <a:ext cx="3224530" cy="13335"/>
                    </a:xfrm>
                    <a:prstGeom prst="rect">
                      <a:avLst/>
                    </a:prstGeom>
                    <a:noFill/>
                  </pic:spPr>
                </pic:pic>
              </a:graphicData>
            </a:graphic>
          </wp:anchor>
        </w:drawing>
      </w:r>
    </w:p>
    <w:p>
      <w:pPr>
        <w:spacing w:after="0" w:line="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3459480</wp:posOffset>
            </wp:positionH>
            <wp:positionV relativeFrom="paragraph">
              <wp:posOffset>10160</wp:posOffset>
            </wp:positionV>
            <wp:extent cx="3224530" cy="133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1">
                      <a:extLst>
                        <a:ext uri="{28A0092B-C50C-407E-A947-70E740481C1C}"/>
                      </a:extLst>
                    </a:blip>
                    <a:srcRect/>
                    <a:stretch>
                      <a:fillRect/>
                    </a:stretch>
                  </pic:blipFill>
                  <pic:spPr bwMode="auto">
                    <a:xfrm>
                      <a:off x="0" y="0"/>
                      <a:ext cx="3224530" cy="13335"/>
                    </a:xfrm>
                    <a:prstGeom prst="rect">
                      <a:avLst/>
                    </a:prstGeom>
                    <a:noFill/>
                  </pic:spPr>
                </pic:pic>
              </a:graphicData>
            </a:graphic>
          </wp:anchor>
        </w:drawing>
      </w:r>
    </w:p>
    <w:p>
      <w:pPr>
        <w:spacing w:after="0" w:line="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791845</wp:posOffset>
            </wp:positionV>
            <wp:extent cx="719074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2">
                      <a:extLst>
                        <a:ext uri="{28A0092B-C50C-407E-A947-70E740481C1C}"/>
                      </a:extLst>
                    </a:blip>
                    <a:srcRect/>
                    <a:stretch>
                      <a:fillRect/>
                    </a:stretch>
                  </pic:blipFill>
                  <pic:spPr bwMode="auto">
                    <a:xfrm>
                      <a:off x="0" y="0"/>
                      <a:ext cx="7190740" cy="3873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10160</wp:posOffset>
            </wp:positionV>
            <wp:extent cx="3224530" cy="133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3">
                      <a:extLst>
                        <a:ext uri="{28A0092B-C50C-407E-A947-70E740481C1C}"/>
                      </a:extLst>
                    </a:blip>
                    <a:srcRect/>
                    <a:stretch>
                      <a:fillRect/>
                    </a:stretch>
                  </pic:blipFill>
                  <pic:spPr bwMode="auto">
                    <a:xfrm>
                      <a:off x="0" y="0"/>
                      <a:ext cx="3224530" cy="13335"/>
                    </a:xfrm>
                    <a:prstGeom prst="rect">
                      <a:avLst/>
                    </a:prstGeom>
                    <a:noFill/>
                  </pic:spPr>
                </pic:pic>
              </a:graphicData>
            </a:graphic>
          </wp:anchor>
        </w:drawing>
      </w:r>
    </w:p>
    <w:p>
      <w:pPr>
        <w:sectPr>
          <w:pgSz w:w="11900" w:h="16838" w:orient="portrait"/>
          <w:cols w:equalWidth="0" w:num="1">
            <w:col w:w="9399"/>
          </w:cols>
          <w:pgMar w:left="1060" w:top="1108" w:right="1440"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180"/>
        </w:trPr>
        <w:tc>
          <w:tcPr>
            <w:tcW w:w="5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CROSS-REFERENCE TABLE (1)</w:t>
            </w:r>
          </w:p>
        </w:tc>
        <w:tc>
          <w:tcPr>
            <w:tcW w:w="220" w:type="dxa"/>
            <w:vAlign w:val="bottom"/>
          </w:tcPr>
          <w:p>
            <w:pPr>
              <w:spacing w:after="0"/>
              <w:rPr>
                <w:sz w:val="15"/>
                <w:szCs w:val="15"/>
                <w:color w:val="auto"/>
              </w:rPr>
            </w:pPr>
          </w:p>
        </w:tc>
        <w:tc>
          <w:tcPr>
            <w:tcW w:w="5520" w:type="dxa"/>
            <w:vAlign w:val="bottom"/>
          </w:tcPr>
          <w:p>
            <w:pPr>
              <w:spacing w:after="0"/>
              <w:rPr>
                <w:sz w:val="15"/>
                <w:szCs w:val="15"/>
                <w:color w:val="auto"/>
              </w:rPr>
            </w:pPr>
          </w:p>
        </w:tc>
      </w:tr>
      <w:tr>
        <w:trPr>
          <w:trHeight w:val="350"/>
        </w:trPr>
        <w:tc>
          <w:tcPr>
            <w:tcW w:w="20" w:type="dxa"/>
            <w:vAlign w:val="bottom"/>
          </w:tcPr>
          <w:p>
            <w:pPr>
              <w:spacing w:after="0"/>
              <w:rPr>
                <w:sz w:val="24"/>
                <w:szCs w:val="24"/>
                <w:color w:val="auto"/>
              </w:rPr>
            </w:pPr>
          </w:p>
        </w:tc>
        <w:tc>
          <w:tcPr>
            <w:tcW w:w="5520" w:type="dxa"/>
            <w:vAlign w:val="bottom"/>
            <w:tcBorders>
              <w:bottom w:val="single" w:sz="8" w:color="auto"/>
            </w:tcBorders>
          </w:tcPr>
          <w:p>
            <w:pPr>
              <w:ind w:left="1220"/>
              <w:spacing w:after="0"/>
              <w:rPr>
                <w:sz w:val="20"/>
                <w:szCs w:val="20"/>
                <w:color w:val="auto"/>
              </w:rPr>
            </w:pPr>
            <w:r>
              <w:rPr>
                <w:rFonts w:ascii="Times New Roman" w:cs="Times New Roman" w:eastAsia="Times New Roman" w:hAnsi="Times New Roman"/>
                <w:sz w:val="14"/>
                <w:szCs w:val="14"/>
                <w:b w:val="1"/>
                <w:bCs w:val="1"/>
                <w:color w:val="auto"/>
              </w:rPr>
              <w:t>Section of Trust Indenture Act of 1939, as Amended</w:t>
            </w:r>
          </w:p>
        </w:tc>
        <w:tc>
          <w:tcPr>
            <w:tcW w:w="220" w:type="dxa"/>
            <w:vAlign w:val="bottom"/>
          </w:tcPr>
          <w:p>
            <w:pPr>
              <w:spacing w:after="0"/>
              <w:rPr>
                <w:sz w:val="24"/>
                <w:szCs w:val="24"/>
                <w:color w:val="auto"/>
              </w:rPr>
            </w:pPr>
          </w:p>
        </w:tc>
        <w:tc>
          <w:tcPr>
            <w:tcW w:w="5520" w:type="dxa"/>
            <w:vAlign w:val="bottom"/>
            <w:tcBorders>
              <w:bottom w:val="single" w:sz="8" w:color="auto"/>
            </w:tcBorders>
          </w:tcPr>
          <w:p>
            <w:pPr>
              <w:ind w:left="2160"/>
              <w:spacing w:after="0"/>
              <w:rPr>
                <w:sz w:val="20"/>
                <w:szCs w:val="20"/>
                <w:color w:val="auto"/>
              </w:rPr>
            </w:pPr>
            <w:r>
              <w:rPr>
                <w:rFonts w:ascii="Times New Roman" w:cs="Times New Roman" w:eastAsia="Times New Roman" w:hAnsi="Times New Roman"/>
                <w:sz w:val="14"/>
                <w:szCs w:val="14"/>
                <w:b w:val="1"/>
                <w:bCs w:val="1"/>
                <w:color w:val="auto"/>
              </w:rPr>
              <w:t>Section of Indenture</w:t>
            </w:r>
          </w:p>
        </w:tc>
      </w:tr>
      <w:tr>
        <w:trPr>
          <w:trHeight w:val="151"/>
        </w:trPr>
        <w:tc>
          <w:tcPr>
            <w:tcW w:w="20" w:type="dxa"/>
            <w:vAlign w:val="bottom"/>
          </w:tcPr>
          <w:p>
            <w:pPr>
              <w:spacing w:after="0"/>
              <w:rPr>
                <w:sz w:val="13"/>
                <w:szCs w:val="13"/>
                <w:color w:val="auto"/>
              </w:rPr>
            </w:pPr>
          </w:p>
        </w:tc>
        <w:tc>
          <w:tcPr>
            <w:tcW w:w="552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rPr>
              <w:t>310(a)</w:t>
            </w:r>
          </w:p>
        </w:tc>
        <w:tc>
          <w:tcPr>
            <w:tcW w:w="220" w:type="dxa"/>
            <w:vAlign w:val="bottom"/>
          </w:tcPr>
          <w:p>
            <w:pPr>
              <w:spacing w:after="0"/>
              <w:rPr>
                <w:sz w:val="13"/>
                <w:szCs w:val="13"/>
                <w:color w:val="auto"/>
              </w:rPr>
            </w:pPr>
          </w:p>
        </w:tc>
        <w:tc>
          <w:tcPr>
            <w:tcW w:w="552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rPr>
              <w:t>7.09</w:t>
            </w:r>
          </w:p>
        </w:tc>
      </w:tr>
      <w:tr>
        <w:trPr>
          <w:trHeight w:val="164"/>
        </w:trPr>
        <w:tc>
          <w:tcPr>
            <w:tcW w:w="5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310(b)</w:t>
            </w:r>
          </w:p>
        </w:tc>
        <w:tc>
          <w:tcPr>
            <w:tcW w:w="57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7.08</w:t>
            </w:r>
          </w:p>
        </w:tc>
      </w:tr>
      <w:tr>
        <w:trPr>
          <w:trHeight w:val="164"/>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57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7.10</w:t>
            </w:r>
          </w:p>
        </w:tc>
      </w:tr>
      <w:tr>
        <w:trPr>
          <w:trHeight w:val="164"/>
        </w:trPr>
        <w:tc>
          <w:tcPr>
            <w:tcW w:w="5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310(c)</w:t>
            </w:r>
          </w:p>
        </w:tc>
        <w:tc>
          <w:tcPr>
            <w:tcW w:w="57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Inapplicable</w:t>
            </w:r>
          </w:p>
        </w:tc>
      </w:tr>
      <w:tr>
        <w:trPr>
          <w:trHeight w:val="164"/>
        </w:trPr>
        <w:tc>
          <w:tcPr>
            <w:tcW w:w="5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311(a)</w:t>
            </w:r>
          </w:p>
        </w:tc>
        <w:tc>
          <w:tcPr>
            <w:tcW w:w="57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7.13</w:t>
            </w:r>
          </w:p>
        </w:tc>
      </w:tr>
      <w:tr>
        <w:trPr>
          <w:trHeight w:val="164"/>
        </w:trPr>
        <w:tc>
          <w:tcPr>
            <w:tcW w:w="5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311(b)</w:t>
            </w:r>
          </w:p>
        </w:tc>
        <w:tc>
          <w:tcPr>
            <w:tcW w:w="57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7.13</w:t>
            </w:r>
          </w:p>
        </w:tc>
      </w:tr>
      <w:tr>
        <w:trPr>
          <w:trHeight w:val="164"/>
        </w:trPr>
        <w:tc>
          <w:tcPr>
            <w:tcW w:w="5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311(c)</w:t>
            </w:r>
          </w:p>
        </w:tc>
        <w:tc>
          <w:tcPr>
            <w:tcW w:w="57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Inapplicable</w:t>
            </w:r>
          </w:p>
        </w:tc>
      </w:tr>
      <w:tr>
        <w:trPr>
          <w:trHeight w:val="164"/>
        </w:trPr>
        <w:tc>
          <w:tcPr>
            <w:tcW w:w="5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312(a)</w:t>
            </w:r>
          </w:p>
        </w:tc>
        <w:tc>
          <w:tcPr>
            <w:tcW w:w="57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5.01</w:t>
            </w:r>
          </w:p>
        </w:tc>
      </w:tr>
      <w:tr>
        <w:trPr>
          <w:trHeight w:val="164"/>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57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5.02(a)</w:t>
            </w:r>
          </w:p>
        </w:tc>
      </w:tr>
      <w:tr>
        <w:trPr>
          <w:trHeight w:val="164"/>
        </w:trPr>
        <w:tc>
          <w:tcPr>
            <w:tcW w:w="5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312(b)</w:t>
            </w:r>
          </w:p>
        </w:tc>
        <w:tc>
          <w:tcPr>
            <w:tcW w:w="57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5.02(c)</w:t>
            </w:r>
          </w:p>
        </w:tc>
      </w:tr>
      <w:tr>
        <w:trPr>
          <w:trHeight w:val="164"/>
        </w:trPr>
        <w:tc>
          <w:tcPr>
            <w:tcW w:w="5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312(c)</w:t>
            </w:r>
          </w:p>
        </w:tc>
        <w:tc>
          <w:tcPr>
            <w:tcW w:w="57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5.02(c)</w:t>
            </w:r>
          </w:p>
        </w:tc>
      </w:tr>
      <w:tr>
        <w:trPr>
          <w:trHeight w:val="164"/>
        </w:trPr>
        <w:tc>
          <w:tcPr>
            <w:tcW w:w="5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313(a)</w:t>
            </w:r>
          </w:p>
        </w:tc>
        <w:tc>
          <w:tcPr>
            <w:tcW w:w="57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5.04(a)</w:t>
            </w:r>
          </w:p>
        </w:tc>
      </w:tr>
      <w:tr>
        <w:trPr>
          <w:trHeight w:val="164"/>
        </w:trPr>
        <w:tc>
          <w:tcPr>
            <w:tcW w:w="5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313(b)</w:t>
            </w:r>
          </w:p>
        </w:tc>
        <w:tc>
          <w:tcPr>
            <w:tcW w:w="57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5.04(b)</w:t>
            </w:r>
          </w:p>
        </w:tc>
      </w:tr>
      <w:tr>
        <w:trPr>
          <w:trHeight w:val="164"/>
        </w:trPr>
        <w:tc>
          <w:tcPr>
            <w:tcW w:w="5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313(c)</w:t>
            </w:r>
          </w:p>
        </w:tc>
        <w:tc>
          <w:tcPr>
            <w:tcW w:w="57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5.04(a)</w:t>
            </w:r>
          </w:p>
        </w:tc>
      </w:tr>
      <w:tr>
        <w:trPr>
          <w:trHeight w:val="164"/>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57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5.04(b)</w:t>
            </w:r>
          </w:p>
        </w:tc>
      </w:tr>
      <w:tr>
        <w:trPr>
          <w:trHeight w:val="164"/>
        </w:trPr>
        <w:tc>
          <w:tcPr>
            <w:tcW w:w="5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313(d)</w:t>
            </w:r>
          </w:p>
        </w:tc>
        <w:tc>
          <w:tcPr>
            <w:tcW w:w="57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5.04(c)</w:t>
            </w:r>
          </w:p>
        </w:tc>
      </w:tr>
      <w:tr>
        <w:trPr>
          <w:trHeight w:val="164"/>
        </w:trPr>
        <w:tc>
          <w:tcPr>
            <w:tcW w:w="5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314(a)</w:t>
            </w:r>
          </w:p>
        </w:tc>
        <w:tc>
          <w:tcPr>
            <w:tcW w:w="57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5.03</w:t>
            </w:r>
          </w:p>
        </w:tc>
      </w:tr>
      <w:tr>
        <w:trPr>
          <w:trHeight w:val="164"/>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57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13.12</w:t>
            </w:r>
          </w:p>
        </w:tc>
      </w:tr>
      <w:tr>
        <w:trPr>
          <w:trHeight w:val="164"/>
        </w:trPr>
        <w:tc>
          <w:tcPr>
            <w:tcW w:w="5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314(b)</w:t>
            </w:r>
          </w:p>
        </w:tc>
        <w:tc>
          <w:tcPr>
            <w:tcW w:w="57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Inapplicable</w:t>
            </w:r>
          </w:p>
        </w:tc>
      </w:tr>
      <w:tr>
        <w:trPr>
          <w:trHeight w:val="164"/>
        </w:trPr>
        <w:tc>
          <w:tcPr>
            <w:tcW w:w="5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314(c)</w:t>
            </w:r>
          </w:p>
        </w:tc>
        <w:tc>
          <w:tcPr>
            <w:tcW w:w="57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13.07(a)</w:t>
            </w:r>
          </w:p>
        </w:tc>
      </w:tr>
      <w:tr>
        <w:trPr>
          <w:trHeight w:val="164"/>
        </w:trPr>
        <w:tc>
          <w:tcPr>
            <w:tcW w:w="5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314(d)</w:t>
            </w:r>
          </w:p>
        </w:tc>
        <w:tc>
          <w:tcPr>
            <w:tcW w:w="57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Inapplicable</w:t>
            </w:r>
          </w:p>
        </w:tc>
      </w:tr>
      <w:tr>
        <w:trPr>
          <w:trHeight w:val="164"/>
        </w:trPr>
        <w:tc>
          <w:tcPr>
            <w:tcW w:w="5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314(e)</w:t>
            </w:r>
          </w:p>
        </w:tc>
        <w:tc>
          <w:tcPr>
            <w:tcW w:w="57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13.07(b)</w:t>
            </w:r>
          </w:p>
        </w:tc>
      </w:tr>
      <w:tr>
        <w:trPr>
          <w:trHeight w:val="164"/>
        </w:trPr>
        <w:tc>
          <w:tcPr>
            <w:tcW w:w="5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314(f)</w:t>
            </w:r>
          </w:p>
        </w:tc>
        <w:tc>
          <w:tcPr>
            <w:tcW w:w="57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Inapplicable</w:t>
            </w:r>
          </w:p>
        </w:tc>
      </w:tr>
      <w:tr>
        <w:trPr>
          <w:trHeight w:val="164"/>
        </w:trPr>
        <w:tc>
          <w:tcPr>
            <w:tcW w:w="5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315(a)</w:t>
            </w:r>
          </w:p>
        </w:tc>
        <w:tc>
          <w:tcPr>
            <w:tcW w:w="57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7.01(a)</w:t>
            </w:r>
          </w:p>
        </w:tc>
      </w:tr>
      <w:tr>
        <w:trPr>
          <w:trHeight w:val="164"/>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57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7.01(b)</w:t>
            </w:r>
          </w:p>
        </w:tc>
      </w:tr>
      <w:tr>
        <w:trPr>
          <w:trHeight w:val="164"/>
        </w:trPr>
        <w:tc>
          <w:tcPr>
            <w:tcW w:w="5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315(b)</w:t>
            </w:r>
          </w:p>
        </w:tc>
        <w:tc>
          <w:tcPr>
            <w:tcW w:w="57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7.14</w:t>
            </w:r>
          </w:p>
        </w:tc>
      </w:tr>
      <w:tr>
        <w:trPr>
          <w:trHeight w:val="164"/>
        </w:trPr>
        <w:tc>
          <w:tcPr>
            <w:tcW w:w="5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315(c)</w:t>
            </w:r>
          </w:p>
        </w:tc>
        <w:tc>
          <w:tcPr>
            <w:tcW w:w="57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7.01</w:t>
            </w:r>
          </w:p>
        </w:tc>
      </w:tr>
      <w:tr>
        <w:trPr>
          <w:trHeight w:val="164"/>
        </w:trPr>
        <w:tc>
          <w:tcPr>
            <w:tcW w:w="5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315(d)</w:t>
            </w:r>
          </w:p>
        </w:tc>
        <w:tc>
          <w:tcPr>
            <w:tcW w:w="57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7.01(b)</w:t>
            </w:r>
          </w:p>
        </w:tc>
      </w:tr>
      <w:tr>
        <w:trPr>
          <w:trHeight w:val="164"/>
        </w:trPr>
        <w:tc>
          <w:tcPr>
            <w:tcW w:w="5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315(e)</w:t>
            </w:r>
          </w:p>
        </w:tc>
        <w:tc>
          <w:tcPr>
            <w:tcW w:w="57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6.07</w:t>
            </w:r>
          </w:p>
        </w:tc>
      </w:tr>
      <w:tr>
        <w:trPr>
          <w:trHeight w:val="164"/>
        </w:trPr>
        <w:tc>
          <w:tcPr>
            <w:tcW w:w="5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316(a)</w:t>
            </w:r>
          </w:p>
        </w:tc>
        <w:tc>
          <w:tcPr>
            <w:tcW w:w="57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6.06</w:t>
            </w:r>
          </w:p>
        </w:tc>
      </w:tr>
      <w:tr>
        <w:trPr>
          <w:trHeight w:val="164"/>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57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8.04</w:t>
            </w:r>
          </w:p>
        </w:tc>
      </w:tr>
      <w:tr>
        <w:trPr>
          <w:trHeight w:val="164"/>
        </w:trPr>
        <w:tc>
          <w:tcPr>
            <w:tcW w:w="5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316(b)</w:t>
            </w:r>
          </w:p>
        </w:tc>
        <w:tc>
          <w:tcPr>
            <w:tcW w:w="57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6.04</w:t>
            </w:r>
          </w:p>
        </w:tc>
      </w:tr>
      <w:tr>
        <w:trPr>
          <w:trHeight w:val="164"/>
        </w:trPr>
        <w:tc>
          <w:tcPr>
            <w:tcW w:w="5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316(c)</w:t>
            </w:r>
          </w:p>
        </w:tc>
        <w:tc>
          <w:tcPr>
            <w:tcW w:w="57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8.01</w:t>
            </w:r>
          </w:p>
        </w:tc>
      </w:tr>
      <w:tr>
        <w:trPr>
          <w:trHeight w:val="164"/>
        </w:trPr>
        <w:tc>
          <w:tcPr>
            <w:tcW w:w="5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317(a)</w:t>
            </w:r>
          </w:p>
        </w:tc>
        <w:tc>
          <w:tcPr>
            <w:tcW w:w="57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6.02</w:t>
            </w:r>
          </w:p>
        </w:tc>
      </w:tr>
      <w:tr>
        <w:trPr>
          <w:trHeight w:val="164"/>
        </w:trPr>
        <w:tc>
          <w:tcPr>
            <w:tcW w:w="5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317(b)</w:t>
            </w:r>
          </w:p>
        </w:tc>
        <w:tc>
          <w:tcPr>
            <w:tcW w:w="57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4.03</w:t>
            </w:r>
          </w:p>
        </w:tc>
      </w:tr>
      <w:tr>
        <w:trPr>
          <w:trHeight w:val="176"/>
        </w:trPr>
        <w:tc>
          <w:tcPr>
            <w:tcW w:w="5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318(a)</w:t>
            </w:r>
          </w:p>
        </w:tc>
        <w:tc>
          <w:tcPr>
            <w:tcW w:w="57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13.09</w:t>
            </w:r>
          </w:p>
        </w:tc>
      </w:tr>
    </w:tbl>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This Cross-Reference Table does not constitute part of the Indenture and shall not have any bearing on the interpretation of any of its terms or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779145</wp:posOffset>
            </wp:positionV>
            <wp:extent cx="719074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4">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108" w:right="31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4"/>
          <w:szCs w:val="14"/>
          <w:b w:val="1"/>
          <w:bCs w:val="1"/>
          <w:color w:val="auto"/>
        </w:rPr>
        <w:t>Exhibit 5.1</w:t>
      </w:r>
    </w:p>
    <w:p>
      <w:pPr>
        <w:spacing w:after="0" w:line="91" w:lineRule="exact"/>
        <w:rPr>
          <w:sz w:val="20"/>
          <w:szCs w:val="20"/>
          <w:color w:val="auto"/>
        </w:rPr>
      </w:pPr>
    </w:p>
    <w:p>
      <w:pPr>
        <w:jc w:val="right"/>
        <w:spacing w:after="0"/>
        <w:rPr>
          <w:sz w:val="20"/>
          <w:szCs w:val="20"/>
          <w:color w:val="auto"/>
        </w:rPr>
      </w:pPr>
      <w:r>
        <w:rPr>
          <w:rFonts w:ascii="Arial" w:cs="Arial" w:eastAsia="Arial" w:hAnsi="Arial"/>
          <w:sz w:val="12"/>
          <w:szCs w:val="12"/>
          <w:color w:val="auto"/>
        </w:rPr>
        <w:t>Sheppard, Mullin, Richter &amp; Hampton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-80010</wp:posOffset>
            </wp:positionV>
            <wp:extent cx="977265" cy="3905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5">
                      <a:extLst>
                        <a:ext uri="{28A0092B-C50C-407E-A947-70E740481C1C}"/>
                      </a:extLst>
                    </a:blip>
                    <a:srcRect/>
                    <a:stretch>
                      <a:fillRect/>
                    </a:stretch>
                  </pic:blipFill>
                  <pic:spPr bwMode="auto">
                    <a:xfrm>
                      <a:off x="0" y="0"/>
                      <a:ext cx="977265" cy="39052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2"/>
          <w:szCs w:val="12"/>
          <w:color w:val="auto"/>
        </w:rPr>
        <w:t>12275 El Camino Real, Suite 100</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San Diego, CA 92130</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www.sheppard.com</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March 11, 2026</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VIA ELECTRONIC MAIL</w:t>
      </w:r>
    </w:p>
    <w:p>
      <w:pPr>
        <w:spacing w:after="0"/>
        <w:rPr>
          <w:sz w:val="20"/>
          <w:szCs w:val="20"/>
          <w:color w:val="auto"/>
        </w:rPr>
      </w:pPr>
      <w:r>
        <w:rPr>
          <w:rFonts w:ascii="Arial" w:cs="Arial" w:eastAsia="Arial" w:hAnsi="Arial"/>
          <w:sz w:val="14"/>
          <w:szCs w:val="14"/>
          <w:color w:val="auto"/>
        </w:rPr>
        <w:t>Lineage Cell Therapeutics, Inc.</w:t>
      </w:r>
    </w:p>
    <w:p>
      <w:pPr>
        <w:spacing w:after="0" w:line="229" w:lineRule="auto"/>
        <w:rPr>
          <w:sz w:val="20"/>
          <w:szCs w:val="20"/>
          <w:color w:val="auto"/>
        </w:rPr>
      </w:pPr>
      <w:r>
        <w:rPr>
          <w:rFonts w:ascii="Arial" w:cs="Arial" w:eastAsia="Arial" w:hAnsi="Arial"/>
          <w:sz w:val="14"/>
          <w:szCs w:val="14"/>
          <w:color w:val="auto"/>
        </w:rPr>
        <w:t>2173 Salk Avenue, Suite 200</w:t>
      </w:r>
    </w:p>
    <w:p>
      <w:pPr>
        <w:spacing w:after="0"/>
        <w:rPr>
          <w:sz w:val="20"/>
          <w:szCs w:val="20"/>
          <w:color w:val="auto"/>
        </w:rPr>
      </w:pPr>
      <w:r>
        <w:rPr>
          <w:rFonts w:ascii="Arial" w:cs="Arial" w:eastAsia="Arial" w:hAnsi="Arial"/>
          <w:sz w:val="14"/>
          <w:szCs w:val="14"/>
          <w:color w:val="auto"/>
        </w:rPr>
        <w:t>Carlsbad, California 92008</w:t>
      </w:r>
    </w:p>
    <w:p>
      <w:pPr>
        <w:spacing w:after="0" w:line="143"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4"/>
          <w:szCs w:val="14"/>
          <w:b w:val="1"/>
          <w:bCs w:val="1"/>
          <w:color w:val="auto"/>
        </w:rPr>
        <w:t>Re:</w:t>
      </w:r>
      <w:r>
        <w:rPr>
          <w:sz w:val="20"/>
          <w:szCs w:val="20"/>
          <w:color w:val="auto"/>
        </w:rPr>
        <w:tab/>
      </w:r>
      <w:r>
        <w:rPr>
          <w:rFonts w:ascii="Arial" w:cs="Arial" w:eastAsia="Arial" w:hAnsi="Arial"/>
          <w:sz w:val="14"/>
          <w:szCs w:val="14"/>
          <w:b w:val="1"/>
          <w:bCs w:val="1"/>
          <w:color w:val="auto"/>
        </w:rPr>
        <w:t>Registration Statement on Form S-3</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color w:val="auto"/>
        </w:rPr>
        <w:t>Ladies and Gentlemen:</w:t>
      </w:r>
    </w:p>
    <w:p>
      <w:pPr>
        <w:spacing w:after="0" w:line="75" w:lineRule="exact"/>
        <w:rPr>
          <w:sz w:val="20"/>
          <w:szCs w:val="20"/>
          <w:color w:val="auto"/>
        </w:rPr>
      </w:pPr>
    </w:p>
    <w:p>
      <w:pPr>
        <w:jc w:val="both"/>
        <w:spacing w:after="0" w:line="239" w:lineRule="auto"/>
        <w:rPr>
          <w:sz w:val="20"/>
          <w:szCs w:val="20"/>
          <w:color w:val="auto"/>
        </w:rPr>
      </w:pPr>
      <w:r>
        <w:rPr>
          <w:rFonts w:ascii="Arial" w:cs="Arial" w:eastAsia="Arial" w:hAnsi="Arial"/>
          <w:sz w:val="14"/>
          <w:szCs w:val="14"/>
          <w:color w:val="auto"/>
        </w:rPr>
        <w:t>We have acted as counsel to Lineage Cell Therapeutics, Inc., a California corporation (the “</w:t>
      </w:r>
      <w:r>
        <w:rPr>
          <w:rFonts w:ascii="Arial" w:cs="Arial" w:eastAsia="Arial" w:hAnsi="Arial"/>
          <w:sz w:val="14"/>
          <w:szCs w:val="14"/>
          <w:u w:val="single" w:color="auto"/>
          <w:color w:val="auto"/>
        </w:rPr>
        <w:t>Company</w:t>
      </w:r>
      <w:r>
        <w:rPr>
          <w:rFonts w:ascii="Arial" w:cs="Arial" w:eastAsia="Arial" w:hAnsi="Arial"/>
          <w:sz w:val="14"/>
          <w:szCs w:val="14"/>
          <w:color w:val="auto"/>
        </w:rPr>
        <w:t>”), in connection with the filing of a Registration Statement on Form S-3 (the “</w:t>
      </w:r>
      <w:r>
        <w:rPr>
          <w:rFonts w:ascii="Arial" w:cs="Arial" w:eastAsia="Arial" w:hAnsi="Arial"/>
          <w:sz w:val="14"/>
          <w:szCs w:val="14"/>
          <w:u w:val="single" w:color="auto"/>
          <w:color w:val="auto"/>
        </w:rPr>
        <w:t>Registration Statement</w:t>
      </w:r>
      <w:r>
        <w:rPr>
          <w:rFonts w:ascii="Arial" w:cs="Arial" w:eastAsia="Arial" w:hAnsi="Arial"/>
          <w:sz w:val="14"/>
          <w:szCs w:val="14"/>
          <w:color w:val="auto"/>
        </w:rPr>
        <w:t>”) by the Company under the Securities Act of 1933, as amended (the “</w:t>
      </w:r>
      <w:r>
        <w:rPr>
          <w:rFonts w:ascii="Arial" w:cs="Arial" w:eastAsia="Arial" w:hAnsi="Arial"/>
          <w:sz w:val="14"/>
          <w:szCs w:val="14"/>
          <w:u w:val="single" w:color="auto"/>
          <w:color w:val="auto"/>
        </w:rPr>
        <w:t>Securities Act</w:t>
      </w:r>
      <w:r>
        <w:rPr>
          <w:rFonts w:ascii="Arial" w:cs="Arial" w:eastAsia="Arial" w:hAnsi="Arial"/>
          <w:sz w:val="14"/>
          <w:szCs w:val="14"/>
          <w:color w:val="auto"/>
        </w:rPr>
        <w:t>”). The Registration Statement includes a prospectus (the “</w:t>
      </w:r>
      <w:r>
        <w:rPr>
          <w:rFonts w:ascii="Arial" w:cs="Arial" w:eastAsia="Arial" w:hAnsi="Arial"/>
          <w:sz w:val="14"/>
          <w:szCs w:val="14"/>
          <w:u w:val="single" w:color="auto"/>
          <w:color w:val="auto"/>
        </w:rPr>
        <w:t>Base Prospectus</w:t>
      </w:r>
      <w:r>
        <w:rPr>
          <w:rFonts w:ascii="Arial" w:cs="Arial" w:eastAsia="Arial" w:hAnsi="Arial"/>
          <w:sz w:val="14"/>
          <w:szCs w:val="14"/>
          <w:color w:val="auto"/>
        </w:rPr>
        <w:t>”) that provides that it will be supplemented in the future by one or more prospectus supplements (each, a “</w:t>
      </w:r>
      <w:r>
        <w:rPr>
          <w:rFonts w:ascii="Arial" w:cs="Arial" w:eastAsia="Arial" w:hAnsi="Arial"/>
          <w:sz w:val="14"/>
          <w:szCs w:val="14"/>
          <w:u w:val="single" w:color="auto"/>
          <w:color w:val="auto"/>
        </w:rPr>
        <w:t>Prospectus Supplement</w:t>
      </w:r>
      <w:r>
        <w:rPr>
          <w:rFonts w:ascii="Arial" w:cs="Arial" w:eastAsia="Arial" w:hAnsi="Arial"/>
          <w:sz w:val="14"/>
          <w:szCs w:val="14"/>
          <w:color w:val="auto"/>
        </w:rPr>
        <w:t>”). The Registration Statement, including the Base Prospectus (as supplemented from time to time by one or more Prospectus Supplements), provides for the registration by the Company of:</w:t>
      </w:r>
    </w:p>
    <w:p>
      <w:pPr>
        <w:spacing w:after="0" w:line="56" w:lineRule="exact"/>
        <w:rPr>
          <w:sz w:val="20"/>
          <w:szCs w:val="20"/>
          <w:color w:val="auto"/>
        </w:rPr>
      </w:pPr>
    </w:p>
    <w:p>
      <w:pPr>
        <w:ind w:left="1300" w:hanging="426"/>
        <w:spacing w:after="0"/>
        <w:tabs>
          <w:tab w:leader="none" w:pos="1300" w:val="left"/>
        </w:tabs>
        <w:numPr>
          <w:ilvl w:val="0"/>
          <w:numId w:val="70"/>
        </w:numPr>
        <w:rPr>
          <w:rFonts w:ascii="Arial" w:cs="Arial" w:eastAsia="Arial" w:hAnsi="Arial"/>
          <w:sz w:val="14"/>
          <w:szCs w:val="14"/>
          <w:color w:val="auto"/>
        </w:rPr>
      </w:pPr>
      <w:r>
        <w:rPr>
          <w:rFonts w:ascii="Arial" w:cs="Arial" w:eastAsia="Arial" w:hAnsi="Arial"/>
          <w:sz w:val="14"/>
          <w:szCs w:val="14"/>
          <w:color w:val="auto"/>
        </w:rPr>
        <w:t>its common shares (the “</w:t>
      </w:r>
      <w:r>
        <w:rPr>
          <w:rFonts w:ascii="Arial" w:cs="Arial" w:eastAsia="Arial" w:hAnsi="Arial"/>
          <w:sz w:val="14"/>
          <w:szCs w:val="14"/>
          <w:u w:val="single" w:color="auto"/>
          <w:color w:val="auto"/>
        </w:rPr>
        <w:t>Common Shares</w:t>
      </w:r>
      <w:r>
        <w:rPr>
          <w:rFonts w:ascii="Arial" w:cs="Arial" w:eastAsia="Arial" w:hAnsi="Arial"/>
          <w:sz w:val="14"/>
          <w:szCs w:val="14"/>
          <w:color w:val="auto"/>
        </w:rPr>
        <w:t>”);</w:t>
      </w:r>
    </w:p>
    <w:p>
      <w:pPr>
        <w:spacing w:after="0" w:line="74" w:lineRule="exact"/>
        <w:rPr>
          <w:rFonts w:ascii="Arial" w:cs="Arial" w:eastAsia="Arial" w:hAnsi="Arial"/>
          <w:sz w:val="14"/>
          <w:szCs w:val="14"/>
          <w:color w:val="auto"/>
        </w:rPr>
      </w:pPr>
    </w:p>
    <w:p>
      <w:pPr>
        <w:ind w:left="1300" w:hanging="426"/>
        <w:spacing w:after="0"/>
        <w:tabs>
          <w:tab w:leader="none" w:pos="1300" w:val="left"/>
        </w:tabs>
        <w:numPr>
          <w:ilvl w:val="0"/>
          <w:numId w:val="70"/>
        </w:numPr>
        <w:rPr>
          <w:rFonts w:ascii="Arial" w:cs="Arial" w:eastAsia="Arial" w:hAnsi="Arial"/>
          <w:sz w:val="14"/>
          <w:szCs w:val="14"/>
          <w:color w:val="auto"/>
        </w:rPr>
      </w:pPr>
      <w:r>
        <w:rPr>
          <w:rFonts w:ascii="Arial" w:cs="Arial" w:eastAsia="Arial" w:hAnsi="Arial"/>
          <w:sz w:val="14"/>
          <w:szCs w:val="14"/>
          <w:color w:val="auto"/>
        </w:rPr>
        <w:t>its preferred shares(the “</w:t>
      </w:r>
      <w:r>
        <w:rPr>
          <w:rFonts w:ascii="Arial" w:cs="Arial" w:eastAsia="Arial" w:hAnsi="Arial"/>
          <w:sz w:val="14"/>
          <w:szCs w:val="14"/>
          <w:u w:val="single" w:color="auto"/>
          <w:color w:val="auto"/>
        </w:rPr>
        <w:t>Preferred Shares</w:t>
      </w:r>
      <w:r>
        <w:rPr>
          <w:rFonts w:ascii="Arial" w:cs="Arial" w:eastAsia="Arial" w:hAnsi="Arial"/>
          <w:sz w:val="14"/>
          <w:szCs w:val="14"/>
          <w:color w:val="auto"/>
        </w:rPr>
        <w:t>”);</w:t>
      </w:r>
    </w:p>
    <w:p>
      <w:pPr>
        <w:spacing w:after="0" w:line="74" w:lineRule="exact"/>
        <w:rPr>
          <w:rFonts w:ascii="Arial" w:cs="Arial" w:eastAsia="Arial" w:hAnsi="Arial"/>
          <w:sz w:val="14"/>
          <w:szCs w:val="14"/>
          <w:color w:val="auto"/>
        </w:rPr>
      </w:pPr>
    </w:p>
    <w:p>
      <w:pPr>
        <w:jc w:val="both"/>
        <w:ind w:left="1300" w:hanging="426"/>
        <w:spacing w:after="0" w:line="243" w:lineRule="auto"/>
        <w:tabs>
          <w:tab w:leader="none" w:pos="1300" w:val="left"/>
        </w:tabs>
        <w:numPr>
          <w:ilvl w:val="0"/>
          <w:numId w:val="70"/>
        </w:numPr>
        <w:rPr>
          <w:rFonts w:ascii="Arial" w:cs="Arial" w:eastAsia="Arial" w:hAnsi="Arial"/>
          <w:sz w:val="14"/>
          <w:szCs w:val="14"/>
          <w:color w:val="auto"/>
        </w:rPr>
      </w:pPr>
      <w:r>
        <w:rPr>
          <w:rFonts w:ascii="Arial" w:cs="Arial" w:eastAsia="Arial" w:hAnsi="Arial"/>
          <w:sz w:val="14"/>
          <w:szCs w:val="14"/>
          <w:color w:val="auto"/>
        </w:rPr>
        <w:t>debt securities, in one or more series (the “</w:t>
      </w:r>
      <w:r>
        <w:rPr>
          <w:rFonts w:ascii="Arial" w:cs="Arial" w:eastAsia="Arial" w:hAnsi="Arial"/>
          <w:sz w:val="14"/>
          <w:szCs w:val="14"/>
          <w:u w:val="single" w:color="auto"/>
          <w:color w:val="auto"/>
        </w:rPr>
        <w:t>Debt Securities</w:t>
      </w:r>
      <w:r>
        <w:rPr>
          <w:rFonts w:ascii="Arial" w:cs="Arial" w:eastAsia="Arial" w:hAnsi="Arial"/>
          <w:sz w:val="14"/>
          <w:szCs w:val="14"/>
          <w:color w:val="auto"/>
        </w:rPr>
        <w:t>”), which may be issued pursuant to an indenture to be dated on or about the date of the first issuance of the securities thereunder, by and between a trustee to be selected by the Company (the “</w:t>
      </w:r>
      <w:r>
        <w:rPr>
          <w:rFonts w:ascii="Arial" w:cs="Arial" w:eastAsia="Arial" w:hAnsi="Arial"/>
          <w:sz w:val="14"/>
          <w:szCs w:val="14"/>
          <w:u w:val="single" w:color="auto"/>
          <w:color w:val="auto"/>
        </w:rPr>
        <w:t>Trustee</w:t>
      </w:r>
      <w:r>
        <w:rPr>
          <w:rFonts w:ascii="Arial" w:cs="Arial" w:eastAsia="Arial" w:hAnsi="Arial"/>
          <w:sz w:val="14"/>
          <w:szCs w:val="14"/>
          <w:color w:val="auto"/>
        </w:rPr>
        <w:t>”) and the Company, in the form filed as Exhibit 4.3 to the Registration Statement and one or more indentures supplemental thereto with respect to any particular series of Debt Securities (the “</w:t>
      </w:r>
      <w:r>
        <w:rPr>
          <w:rFonts w:ascii="Arial" w:cs="Arial" w:eastAsia="Arial" w:hAnsi="Arial"/>
          <w:sz w:val="14"/>
          <w:szCs w:val="14"/>
          <w:u w:val="single" w:color="auto"/>
          <w:color w:val="auto"/>
        </w:rPr>
        <w:t>Indenture</w:t>
      </w:r>
      <w:r>
        <w:rPr>
          <w:rFonts w:ascii="Arial" w:cs="Arial" w:eastAsia="Arial" w:hAnsi="Arial"/>
          <w:sz w:val="14"/>
          <w:szCs w:val="14"/>
          <w:color w:val="auto"/>
        </w:rPr>
        <w:t>”); and</w:t>
      </w:r>
    </w:p>
    <w:p>
      <w:pPr>
        <w:spacing w:after="0" w:line="54" w:lineRule="exact"/>
        <w:rPr>
          <w:rFonts w:ascii="Arial" w:cs="Arial" w:eastAsia="Arial" w:hAnsi="Arial"/>
          <w:sz w:val="14"/>
          <w:szCs w:val="14"/>
          <w:color w:val="auto"/>
        </w:rPr>
      </w:pPr>
    </w:p>
    <w:p>
      <w:pPr>
        <w:ind w:left="1300" w:hanging="426"/>
        <w:spacing w:after="0" w:line="257" w:lineRule="auto"/>
        <w:tabs>
          <w:tab w:leader="none" w:pos="1300" w:val="left"/>
        </w:tabs>
        <w:numPr>
          <w:ilvl w:val="0"/>
          <w:numId w:val="70"/>
        </w:numPr>
        <w:rPr>
          <w:rFonts w:ascii="Arial" w:cs="Arial" w:eastAsia="Arial" w:hAnsi="Arial"/>
          <w:sz w:val="14"/>
          <w:szCs w:val="14"/>
          <w:color w:val="auto"/>
        </w:rPr>
      </w:pPr>
      <w:r>
        <w:rPr>
          <w:rFonts w:ascii="Arial" w:cs="Arial" w:eastAsia="Arial" w:hAnsi="Arial"/>
          <w:sz w:val="14"/>
          <w:szCs w:val="14"/>
          <w:color w:val="auto"/>
        </w:rPr>
        <w:t>warrants to purchase Common Shares, Preferred Shares or Debt Securities (the “</w:t>
      </w:r>
      <w:r>
        <w:rPr>
          <w:rFonts w:ascii="Arial" w:cs="Arial" w:eastAsia="Arial" w:hAnsi="Arial"/>
          <w:sz w:val="14"/>
          <w:szCs w:val="14"/>
          <w:u w:val="single" w:color="auto"/>
          <w:color w:val="auto"/>
        </w:rPr>
        <w:t>Warrants</w:t>
      </w:r>
      <w:r>
        <w:rPr>
          <w:rFonts w:ascii="Arial" w:cs="Arial" w:eastAsia="Arial" w:hAnsi="Arial"/>
          <w:sz w:val="14"/>
          <w:szCs w:val="14"/>
          <w:color w:val="auto"/>
        </w:rPr>
        <w:t>”), which may be issued under one or more warrant agreements (each, a “</w:t>
      </w:r>
      <w:r>
        <w:rPr>
          <w:rFonts w:ascii="Arial" w:cs="Arial" w:eastAsia="Arial" w:hAnsi="Arial"/>
          <w:sz w:val="14"/>
          <w:szCs w:val="14"/>
          <w:u w:val="single" w:color="auto"/>
          <w:color w:val="auto"/>
        </w:rPr>
        <w:t>Warrant Agreement</w:t>
      </w:r>
      <w:r>
        <w:rPr>
          <w:rFonts w:ascii="Arial" w:cs="Arial" w:eastAsia="Arial" w:hAnsi="Arial"/>
          <w:sz w:val="14"/>
          <w:szCs w:val="14"/>
          <w:color w:val="auto"/>
        </w:rPr>
        <w:t>”), to be dated on or about the date of the first issuance of the applicable warrants thereunder.</w:t>
      </w:r>
    </w:p>
    <w:p>
      <w:pPr>
        <w:spacing w:after="0" w:line="45"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The Common Shares, the Preferred Shares, the Debt Securities and the Warrants, plus any additional Common Shares, Preferred Shares, Debt Securities and Warrants that may be registered pursuant to any registration statement that the Company may hereafter file with the Securities and Exchange Commission pursuant to Rule 462(b) under the Securities Act in connection with an offering by the Company pursuant to the Registration Statement, are collectively referred to herein as the “</w:t>
      </w:r>
      <w:r>
        <w:rPr>
          <w:rFonts w:ascii="Arial" w:cs="Arial" w:eastAsia="Arial" w:hAnsi="Arial"/>
          <w:sz w:val="14"/>
          <w:szCs w:val="14"/>
          <w:u w:val="single" w:color="auto"/>
          <w:color w:val="auto"/>
        </w:rPr>
        <w:t>Securities</w:t>
      </w:r>
      <w:r>
        <w:rPr>
          <w:rFonts w:ascii="Arial" w:cs="Arial" w:eastAsia="Arial" w:hAnsi="Arial"/>
          <w:sz w:val="14"/>
          <w:szCs w:val="14"/>
          <w:color w:val="auto"/>
        </w:rPr>
        <w:t>.” The Securities are being registered for offer and sale from time to time pursuant to Rule 415 under the Securities Act. We are delivering this opinion pursuant to the requirements of Item 601(b)(5) of Regulation S-K under the Securities Act.</w:t>
      </w:r>
    </w:p>
    <w:p>
      <w:pPr>
        <w:spacing w:after="0" w:line="57" w:lineRule="exact"/>
        <w:rPr>
          <w:sz w:val="20"/>
          <w:szCs w:val="20"/>
          <w:color w:val="auto"/>
        </w:rPr>
      </w:pPr>
    </w:p>
    <w:p>
      <w:pPr>
        <w:jc w:val="both"/>
        <w:spacing w:after="0" w:line="243" w:lineRule="auto"/>
        <w:rPr>
          <w:sz w:val="20"/>
          <w:szCs w:val="20"/>
          <w:color w:val="auto"/>
        </w:rPr>
      </w:pPr>
      <w:r>
        <w:rPr>
          <w:rFonts w:ascii="Arial" w:cs="Arial" w:eastAsia="Arial" w:hAnsi="Arial"/>
          <w:sz w:val="14"/>
          <w:szCs w:val="14"/>
          <w:color w:val="auto"/>
        </w:rPr>
        <w:t>In connection with this opinion, we have examined and relied upon originals, or copies certified to our satisfaction, of such records, documents, certificates, opinions, memoranda and other instruments as in our judgment are necessary or appropriate to enable us to render the opinion expressed below. As to certain factual matters, we have relied upon a certificate of an officer of the Company and have not independently verified such matters.</w:t>
      </w:r>
    </w:p>
    <w:p>
      <w:pPr>
        <w:spacing w:after="0" w:line="55"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In rendering this opinion, we have assumed the genuineness and authenticity of all signatures on original documents; the authenticity of all documents submitted to us as originals; the conformity to originals of all documents submitted to us as copies; the accuracy, completeness and authenticity of certificates of public</w:t>
      </w:r>
    </w:p>
    <w:p>
      <w:pPr>
        <w:spacing w:after="0" w:line="3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574040</wp:posOffset>
            </wp:positionV>
            <wp:extent cx="719074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6">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108" w:right="319" w:bottom="1440" w:gutter="0" w:footer="0" w:header="0"/>
        </w:sectPr>
      </w:pPr>
    </w:p>
    <w:bookmarkStart w:id="69" w:name="page70"/>
    <w:bookmarkEnd w:id="69"/>
    <w:p>
      <w:pPr>
        <w:spacing w:after="0"/>
        <w:rPr>
          <w:sz w:val="20"/>
          <w:szCs w:val="20"/>
          <w:color w:val="auto"/>
        </w:rPr>
      </w:pPr>
      <w:r>
        <w:rPr>
          <w:rFonts w:ascii="Arial" w:cs="Arial" w:eastAsia="Arial" w:hAnsi="Arial"/>
          <w:sz w:val="14"/>
          <w:szCs w:val="14"/>
          <w:color w:val="auto"/>
        </w:rPr>
        <w:t>officials; and the due authorization, execution and delivery of all documents where authorization, execution and delivery are prerequisites to the effectiveness of such documents.</w:t>
      </w:r>
    </w:p>
    <w:p>
      <w:pPr>
        <w:spacing w:after="0" w:line="75" w:lineRule="exact"/>
        <w:rPr>
          <w:sz w:val="20"/>
          <w:szCs w:val="20"/>
          <w:color w:val="auto"/>
        </w:rPr>
      </w:pPr>
    </w:p>
    <w:p>
      <w:pPr>
        <w:jc w:val="both"/>
        <w:spacing w:after="0" w:line="231" w:lineRule="auto"/>
        <w:rPr>
          <w:sz w:val="20"/>
          <w:szCs w:val="20"/>
          <w:color w:val="auto"/>
        </w:rPr>
      </w:pPr>
      <w:r>
        <w:rPr>
          <w:rFonts w:ascii="Arial" w:cs="Arial" w:eastAsia="Arial" w:hAnsi="Arial"/>
          <w:sz w:val="14"/>
          <w:szCs w:val="14"/>
          <w:color w:val="auto"/>
        </w:rPr>
        <w:t>With respect to our opinion as to the Common Shares, we have assumed that, at the time of issuance and sale, a sufficient number of Common Shares are authorized and available for issuance and that the consideration for the issuance and sale of the Common Shares (or for Preferred Shares or Debt Securities convertible into, or for Warrants exercisable for, Common Shares) will be in an amount that is not less than the par value of the Common Shares. With respect to our opinion as to the Preferred Shares, we have assumed that, (a) at the time of issuance and sale, a sufficient number of Preferred Shares are authorized, designated and available for issuance and that the consideration for the issuance and sale of the Preferred Shares (or for Debt Securities convertible into, or for Warrants exercisable for, Preferred Shares) will be in an amount that is not less than the par value of the Preferred Shares, and (b) the rights, preferences, privileges and restrictions, including voting rights, dividend rights, conversion rights, redemption privileges and liquidation privileges of each series of Preferred Shares will be set forth in a certificate of designation to be approved by the Company’s Board of Directors, or in an amendment to the Company’s then operative articles of incorporation (the “</w:t>
      </w:r>
      <w:r>
        <w:rPr>
          <w:rFonts w:ascii="Arial" w:cs="Arial" w:eastAsia="Arial" w:hAnsi="Arial"/>
          <w:sz w:val="14"/>
          <w:szCs w:val="14"/>
          <w:u w:val="single" w:color="auto"/>
          <w:color w:val="auto"/>
        </w:rPr>
        <w:t>Articles of Incorporation</w:t>
      </w:r>
      <w:r>
        <w:rPr>
          <w:rFonts w:ascii="Arial" w:cs="Arial" w:eastAsia="Arial" w:hAnsi="Arial"/>
          <w:sz w:val="14"/>
          <w:szCs w:val="14"/>
          <w:color w:val="auto"/>
        </w:rPr>
        <w:t>”), to be approved by the Company’s Board of Directors and shareholders, and that one or both of these documents will be filed either as an exhibit to an amendment to the Registration Statement to be filed after the date of this opinion or as an exhibit to a Current Report on Form 8-K to be filed after the Registration Statement has become effective. We have also assumed that any Debt Securities offered under the Registration Statement and the related Indenture, that such securities will be executed in the forms filed as exhibits to the Registration Statement or incorporated by reference therein. We have also assumed that (i) with respect to Securities issuable upon conversion of any convertible Preferred Shares, such convertible Preferred Shares are duly authorized, validly issued, fully paid and non-assessable; and (ii) with respect to any Securities issuable upon conversion of any convertible Debt Securities or upon exercise of any Warrants, the applicable convertible Debt Securities or Warrants constitute valid and legally binding obligations of the Company, enforceable against the Company in accordance with their terms, except as enforcement may be limited by or subject to (x) bankruptcy, insolvency, fraudulent transfer or conveyance, reorganization, moratorium or other similar laws relating to or affecting creditors’ rights generally, (y) general equity or public policy principles (regardless of whether considered in a proceeding at law or in equity) and (z) limitations on availability of equitable relief, including specific performance. With respect to the Warrants offered under the Registration Statement, we have also assumed that (A) such Warrants will be issued pursuant to a Warrant Agreement, (B) the Warrant Agreement will be filed either as an exhibit to an amendment to the Registration Statement to be filed after the date of this letter or as an exhibit to a Current Report on Form 8-K to be filed after the Registration Statement has become effective, and (C) the particular terms of any series of Warrants will be set forth in a Prospectus Supplement.</w:t>
      </w:r>
    </w:p>
    <w:p>
      <w:pPr>
        <w:spacing w:after="0" w:line="61" w:lineRule="exact"/>
        <w:rPr>
          <w:sz w:val="20"/>
          <w:szCs w:val="20"/>
          <w:color w:val="auto"/>
        </w:rPr>
      </w:pPr>
    </w:p>
    <w:p>
      <w:pPr>
        <w:jc w:val="both"/>
        <w:spacing w:after="0" w:line="271" w:lineRule="auto"/>
        <w:rPr>
          <w:sz w:val="20"/>
          <w:szCs w:val="20"/>
          <w:color w:val="auto"/>
        </w:rPr>
      </w:pPr>
      <w:r>
        <w:rPr>
          <w:rFonts w:ascii="Arial" w:cs="Arial" w:eastAsia="Arial" w:hAnsi="Arial"/>
          <w:sz w:val="13"/>
          <w:szCs w:val="13"/>
          <w:color w:val="auto"/>
        </w:rPr>
        <w:t>Our opinion herein is expressed solely with respect to the laws of the State of California and, as to the Debt Securities and the Warrants constituting valid and legally binding obligations of the Company, the laws of the State of New York. Our opinion is based on these laws as in effect on the date hereof. We express no opinion as to whether the laws of any other jurisdiction are applicable to the subject matter hereof. We are not rendering any opinion and provide no assurance as to compliance with any federal or state securities law, rule or regulation.</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auto"/>
        </w:rPr>
        <w:t>On the basis of the foregoing and in reliance thereon, and subject to the qualifications herein stated, we are of the opinion that:</w:t>
      </w:r>
    </w:p>
    <w:p>
      <w:pPr>
        <w:spacing w:after="0" w:line="75" w:lineRule="exact"/>
        <w:rPr>
          <w:sz w:val="20"/>
          <w:szCs w:val="20"/>
          <w:color w:val="auto"/>
        </w:rPr>
      </w:pPr>
    </w:p>
    <w:p>
      <w:pPr>
        <w:jc w:val="both"/>
        <w:ind w:firstLine="754"/>
        <w:spacing w:after="0" w:line="235" w:lineRule="auto"/>
        <w:tabs>
          <w:tab w:leader="none" w:pos="1023" w:val="left"/>
        </w:tabs>
        <w:numPr>
          <w:ilvl w:val="0"/>
          <w:numId w:val="71"/>
        </w:numPr>
        <w:rPr>
          <w:rFonts w:ascii="Arial" w:cs="Arial" w:eastAsia="Arial" w:hAnsi="Arial"/>
          <w:sz w:val="14"/>
          <w:szCs w:val="14"/>
          <w:color w:val="auto"/>
        </w:rPr>
      </w:pPr>
      <w:r>
        <w:rPr>
          <w:rFonts w:ascii="Arial" w:cs="Arial" w:eastAsia="Arial" w:hAnsi="Arial"/>
          <w:sz w:val="14"/>
          <w:szCs w:val="14"/>
          <w:color w:val="auto"/>
        </w:rPr>
        <w:t>With respect to the Common Shares offered under the Registration Statement, provided that (i) the Registration Statement and any required post-effective amendment thereto have become effective under the Securities Act and the Base Prospectus and any and all Prospectus Supplement(s) required by applicable laws have been delivered and filed as required by such laws; (ii) the issuance of the Common Shares has been duly authorized by all necessary corporate action on the part of the Company; (iii) the issuance and sale of the Common Shares do not violate any applicable law, are in conformity with the Articles of Incorporation and the Company’s then operative bylaws (the “</w:t>
      </w:r>
      <w:r>
        <w:rPr>
          <w:rFonts w:ascii="Arial" w:cs="Arial" w:eastAsia="Arial" w:hAnsi="Arial"/>
          <w:sz w:val="14"/>
          <w:szCs w:val="14"/>
          <w:u w:val="single" w:color="auto"/>
          <w:color w:val="auto"/>
        </w:rPr>
        <w:t>Bylaws</w:t>
      </w:r>
      <w:r>
        <w:rPr>
          <w:rFonts w:ascii="Arial" w:cs="Arial" w:eastAsia="Arial" w:hAnsi="Arial"/>
          <w:sz w:val="14"/>
          <w:szCs w:val="14"/>
          <w:color w:val="auto"/>
        </w:rPr>
        <w:t>”), do not result in a default under or breach of any agreement or instrument binding upon the Company and comply with any applicable requirement or restriction imposed by any court or governmental body having jurisdiction over the Company; and (iv) the certificates, if any, for the Common Shares have been duly executed by the</w:t>
      </w:r>
    </w:p>
    <w:p>
      <w:pPr>
        <w:spacing w:after="0" w:line="5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574040</wp:posOffset>
            </wp:positionV>
            <wp:extent cx="719074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7">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112" w:right="319" w:bottom="1440" w:gutter="0" w:footer="0" w:header="0"/>
        </w:sectPr>
      </w:pPr>
    </w:p>
    <w:bookmarkStart w:id="70" w:name="page71"/>
    <w:bookmarkEnd w:id="70"/>
    <w:p>
      <w:pPr>
        <w:jc w:val="both"/>
        <w:spacing w:after="0" w:line="239" w:lineRule="auto"/>
        <w:rPr>
          <w:sz w:val="20"/>
          <w:szCs w:val="20"/>
          <w:color w:val="auto"/>
        </w:rPr>
      </w:pPr>
      <w:r>
        <w:rPr>
          <w:rFonts w:ascii="Arial" w:cs="Arial" w:eastAsia="Arial" w:hAnsi="Arial"/>
          <w:sz w:val="14"/>
          <w:szCs w:val="14"/>
          <w:color w:val="auto"/>
        </w:rPr>
        <w:t>Company, countersigned by the transfer agent therefor and duly delivered to the purchasers thereof against the requisite payment therefor, which the Company has received, then the Common Shares, when issued and sold as contemplated in the Registration Statement, the Base Prospectus and the related Prospectus Supplement(s) and in accordance with a duly authorized, executed and delivered purchase, underwriting or similar agreement, or upon conversion of any convertible Preferred Shares or convertible Debt Securities in accordance with their terms, or upon exercise of any Warrants in accordance with their terms, will be validly issued, fully paid and non-assessable.</w:t>
      </w:r>
    </w:p>
    <w:p>
      <w:pPr>
        <w:spacing w:after="0" w:line="56" w:lineRule="exact"/>
        <w:rPr>
          <w:sz w:val="20"/>
          <w:szCs w:val="20"/>
          <w:color w:val="auto"/>
        </w:rPr>
      </w:pPr>
    </w:p>
    <w:p>
      <w:pPr>
        <w:jc w:val="both"/>
        <w:ind w:firstLine="754"/>
        <w:spacing w:after="0" w:line="242" w:lineRule="auto"/>
        <w:tabs>
          <w:tab w:leader="none" w:pos="1023" w:val="left"/>
        </w:tabs>
        <w:numPr>
          <w:ilvl w:val="0"/>
          <w:numId w:val="72"/>
        </w:numPr>
        <w:rPr>
          <w:rFonts w:ascii="Arial" w:cs="Arial" w:eastAsia="Arial" w:hAnsi="Arial"/>
          <w:sz w:val="14"/>
          <w:szCs w:val="14"/>
          <w:color w:val="auto"/>
        </w:rPr>
      </w:pPr>
      <w:r>
        <w:rPr>
          <w:rFonts w:ascii="Arial" w:cs="Arial" w:eastAsia="Arial" w:hAnsi="Arial"/>
          <w:sz w:val="14"/>
          <w:szCs w:val="14"/>
          <w:color w:val="auto"/>
        </w:rPr>
        <w:t>With respect to the Preferred Shares offered under the Registration Statement, provided that (i) the Registration Statement and any required post-effective amendment thereto have become effective under the Securities Act and the Base Prospectus and any and all Prospectus Supplement(s) required by applicable laws have been delivered and filed as required by such laws; (ii) the terms and issuance of the Preferred Shares have been duly authorized by all necessary corporate action on the part of the Company; (iii) the terms of the Preferred Shares and their issuance and sale do not violate any applicable law, are in conformity with the Articles of Incorporation and the Bylaws, do not result in a default under or breach of any agreement or instrument binding upon the Company and comply with any applicable requirement or restriction imposed by any court or governmental body having jurisdiction over the Company; and (iv) the certificates, if any, for the Preferred Shares have been duly executed by the Company, countersigned by the transfer agent therefor and duly delivered to the purchasers thereof against the requisite payment therefor, which the Company has received, then the Preferred Shares, when issued and sold as contemplated in the Registration Statement, the Base Prospectus and the related Prospectus Supplement(s) and in accordance with a duly authorized, executed and delivered purchase, underwriting or similar agreement, or upon conversion of any convertible Debt Securities in accordance with their terms, or upon exercise of any Warrants in accordance with their terms, will be validly issued, fully paid and non-assessable.</w:t>
      </w:r>
    </w:p>
    <w:p>
      <w:pPr>
        <w:spacing w:after="0" w:line="58" w:lineRule="exact"/>
        <w:rPr>
          <w:rFonts w:ascii="Arial" w:cs="Arial" w:eastAsia="Arial" w:hAnsi="Arial"/>
          <w:sz w:val="14"/>
          <w:szCs w:val="14"/>
          <w:color w:val="auto"/>
        </w:rPr>
      </w:pPr>
    </w:p>
    <w:p>
      <w:pPr>
        <w:jc w:val="both"/>
        <w:ind w:firstLine="754"/>
        <w:spacing w:after="0" w:line="232" w:lineRule="auto"/>
        <w:tabs>
          <w:tab w:leader="none" w:pos="1023" w:val="left"/>
        </w:tabs>
        <w:numPr>
          <w:ilvl w:val="0"/>
          <w:numId w:val="72"/>
        </w:numPr>
        <w:rPr>
          <w:rFonts w:ascii="Arial" w:cs="Arial" w:eastAsia="Arial" w:hAnsi="Arial"/>
          <w:sz w:val="14"/>
          <w:szCs w:val="14"/>
          <w:color w:val="auto"/>
        </w:rPr>
      </w:pPr>
      <w:r>
        <w:rPr>
          <w:rFonts w:ascii="Arial" w:cs="Arial" w:eastAsia="Arial" w:hAnsi="Arial"/>
          <w:sz w:val="14"/>
          <w:szCs w:val="14"/>
          <w:color w:val="auto"/>
        </w:rPr>
        <w:t>With respect to any series of the Debt Securities issued under the Indenture and offered under the Registration Statement, provided that (i) the Registration Statement and any required post-effective amendment thereto have become effective under the Securities Act and the Base Prospectus and any and all Prospectus Supplement(s) required by applicable laws have been delivered and filed as required by such laws; (ii) the Indenture has been duly authorized by the Company and the Trustee by all necessary corporate action; (iii) the Indenture in substantially the form filed as an exhibit to the Registration Statement, has been duly executed and delivered by the Company and the Trustee and has been qualified under the Trust Indenture Act of 1939, as amended; (iv) the issuance and terms of the Debt Securities have been duly authorized by the Company by all necessary corporate action; (v) the terms of the Debt Securities and of their issuance and sale have been duly established in conformity with the Indenture so as not to violate any applicable law or result in a default under or breach of any agreement or instrument binding upon the Company, so as to be in conformity with the Articles of Incorporation and the Bylaws, and so as to comply with any requirement or restriction imposed by any court or governmental body having jurisdiction over the Company; and (vi) the notes representing the Debt Securities have been duly executed and delivered by the Company and authenticated by the Trustee pursuant to the Indenture and delivered against the requisite payment therefor, which the Company has received, then the Debt Securities, when issued and sold in accordance with the Indenture and as contemplated by the Registration Statement, the Base Prospectus and the related Prospectus Supplement(s), and a duly authorized, executed and delivered purchase, underwriting or similar agreement, or upon exercise of any Warrants in accordance with their terms, will be valid and legally binding obligations of the Company.</w:t>
      </w:r>
    </w:p>
    <w:p>
      <w:pPr>
        <w:spacing w:after="0" w:line="60" w:lineRule="exact"/>
        <w:rPr>
          <w:rFonts w:ascii="Arial" w:cs="Arial" w:eastAsia="Arial" w:hAnsi="Arial"/>
          <w:sz w:val="14"/>
          <w:szCs w:val="14"/>
          <w:color w:val="auto"/>
        </w:rPr>
      </w:pPr>
    </w:p>
    <w:p>
      <w:pPr>
        <w:jc w:val="both"/>
        <w:ind w:firstLine="754"/>
        <w:spacing w:after="0" w:line="235" w:lineRule="auto"/>
        <w:tabs>
          <w:tab w:leader="none" w:pos="1023" w:val="left"/>
        </w:tabs>
        <w:numPr>
          <w:ilvl w:val="0"/>
          <w:numId w:val="72"/>
        </w:numPr>
        <w:rPr>
          <w:rFonts w:ascii="Arial" w:cs="Arial" w:eastAsia="Arial" w:hAnsi="Arial"/>
          <w:sz w:val="14"/>
          <w:szCs w:val="14"/>
          <w:color w:val="auto"/>
        </w:rPr>
      </w:pPr>
      <w:r>
        <w:rPr>
          <w:rFonts w:ascii="Arial" w:cs="Arial" w:eastAsia="Arial" w:hAnsi="Arial"/>
          <w:sz w:val="14"/>
          <w:szCs w:val="14"/>
          <w:color w:val="auto"/>
        </w:rPr>
        <w:t>With respect to the Warrants issued under a Warrant Agreement and offered under the Registration Statement, provided that (i) the Registration Statement and any required post-effective amendment thereto have become effective under the Securities Act and the Base Prospectus and any and all Prospectus Supplement(s) required by applicable laws have been delivered and filed as required by such laws; (ii) the Warrant Agreement has been duly authorized by the Company and the counterparty thereto by all necessary corporate or similar action; (iii) the Warrant Agreement has been duly executed and delivered by the Company and the counterparty thereto, as described in the Registration Statement, the Prospectus and the related Prospectus Supplement(s); (iv) the issuance and terms of the Warrants have been duly authorized by the Company by all necessary corporate action; (v) the terms of the Warrants and of their issuance and sale have been duly established in conformity with the Warrant Agreement and</w:t>
      </w:r>
    </w:p>
    <w:p>
      <w:pPr>
        <w:spacing w:after="0" w:line="5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574040</wp:posOffset>
            </wp:positionV>
            <wp:extent cx="719074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8">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112" w:right="319" w:bottom="1440" w:gutter="0" w:footer="0" w:header="0"/>
        </w:sectPr>
      </w:pPr>
    </w:p>
    <w:bookmarkStart w:id="71" w:name="page72"/>
    <w:bookmarkEnd w:id="71"/>
    <w:p>
      <w:pPr>
        <w:jc w:val="both"/>
        <w:spacing w:after="0" w:line="235" w:lineRule="auto"/>
        <w:rPr>
          <w:sz w:val="20"/>
          <w:szCs w:val="20"/>
          <w:color w:val="auto"/>
        </w:rPr>
      </w:pPr>
      <w:r>
        <w:rPr>
          <w:rFonts w:ascii="Arial" w:cs="Arial" w:eastAsia="Arial" w:hAnsi="Arial"/>
          <w:sz w:val="14"/>
          <w:szCs w:val="14"/>
          <w:color w:val="auto"/>
        </w:rPr>
        <w:t>as described in the Registration Statement, the Base Prospectus and the related Prospectus Supplement(s), so as not to violate any applicable law or result in a default under or breach of any agreement or instrument binding upon the Company, so as to be in conformity with the Articles of Incorporation and the Bylaws, and so as to comply with any requirement or restriction imposed by any court or governmental body having jurisdiction over the Company; and (vi) the Warrants have been duly executed and delivered by the Company pursuant to the Warrant Agreement and delivered against the requisite payment therefor, which the Company has received, then the Warrants, when issued and sold as contemplated in the Registration Statement, the Base Prospectus and the Prospectus Supplement(s) and in accordance with the Warrant Agreement and a duly authorized, executed and delivered purchase, underwriting or similar agreement, will be valid and legally binding obligations of the Company.</w:t>
      </w:r>
    </w:p>
    <w:p>
      <w:pPr>
        <w:spacing w:after="0" w:line="59" w:lineRule="exact"/>
        <w:rPr>
          <w:sz w:val="20"/>
          <w:szCs w:val="20"/>
          <w:color w:val="auto"/>
        </w:rPr>
      </w:pPr>
    </w:p>
    <w:p>
      <w:pPr>
        <w:jc w:val="both"/>
        <w:spacing w:after="0" w:line="243" w:lineRule="auto"/>
        <w:rPr>
          <w:sz w:val="20"/>
          <w:szCs w:val="20"/>
          <w:color w:val="auto"/>
        </w:rPr>
      </w:pPr>
      <w:r>
        <w:rPr>
          <w:rFonts w:ascii="Arial" w:cs="Arial" w:eastAsia="Arial" w:hAnsi="Arial"/>
          <w:sz w:val="14"/>
          <w:szCs w:val="14"/>
          <w:color w:val="auto"/>
        </w:rPr>
        <w:t>The foregoing opinions are qualified to the extent that the enforceability of any document, instrument or the Securities may be limited by or subject to bankruptcy, insolvency, fraudulent transfer or conveyance, reorganization, moratorium or other similar laws relating to or affecting creditors’ rights generally, and general equitable or public policy principles (regardless of whether considered in a proceeding at law or in equity).</w:t>
      </w:r>
    </w:p>
    <w:p>
      <w:pPr>
        <w:spacing w:after="0" w:line="55" w:lineRule="exact"/>
        <w:rPr>
          <w:sz w:val="20"/>
          <w:szCs w:val="20"/>
          <w:color w:val="auto"/>
        </w:rPr>
      </w:pPr>
    </w:p>
    <w:p>
      <w:pPr>
        <w:jc w:val="both"/>
        <w:spacing w:after="0" w:line="239" w:lineRule="auto"/>
        <w:rPr>
          <w:sz w:val="20"/>
          <w:szCs w:val="20"/>
          <w:color w:val="auto"/>
        </w:rPr>
      </w:pPr>
      <w:r>
        <w:rPr>
          <w:rFonts w:ascii="Arial" w:cs="Arial" w:eastAsia="Arial" w:hAnsi="Arial"/>
          <w:sz w:val="14"/>
          <w:szCs w:val="14"/>
          <w:color w:val="auto"/>
        </w:rPr>
        <w:t>We hereby consent to the filing of this opinion as an exhibit to the Registration Statement and to the reference to our firm under the caption “Legal Matters” in the Base Prospectus. In giving this consent, we do not thereby admit that we are within the category of persons whose consent is required under Section 7 of the Securities Act or the General Rules and Regulations under the Securities Act. We further consent to the incorporation by reference of this opinion into any registration statement filed pursuant to Rule 462(b) under the Securities Act with respect to additional Securities.</w:t>
      </w:r>
    </w:p>
    <w:p>
      <w:pPr>
        <w:spacing w:after="0" w:line="56"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This opinion letter is rendered as of the date first written above and we disclaim any obligation to advise you of facts, circumstances, events or developments which hereafter may be brought to our attention and which may alter, affect or modify the opinion expressed herein. Our opinion is expressly limited to the matters set forth above and we render no opinion, whether by implication or otherwise, as to any other matters relating to the Company, the Securities or any other agreements or transactions that may be related thereto or contemplated thereby. We are expressing no opinion as to any obligations that parties other than the Company may have under or in respect of the Securities, or as to the effect that their performance of such obligations may have upon any of the matters referred to above. No opinion may be implied or inferred beyond the opinion expressly stated above.</w:t>
      </w:r>
    </w:p>
    <w:p>
      <w:pPr>
        <w:spacing w:after="0" w:line="57" w:lineRule="exact"/>
        <w:rPr>
          <w:sz w:val="20"/>
          <w:szCs w:val="20"/>
          <w:color w:val="auto"/>
        </w:rPr>
      </w:pPr>
    </w:p>
    <w:p>
      <w:pPr>
        <w:ind w:left="4640"/>
        <w:spacing w:after="0"/>
        <w:rPr>
          <w:sz w:val="20"/>
          <w:szCs w:val="20"/>
          <w:color w:val="auto"/>
        </w:rPr>
      </w:pPr>
      <w:r>
        <w:rPr>
          <w:rFonts w:ascii="Arial" w:cs="Arial" w:eastAsia="Arial" w:hAnsi="Arial"/>
          <w:sz w:val="14"/>
          <w:szCs w:val="14"/>
          <w:color w:val="auto"/>
        </w:rPr>
        <w:t>Sincerely,</w:t>
      </w:r>
    </w:p>
    <w:p>
      <w:pPr>
        <w:spacing w:after="0" w:line="75" w:lineRule="exact"/>
        <w:rPr>
          <w:sz w:val="20"/>
          <w:szCs w:val="20"/>
          <w:color w:val="auto"/>
        </w:rPr>
      </w:pPr>
    </w:p>
    <w:p>
      <w:pPr>
        <w:ind w:left="4640"/>
        <w:spacing w:after="0"/>
        <w:rPr>
          <w:sz w:val="20"/>
          <w:szCs w:val="20"/>
          <w:color w:val="auto"/>
        </w:rPr>
      </w:pPr>
      <w:r>
        <w:rPr>
          <w:rFonts w:ascii="Arial" w:cs="Arial" w:eastAsia="Arial" w:hAnsi="Arial"/>
          <w:sz w:val="14"/>
          <w:szCs w:val="14"/>
          <w:color w:val="auto"/>
        </w:rPr>
        <w:t>/s/ Sheppard, Mullin, Richter &amp; Hampton LLP</w:t>
      </w:r>
    </w:p>
    <w:p>
      <w:pPr>
        <w:spacing w:after="0" w:line="313"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574040</wp:posOffset>
            </wp:positionV>
            <wp:extent cx="719074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9">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112" w:right="319" w:bottom="1440" w:gutter="0" w:footer="0" w:header="0"/>
        </w:sectPr>
      </w:pPr>
    </w:p>
    <w:bookmarkStart w:id="72" w:name="page73"/>
    <w:bookmarkEnd w:id="72"/>
    <w:p>
      <w:pPr>
        <w:jc w:val="right"/>
        <w:spacing w:after="0"/>
        <w:rPr>
          <w:sz w:val="20"/>
          <w:szCs w:val="20"/>
          <w:color w:val="auto"/>
        </w:rPr>
      </w:pPr>
      <w:r>
        <w:rPr>
          <w:rFonts w:ascii="Arial" w:cs="Arial" w:eastAsia="Arial" w:hAnsi="Arial"/>
          <w:sz w:val="14"/>
          <w:szCs w:val="14"/>
          <w:b w:val="1"/>
          <w:bCs w:val="1"/>
          <w:color w:val="auto"/>
        </w:rPr>
        <w:t>Exhibit 23.1</w:t>
      </w:r>
    </w:p>
    <w:p>
      <w:pPr>
        <w:spacing w:after="0" w:line="160" w:lineRule="exact"/>
        <w:rPr>
          <w:sz w:val="20"/>
          <w:szCs w:val="20"/>
          <w:color w:val="auto"/>
        </w:rPr>
      </w:pPr>
    </w:p>
    <w:p>
      <w:pPr>
        <w:jc w:val="center"/>
        <w:spacing w:after="0"/>
        <w:rPr>
          <w:sz w:val="20"/>
          <w:szCs w:val="20"/>
          <w:color w:val="auto"/>
        </w:rPr>
      </w:pPr>
      <w:r>
        <w:rPr>
          <w:rFonts w:ascii="Georgia" w:cs="Georgia" w:eastAsia="Georgia" w:hAnsi="Georgia"/>
          <w:sz w:val="19"/>
          <w:szCs w:val="19"/>
          <w:b w:val="1"/>
          <w:bCs w:val="1"/>
          <w:color w:val="auto"/>
        </w:rPr>
        <w:t>Consent of Independent Registered Public Accounting Firm</w:t>
      </w:r>
    </w:p>
    <w:p>
      <w:pPr>
        <w:spacing w:after="0" w:line="153" w:lineRule="exact"/>
        <w:rPr>
          <w:sz w:val="20"/>
          <w:szCs w:val="20"/>
          <w:color w:val="auto"/>
        </w:rPr>
      </w:pPr>
    </w:p>
    <w:p>
      <w:pPr>
        <w:jc w:val="both"/>
        <w:ind w:right="60"/>
        <w:spacing w:after="0" w:line="243" w:lineRule="auto"/>
        <w:rPr>
          <w:sz w:val="20"/>
          <w:szCs w:val="20"/>
          <w:color w:val="auto"/>
        </w:rPr>
      </w:pPr>
      <w:r>
        <w:rPr>
          <w:rFonts w:ascii="Arial" w:cs="Arial" w:eastAsia="Arial" w:hAnsi="Arial"/>
          <w:sz w:val="14"/>
          <w:szCs w:val="14"/>
          <w:color w:val="auto"/>
        </w:rPr>
        <w:t>We consent to the incorporation by reference in this Registration Statement on Form S-3 of Lineage Cell Therapeutics Inc. (the “Company”) of our report dated March 5, 2026, relating to the consolidated financial statements of the Company, appearing in the Annual Report on Form 10-K of the Company for the year ended December 31, 2025, filed with the Securities and Exchange Commission. We also consent to the reference to us under the heading “Experts” in such Registration Statement.</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color w:val="auto"/>
        </w:rPr>
        <w:t>/s/ Baker Tilly US, LLP</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San Diego, California</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March 11,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641350</wp:posOffset>
            </wp:positionV>
            <wp:extent cx="719074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0">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740" w:right="319" w:bottom="1440" w:gutter="0" w:footer="0" w:header="0"/>
        </w:sectPr>
      </w:pPr>
    </w:p>
    <w:bookmarkStart w:id="73" w:name="page74"/>
    <w:bookmarkEnd w:id="73"/>
    <w:p>
      <w:pPr>
        <w:spacing w:after="0" w:line="21" w:lineRule="exact"/>
        <w:rPr>
          <w:sz w:val="20"/>
          <w:szCs w:val="20"/>
          <w:color w:val="auto"/>
        </w:rPr>
      </w:pPr>
    </w:p>
    <w:p>
      <w:pPr>
        <w:ind w:left="3540"/>
        <w:spacing w:after="0"/>
        <w:rPr>
          <w:sz w:val="20"/>
          <w:szCs w:val="20"/>
          <w:color w:val="auto"/>
        </w:rPr>
      </w:pPr>
      <w:r>
        <w:rPr>
          <w:rFonts w:ascii="Arial" w:cs="Arial" w:eastAsia="Arial" w:hAnsi="Arial"/>
          <w:sz w:val="27"/>
          <w:szCs w:val="27"/>
          <w:b w:val="1"/>
          <w:bCs w:val="1"/>
          <w:color w:val="auto"/>
        </w:rPr>
        <w:t>Calculation of Filing Fee Tables</w:t>
      </w:r>
    </w:p>
    <w:p>
      <w:pPr>
        <w:spacing w:after="0" w:line="172" w:lineRule="exact"/>
        <w:rPr>
          <w:sz w:val="20"/>
          <w:szCs w:val="20"/>
          <w:color w:val="auto"/>
        </w:rPr>
      </w:pPr>
    </w:p>
    <w:p>
      <w:pPr>
        <w:ind w:left="5360"/>
        <w:spacing w:after="0"/>
        <w:rPr>
          <w:sz w:val="20"/>
          <w:szCs w:val="20"/>
          <w:color w:val="auto"/>
        </w:rPr>
      </w:pPr>
      <w:r>
        <w:rPr>
          <w:rFonts w:ascii="Arial" w:cs="Arial" w:eastAsia="Arial" w:hAnsi="Arial"/>
          <w:sz w:val="27"/>
          <w:szCs w:val="27"/>
          <w:b w:val="1"/>
          <w:bCs w:val="1"/>
          <w:color w:val="auto"/>
        </w:rPr>
        <w:t>S-3</w:t>
      </w:r>
    </w:p>
    <w:p>
      <w:pPr>
        <w:spacing w:after="0" w:line="100" w:lineRule="exact"/>
        <w:rPr>
          <w:sz w:val="20"/>
          <w:szCs w:val="20"/>
          <w:color w:val="auto"/>
        </w:rPr>
      </w:pPr>
    </w:p>
    <w:p>
      <w:pPr>
        <w:jc w:val="center"/>
        <w:ind w:right="200"/>
        <w:spacing w:after="0"/>
        <w:rPr>
          <w:sz w:val="20"/>
          <w:szCs w:val="20"/>
          <w:color w:val="auto"/>
        </w:rPr>
      </w:pPr>
      <w:r>
        <w:rPr>
          <w:rFonts w:ascii="Arial" w:cs="Arial" w:eastAsia="Arial" w:hAnsi="Arial"/>
          <w:sz w:val="27"/>
          <w:szCs w:val="27"/>
          <w:b w:val="1"/>
          <w:bCs w:val="1"/>
          <w:color w:val="auto"/>
        </w:rPr>
        <w:t>Lineage Cell Therapeutics, Inc.</w:t>
      </w:r>
    </w:p>
    <w:p>
      <w:pPr>
        <w:spacing w:after="0" w:line="103" w:lineRule="exact"/>
        <w:rPr>
          <w:sz w:val="20"/>
          <w:szCs w:val="20"/>
          <w:color w:val="auto"/>
        </w:rPr>
      </w:pPr>
    </w:p>
    <w:tbl>
      <w:tblPr>
        <w:tblLayout w:type="fixed"/>
        <w:tblInd w:w="10" w:type="dxa"/>
        <w:tblCellMar>
          <w:top w:w="0" w:type="dxa"/>
          <w:left w:w="0" w:type="dxa"/>
          <w:bottom w:w="0" w:type="dxa"/>
          <w:right w:w="0" w:type="dxa"/>
        </w:tblCellMar>
      </w:tblPr>
      <w:tr>
        <w:trPr>
          <w:trHeight w:val="267"/>
        </w:trPr>
        <w:tc>
          <w:tcPr>
            <w:tcW w:w="4460" w:type="dxa"/>
            <w:vAlign w:val="bottom"/>
            <w:tcBorders>
              <w:bottom w:val="single" w:sz="8" w:color="auto"/>
            </w:tcBorders>
            <w:gridSpan w:val="13"/>
          </w:tcPr>
          <w:p>
            <w:pPr>
              <w:ind w:left="40"/>
              <w:spacing w:after="0"/>
              <w:rPr>
                <w:sz w:val="20"/>
                <w:szCs w:val="20"/>
                <w:color w:val="auto"/>
              </w:rPr>
            </w:pPr>
            <w:r>
              <w:rPr>
                <w:rFonts w:ascii="Arial" w:cs="Arial" w:eastAsia="Arial" w:hAnsi="Arial"/>
                <w:sz w:val="16"/>
                <w:szCs w:val="16"/>
                <w:b w:val="1"/>
                <w:bCs w:val="1"/>
                <w:color w:val="auto"/>
              </w:rPr>
              <w:t>Table 1: Newly Registered and Carry Forward Securities</w:t>
            </w:r>
          </w:p>
        </w:tc>
        <w:tc>
          <w:tcPr>
            <w:tcW w:w="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gridSpan w:val="3"/>
          </w:tcPr>
          <w:p>
            <w:pPr>
              <w:ind w:left="280"/>
              <w:spacing w:after="0" w:line="184"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Not Applicable</w:t>
            </w:r>
          </w:p>
        </w:tc>
        <w:tc>
          <w:tcPr>
            <w:tcW w:w="0" w:type="dxa"/>
            <w:vAlign w:val="bottom"/>
          </w:tcPr>
          <w:p>
            <w:pPr>
              <w:spacing w:after="0"/>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Filing Fee</w:t>
            </w: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Previously</w:t>
            </w: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shd w:val="clear" w:color="auto" w:fill="9ADAF6"/>
          </w:tcPr>
          <w:p>
            <w:pPr>
              <w:jc w:val="center"/>
              <w:ind w:left="38"/>
              <w:spacing w:after="0"/>
              <w:rPr>
                <w:sz w:val="20"/>
                <w:szCs w:val="20"/>
                <w:color w:val="auto"/>
              </w:rPr>
            </w:pPr>
            <w:r>
              <w:rPr>
                <w:rFonts w:ascii="Arial" w:cs="Arial" w:eastAsia="Arial" w:hAnsi="Arial"/>
                <w:sz w:val="16"/>
                <w:szCs w:val="16"/>
                <w:b w:val="1"/>
                <w:bCs w:val="1"/>
                <w:color w:val="auto"/>
              </w:rPr>
              <w:t>Fee</w:t>
            </w: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Proposed</w:t>
            </w:r>
          </w:p>
        </w:tc>
        <w:tc>
          <w:tcPr>
            <w:tcW w:w="20" w:type="dxa"/>
            <w:vAlign w:val="bottom"/>
          </w:tcPr>
          <w:p>
            <w:pPr>
              <w:spacing w:after="0"/>
              <w:rPr>
                <w:sz w:val="16"/>
                <w:szCs w:val="16"/>
                <w:color w:val="auto"/>
              </w:rPr>
            </w:pPr>
          </w:p>
        </w:tc>
        <w:tc>
          <w:tcPr>
            <w:tcW w:w="11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Carry</w:t>
            </w:r>
          </w:p>
        </w:tc>
        <w:tc>
          <w:tcPr>
            <w:tcW w:w="20" w:type="dxa"/>
            <w:vAlign w:val="bottom"/>
          </w:tcPr>
          <w:p>
            <w:pPr>
              <w:spacing w:after="0"/>
              <w:rPr>
                <w:sz w:val="16"/>
                <w:szCs w:val="16"/>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Paid in</w:t>
            </w: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8"/>
                <w:szCs w:val="8"/>
                <w:color w:val="auto"/>
              </w:rPr>
            </w:pPr>
          </w:p>
        </w:tc>
        <w:tc>
          <w:tcPr>
            <w:tcW w:w="7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Carry</w:t>
            </w:r>
          </w:p>
        </w:tc>
        <w:tc>
          <w:tcPr>
            <w:tcW w:w="20" w:type="dxa"/>
            <w:vAlign w:val="bottom"/>
          </w:tcPr>
          <w:p>
            <w:pPr>
              <w:spacing w:after="0"/>
              <w:rPr>
                <w:sz w:val="8"/>
                <w:szCs w:val="8"/>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Carry</w:t>
            </w:r>
          </w:p>
        </w:tc>
        <w:tc>
          <w:tcPr>
            <w:tcW w:w="20" w:type="dxa"/>
            <w:vAlign w:val="bottom"/>
          </w:tcPr>
          <w:p>
            <w:pPr>
              <w:spacing w:after="0"/>
              <w:rPr>
                <w:sz w:val="8"/>
                <w:szCs w:val="8"/>
                <w:color w:val="auto"/>
              </w:rPr>
            </w:pPr>
          </w:p>
        </w:tc>
        <w:tc>
          <w:tcPr>
            <w:tcW w:w="7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Connection</w:t>
            </w:r>
          </w:p>
        </w:tc>
        <w:tc>
          <w:tcPr>
            <w:tcW w:w="0" w:type="dxa"/>
            <w:vAlign w:val="bottom"/>
          </w:tcPr>
          <w:p>
            <w:pPr>
              <w:spacing w:after="0"/>
              <w:rPr>
                <w:sz w:val="1"/>
                <w:szCs w:val="1"/>
                <w:color w:val="auto"/>
              </w:rPr>
            </w:pPr>
          </w:p>
        </w:tc>
      </w:tr>
      <w:tr>
        <w:trPr>
          <w:trHeight w:val="165"/>
        </w:trPr>
        <w:tc>
          <w:tcPr>
            <w:tcW w:w="40" w:type="dxa"/>
            <w:vAlign w:val="bottom"/>
            <w:tcBorders>
              <w:left w:val="single" w:sz="8" w:color="auto"/>
            </w:tcBorders>
          </w:tcPr>
          <w:p>
            <w:pPr>
              <w:spacing w:after="0"/>
              <w:rPr>
                <w:sz w:val="14"/>
                <w:szCs w:val="14"/>
                <w:color w:val="auto"/>
              </w:rPr>
            </w:pPr>
          </w:p>
        </w:tc>
        <w:tc>
          <w:tcPr>
            <w:tcW w:w="7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4"/>
                <w:szCs w:val="14"/>
                <w:color w:val="auto"/>
              </w:rPr>
            </w:pPr>
          </w:p>
        </w:tc>
        <w:tc>
          <w:tcPr>
            <w:tcW w:w="740" w:type="dxa"/>
            <w:vAlign w:val="bottom"/>
            <w:shd w:val="clear" w:color="auto" w:fill="9ADAF6"/>
          </w:tcPr>
          <w:p>
            <w:pPr>
              <w:jc w:val="center"/>
              <w:spacing w:after="0" w:line="165" w:lineRule="exact"/>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4"/>
                <w:szCs w:val="14"/>
                <w:color w:val="auto"/>
              </w:rPr>
            </w:pPr>
          </w:p>
        </w:tc>
        <w:tc>
          <w:tcPr>
            <w:tcW w:w="920" w:type="dxa"/>
            <w:vAlign w:val="bottom"/>
            <w:gridSpan w:val="2"/>
            <w:shd w:val="clear" w:color="auto" w:fill="9ADAF6"/>
          </w:tcPr>
          <w:p>
            <w:pPr>
              <w:jc w:val="center"/>
              <w:spacing w:after="0" w:line="165" w:lineRule="exact"/>
              <w:rPr>
                <w:sz w:val="20"/>
                <w:szCs w:val="20"/>
                <w:color w:val="auto"/>
              </w:rPr>
            </w:pPr>
            <w:r>
              <w:rPr>
                <w:rFonts w:ascii="Arial" w:cs="Arial" w:eastAsia="Arial" w:hAnsi="Arial"/>
                <w:sz w:val="16"/>
                <w:szCs w:val="16"/>
                <w:b w:val="1"/>
                <w:bCs w:val="1"/>
                <w:color w:val="auto"/>
              </w:rPr>
              <w:t>Calculation</w:t>
            </w:r>
          </w:p>
        </w:tc>
        <w:tc>
          <w:tcPr>
            <w:tcW w:w="20" w:type="dxa"/>
            <w:vAlign w:val="bottom"/>
          </w:tcPr>
          <w:p>
            <w:pPr>
              <w:spacing w:after="0"/>
              <w:rPr>
                <w:sz w:val="14"/>
                <w:szCs w:val="14"/>
                <w:color w:val="auto"/>
              </w:rPr>
            </w:pPr>
          </w:p>
        </w:tc>
        <w:tc>
          <w:tcPr>
            <w:tcW w:w="880" w:type="dxa"/>
            <w:vAlign w:val="bottom"/>
            <w:vMerge w:val="restart"/>
            <w:shd w:val="clear" w:color="auto" w:fill="9ADAF6"/>
          </w:tcPr>
          <w:p>
            <w:pPr>
              <w:jc w:val="right"/>
              <w:ind w:right="58"/>
              <w:spacing w:after="0"/>
              <w:rPr>
                <w:sz w:val="20"/>
                <w:szCs w:val="20"/>
                <w:color w:val="auto"/>
              </w:rPr>
            </w:pPr>
            <w:r>
              <w:rPr>
                <w:rFonts w:ascii="Arial" w:cs="Arial" w:eastAsia="Arial" w:hAnsi="Arial"/>
                <w:sz w:val="16"/>
                <w:szCs w:val="16"/>
                <w:b w:val="1"/>
                <w:bCs w:val="1"/>
                <w:color w:val="auto"/>
              </w:rPr>
              <w:t>Amount</w:t>
            </w:r>
          </w:p>
        </w:tc>
        <w:tc>
          <w:tcPr>
            <w:tcW w:w="20" w:type="dxa"/>
            <w:vAlign w:val="bottom"/>
          </w:tcPr>
          <w:p>
            <w:pPr>
              <w:spacing w:after="0"/>
              <w:rPr>
                <w:sz w:val="14"/>
                <w:szCs w:val="14"/>
                <w:color w:val="auto"/>
              </w:rPr>
            </w:pPr>
          </w:p>
        </w:tc>
        <w:tc>
          <w:tcPr>
            <w:tcW w:w="780" w:type="dxa"/>
            <w:vAlign w:val="bottom"/>
            <w:shd w:val="clear" w:color="auto" w:fill="9ADAF6"/>
          </w:tcPr>
          <w:p>
            <w:pPr>
              <w:jc w:val="center"/>
              <w:spacing w:after="0" w:line="165" w:lineRule="exact"/>
              <w:rPr>
                <w:sz w:val="20"/>
                <w:szCs w:val="20"/>
                <w:color w:val="auto"/>
              </w:rPr>
            </w:pPr>
            <w:r>
              <w:rPr>
                <w:rFonts w:ascii="Arial" w:cs="Arial" w:eastAsia="Arial" w:hAnsi="Arial"/>
                <w:sz w:val="16"/>
                <w:szCs w:val="16"/>
                <w:b w:val="1"/>
                <w:bCs w:val="1"/>
                <w:color w:val="auto"/>
              </w:rPr>
              <w:t>Maximum</w:t>
            </w:r>
          </w:p>
        </w:tc>
        <w:tc>
          <w:tcPr>
            <w:tcW w:w="20" w:type="dxa"/>
            <w:vAlign w:val="bottom"/>
          </w:tcPr>
          <w:p>
            <w:pPr>
              <w:spacing w:after="0"/>
              <w:rPr>
                <w:sz w:val="14"/>
                <w:szCs w:val="14"/>
                <w:color w:val="auto"/>
              </w:rPr>
            </w:pPr>
          </w:p>
        </w:tc>
        <w:tc>
          <w:tcPr>
            <w:tcW w:w="1160" w:type="dxa"/>
            <w:vAlign w:val="bottom"/>
            <w:shd w:val="clear" w:color="auto" w:fill="9ADAF6"/>
          </w:tcPr>
          <w:p>
            <w:pPr>
              <w:jc w:val="center"/>
              <w:spacing w:after="0" w:line="165" w:lineRule="exact"/>
              <w:rPr>
                <w:sz w:val="20"/>
                <w:szCs w:val="20"/>
                <w:color w:val="auto"/>
              </w:rPr>
            </w:pPr>
            <w:r>
              <w:rPr>
                <w:rFonts w:ascii="Arial" w:cs="Arial" w:eastAsia="Arial" w:hAnsi="Arial"/>
                <w:sz w:val="16"/>
                <w:szCs w:val="16"/>
                <w:b w:val="1"/>
                <w:bCs w:val="1"/>
                <w:color w:val="auto"/>
              </w:rPr>
              <w:t>Maximum</w:t>
            </w:r>
          </w:p>
        </w:tc>
        <w:tc>
          <w:tcPr>
            <w:tcW w:w="20" w:type="dxa"/>
            <w:vAlign w:val="bottom"/>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shd w:val="clear" w:color="auto" w:fill="9ADAF6"/>
          </w:tcPr>
          <w:p>
            <w:pPr>
              <w:jc w:val="center"/>
              <w:spacing w:after="0" w:line="165" w:lineRule="exact"/>
              <w:rPr>
                <w:sz w:val="20"/>
                <w:szCs w:val="20"/>
                <w:color w:val="auto"/>
              </w:rPr>
            </w:pPr>
            <w:r>
              <w:rPr>
                <w:rFonts w:ascii="Arial" w:cs="Arial" w:eastAsia="Arial" w:hAnsi="Arial"/>
                <w:sz w:val="16"/>
                <w:szCs w:val="16"/>
                <w:b w:val="1"/>
                <w:bCs w:val="1"/>
                <w:color w:val="auto"/>
              </w:rPr>
              <w:t>Amount of</w:t>
            </w:r>
          </w:p>
        </w:tc>
        <w:tc>
          <w:tcPr>
            <w:tcW w:w="20" w:type="dxa"/>
            <w:vAlign w:val="bottom"/>
          </w:tcPr>
          <w:p>
            <w:pPr>
              <w:spacing w:after="0"/>
              <w:rPr>
                <w:sz w:val="14"/>
                <w:szCs w:val="14"/>
                <w:color w:val="auto"/>
              </w:rPr>
            </w:pPr>
          </w:p>
        </w:tc>
        <w:tc>
          <w:tcPr>
            <w:tcW w:w="6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9ADAF6"/>
          </w:tcPr>
          <w:p>
            <w:pPr>
              <w:jc w:val="center"/>
              <w:spacing w:after="0" w:line="165" w:lineRule="exact"/>
              <w:rPr>
                <w:sz w:val="20"/>
                <w:szCs w:val="20"/>
                <w:color w:val="auto"/>
              </w:rPr>
            </w:pPr>
            <w:r>
              <w:rPr>
                <w:rFonts w:ascii="Arial" w:cs="Arial" w:eastAsia="Arial" w:hAnsi="Arial"/>
                <w:sz w:val="16"/>
                <w:szCs w:val="16"/>
                <w:b w:val="1"/>
                <w:bCs w:val="1"/>
                <w:color w:val="auto"/>
              </w:rPr>
              <w:t>Forward</w:t>
            </w:r>
          </w:p>
        </w:tc>
        <w:tc>
          <w:tcPr>
            <w:tcW w:w="20" w:type="dxa"/>
            <w:vAlign w:val="bottom"/>
          </w:tcPr>
          <w:p>
            <w:pPr>
              <w:spacing w:after="0"/>
              <w:rPr>
                <w:sz w:val="14"/>
                <w:szCs w:val="14"/>
                <w:color w:val="auto"/>
              </w:rPr>
            </w:pPr>
          </w:p>
        </w:tc>
        <w:tc>
          <w:tcPr>
            <w:tcW w:w="940" w:type="dxa"/>
            <w:vAlign w:val="bottom"/>
            <w:tcBorders>
              <w:right w:val="single" w:sz="8" w:color="auto"/>
            </w:tcBorders>
            <w:vMerge w:val="continue"/>
            <w:shd w:val="clear" w:color="auto" w:fill="9ADAF6"/>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40" w:type="dxa"/>
            <w:vAlign w:val="bottom"/>
            <w:tcBorders>
              <w:left w:val="single" w:sz="8" w:color="auto"/>
            </w:tcBorders>
          </w:tcPr>
          <w:p>
            <w:pPr>
              <w:spacing w:after="0"/>
              <w:rPr>
                <w:sz w:val="9"/>
                <w:szCs w:val="9"/>
                <w:color w:val="auto"/>
              </w:rPr>
            </w:pPr>
          </w:p>
        </w:tc>
        <w:tc>
          <w:tcPr>
            <w:tcW w:w="7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Class</w:t>
            </w:r>
          </w:p>
        </w:tc>
        <w:tc>
          <w:tcPr>
            <w:tcW w:w="20" w:type="dxa"/>
            <w:vAlign w:val="bottom"/>
          </w:tcPr>
          <w:p>
            <w:pPr>
              <w:spacing w:after="0"/>
              <w:rPr>
                <w:sz w:val="9"/>
                <w:szCs w:val="9"/>
                <w:color w:val="auto"/>
              </w:rPr>
            </w:pPr>
          </w:p>
        </w:tc>
        <w:tc>
          <w:tcPr>
            <w:tcW w:w="800" w:type="dxa"/>
            <w:vAlign w:val="bottom"/>
            <w:vMerge w:val="restart"/>
            <w:shd w:val="clear" w:color="auto" w:fill="9ADAF6"/>
          </w:tcPr>
          <w:p>
            <w:pPr>
              <w:jc w:val="center"/>
              <w:ind w:left="38"/>
              <w:spacing w:after="0"/>
              <w:rPr>
                <w:sz w:val="20"/>
                <w:szCs w:val="20"/>
                <w:color w:val="auto"/>
              </w:rPr>
            </w:pPr>
            <w:r>
              <w:rPr>
                <w:rFonts w:ascii="Arial" w:cs="Arial" w:eastAsia="Arial" w:hAnsi="Arial"/>
                <w:sz w:val="16"/>
                <w:szCs w:val="16"/>
                <w:b w:val="1"/>
                <w:bCs w:val="1"/>
                <w:color w:val="auto"/>
              </w:rPr>
              <w:t>or Carry</w:t>
            </w:r>
          </w:p>
        </w:tc>
        <w:tc>
          <w:tcPr>
            <w:tcW w:w="1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Offering</w:t>
            </w:r>
          </w:p>
        </w:tc>
        <w:tc>
          <w:tcPr>
            <w:tcW w:w="20" w:type="dxa"/>
            <w:vAlign w:val="bottom"/>
          </w:tcPr>
          <w:p>
            <w:pPr>
              <w:spacing w:after="0"/>
              <w:rPr>
                <w:sz w:val="9"/>
                <w:szCs w:val="9"/>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Aggregate</w:t>
            </w:r>
          </w:p>
        </w:tc>
        <w:tc>
          <w:tcPr>
            <w:tcW w:w="20" w:type="dxa"/>
            <w:vAlign w:val="bottom"/>
          </w:tcPr>
          <w:p>
            <w:pPr>
              <w:spacing w:after="0"/>
              <w:rPr>
                <w:sz w:val="9"/>
                <w:szCs w:val="9"/>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Fee Rate</w:t>
            </w:r>
          </w:p>
        </w:tc>
        <w:tc>
          <w:tcPr>
            <w:tcW w:w="20" w:type="dxa"/>
            <w:vAlign w:val="bottom"/>
          </w:tcPr>
          <w:p>
            <w:pPr>
              <w:spacing w:after="0"/>
              <w:rPr>
                <w:sz w:val="9"/>
                <w:szCs w:val="9"/>
                <w:color w:val="auto"/>
              </w:rPr>
            </w:pPr>
          </w:p>
        </w:tc>
        <w:tc>
          <w:tcPr>
            <w:tcW w:w="10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Registration</w:t>
            </w:r>
          </w:p>
        </w:tc>
        <w:tc>
          <w:tcPr>
            <w:tcW w:w="20" w:type="dxa"/>
            <w:vAlign w:val="bottom"/>
          </w:tcPr>
          <w:p>
            <w:pPr>
              <w:spacing w:after="0"/>
              <w:rPr>
                <w:sz w:val="9"/>
                <w:szCs w:val="9"/>
                <w:color w:val="auto"/>
              </w:rPr>
            </w:pPr>
          </w:p>
        </w:tc>
        <w:tc>
          <w:tcPr>
            <w:tcW w:w="660" w:type="dxa"/>
            <w:vAlign w:val="bottom"/>
            <w:shd w:val="clear" w:color="auto" w:fill="9ADAF6"/>
          </w:tcPr>
          <w:p>
            <w:pPr>
              <w:jc w:val="center"/>
              <w:spacing w:after="0" w:line="113" w:lineRule="exact"/>
              <w:rPr>
                <w:sz w:val="20"/>
                <w:szCs w:val="20"/>
                <w:color w:val="auto"/>
              </w:rPr>
            </w:pPr>
            <w:r>
              <w:rPr>
                <w:rFonts w:ascii="Arial" w:cs="Arial" w:eastAsia="Arial" w:hAnsi="Arial"/>
                <w:sz w:val="13"/>
                <w:szCs w:val="13"/>
                <w:b w:val="1"/>
                <w:bCs w:val="1"/>
                <w:color w:val="auto"/>
              </w:rPr>
              <w:t>Forward</w:t>
            </w:r>
          </w:p>
        </w:tc>
        <w:tc>
          <w:tcPr>
            <w:tcW w:w="20" w:type="dxa"/>
            <w:vAlign w:val="bottom"/>
          </w:tcPr>
          <w:p>
            <w:pPr>
              <w:spacing w:after="0"/>
              <w:rPr>
                <w:sz w:val="9"/>
                <w:szCs w:val="9"/>
                <w:color w:val="auto"/>
              </w:rPr>
            </w:pPr>
          </w:p>
        </w:tc>
        <w:tc>
          <w:tcPr>
            <w:tcW w:w="680" w:type="dxa"/>
            <w:vAlign w:val="bottom"/>
            <w:shd w:val="clear" w:color="auto" w:fill="9ADAF6"/>
          </w:tcPr>
          <w:p>
            <w:pPr>
              <w:jc w:val="center"/>
              <w:spacing w:after="0" w:line="113" w:lineRule="exact"/>
              <w:rPr>
                <w:sz w:val="20"/>
                <w:szCs w:val="20"/>
                <w:color w:val="auto"/>
              </w:rPr>
            </w:pPr>
            <w:r>
              <w:rPr>
                <w:rFonts w:ascii="Arial" w:cs="Arial" w:eastAsia="Arial" w:hAnsi="Arial"/>
                <w:sz w:val="13"/>
                <w:szCs w:val="13"/>
                <w:b w:val="1"/>
                <w:bCs w:val="1"/>
                <w:color w:val="auto"/>
              </w:rPr>
              <w:t>Forward</w:t>
            </w:r>
          </w:p>
        </w:tc>
        <w:tc>
          <w:tcPr>
            <w:tcW w:w="20" w:type="dxa"/>
            <w:vAlign w:val="bottom"/>
          </w:tcPr>
          <w:p>
            <w:pPr>
              <w:spacing w:after="0"/>
              <w:rPr>
                <w:sz w:val="9"/>
                <w:szCs w:val="9"/>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Initial</w:t>
            </w:r>
          </w:p>
        </w:tc>
        <w:tc>
          <w:tcPr>
            <w:tcW w:w="20" w:type="dxa"/>
            <w:vAlign w:val="bottom"/>
          </w:tcPr>
          <w:p>
            <w:pPr>
              <w:spacing w:after="0"/>
              <w:rPr>
                <w:sz w:val="9"/>
                <w:szCs w:val="9"/>
                <w:color w:val="auto"/>
              </w:rPr>
            </w:pPr>
          </w:p>
        </w:tc>
        <w:tc>
          <w:tcPr>
            <w:tcW w:w="940" w:type="dxa"/>
            <w:vAlign w:val="bottom"/>
            <w:tcBorders>
              <w:right w:val="single" w:sz="8" w:color="auto"/>
            </w:tcBorders>
            <w:shd w:val="clear" w:color="auto" w:fill="9ADAF6"/>
          </w:tcPr>
          <w:p>
            <w:pPr>
              <w:jc w:val="center"/>
              <w:spacing w:after="0" w:line="113" w:lineRule="exact"/>
              <w:rPr>
                <w:sz w:val="20"/>
                <w:szCs w:val="20"/>
                <w:color w:val="auto"/>
              </w:rPr>
            </w:pPr>
            <w:r>
              <w:rPr>
                <w:rFonts w:ascii="Arial" w:cs="Arial" w:eastAsia="Arial" w:hAnsi="Arial"/>
                <w:sz w:val="13"/>
                <w:szCs w:val="13"/>
                <w:b w:val="1"/>
                <w:bCs w:val="1"/>
                <w:color w:val="auto"/>
              </w:rPr>
              <w:t>with</w:t>
            </w:r>
          </w:p>
        </w:tc>
        <w:tc>
          <w:tcPr>
            <w:tcW w:w="0" w:type="dxa"/>
            <w:vAlign w:val="bottom"/>
          </w:tcPr>
          <w:p>
            <w:pPr>
              <w:spacing w:after="0"/>
              <w:rPr>
                <w:sz w:val="1"/>
                <w:szCs w:val="1"/>
                <w:color w:val="auto"/>
              </w:rPr>
            </w:pPr>
          </w:p>
        </w:tc>
      </w:tr>
      <w:tr>
        <w:trPr>
          <w:trHeight w:val="165"/>
        </w:trPr>
        <w:tc>
          <w:tcPr>
            <w:tcW w:w="40" w:type="dxa"/>
            <w:vAlign w:val="bottom"/>
            <w:tcBorders>
              <w:left w:val="single" w:sz="8" w:color="auto"/>
            </w:tcBorders>
          </w:tcPr>
          <w:p>
            <w:pPr>
              <w:spacing w:after="0"/>
              <w:rPr>
                <w:sz w:val="14"/>
                <w:szCs w:val="14"/>
                <w:color w:val="auto"/>
              </w:rPr>
            </w:pPr>
          </w:p>
        </w:tc>
        <w:tc>
          <w:tcPr>
            <w:tcW w:w="7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9ADAF6"/>
          </w:tcPr>
          <w:p>
            <w:pPr>
              <w:jc w:val="center"/>
              <w:spacing w:after="0" w:line="165" w:lineRule="exact"/>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14"/>
                <w:szCs w:val="14"/>
                <w:color w:val="auto"/>
              </w:rPr>
            </w:pPr>
          </w:p>
        </w:tc>
        <w:tc>
          <w:tcPr>
            <w:tcW w:w="7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9ADAF6"/>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9ADAF6"/>
          </w:tcPr>
          <w:p>
            <w:pPr>
              <w:jc w:val="right"/>
              <w:spacing w:after="0" w:line="165" w:lineRule="exact"/>
              <w:rPr>
                <w:sz w:val="20"/>
                <w:szCs w:val="20"/>
                <w:color w:val="auto"/>
              </w:rPr>
            </w:pPr>
            <w:r>
              <w:rPr>
                <w:rFonts w:ascii="Arial" w:cs="Arial" w:eastAsia="Arial" w:hAnsi="Arial"/>
                <w:sz w:val="16"/>
                <w:szCs w:val="16"/>
                <w:b w:val="1"/>
                <w:bCs w:val="1"/>
                <w:color w:val="auto"/>
              </w:rPr>
              <w:t>Registered</w:t>
            </w:r>
          </w:p>
        </w:tc>
        <w:tc>
          <w:tcPr>
            <w:tcW w:w="20" w:type="dxa"/>
            <w:vAlign w:val="bottom"/>
          </w:tcPr>
          <w:p>
            <w:pPr>
              <w:spacing w:after="0"/>
              <w:rPr>
                <w:sz w:val="14"/>
                <w:szCs w:val="14"/>
                <w:color w:val="auto"/>
              </w:rPr>
            </w:pPr>
          </w:p>
        </w:tc>
        <w:tc>
          <w:tcPr>
            <w:tcW w:w="7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9ADAF6"/>
          </w:tcPr>
          <w:p>
            <w:pPr>
              <w:jc w:val="center"/>
              <w:spacing w:after="0" w:line="165" w:lineRule="exact"/>
              <w:rPr>
                <w:sz w:val="20"/>
                <w:szCs w:val="20"/>
                <w:color w:val="auto"/>
              </w:rPr>
            </w:pPr>
            <w:r>
              <w:rPr>
                <w:rFonts w:ascii="Arial" w:cs="Arial" w:eastAsia="Arial" w:hAnsi="Arial"/>
                <w:sz w:val="16"/>
                <w:szCs w:val="16"/>
                <w:b w:val="1"/>
                <w:bCs w:val="1"/>
                <w:color w:val="auto"/>
              </w:rPr>
              <w:t>Form</w:t>
            </w: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5" w:lineRule="exact"/>
              <w:rPr>
                <w:sz w:val="20"/>
                <w:szCs w:val="20"/>
                <w:color w:val="auto"/>
              </w:rPr>
            </w:pPr>
            <w:r>
              <w:rPr>
                <w:rFonts w:ascii="Arial" w:cs="Arial" w:eastAsia="Arial" w:hAnsi="Arial"/>
                <w:sz w:val="16"/>
                <w:szCs w:val="16"/>
                <w:b w:val="1"/>
                <w:bCs w:val="1"/>
                <w:color w:val="auto"/>
              </w:rPr>
              <w:t>File</w:t>
            </w:r>
          </w:p>
        </w:tc>
        <w:tc>
          <w:tcPr>
            <w:tcW w:w="20" w:type="dxa"/>
            <w:vAlign w:val="bottom"/>
          </w:tcPr>
          <w:p>
            <w:pPr>
              <w:spacing w:after="0"/>
              <w:rPr>
                <w:sz w:val="14"/>
                <w:szCs w:val="14"/>
                <w:color w:val="auto"/>
              </w:rPr>
            </w:pPr>
          </w:p>
        </w:tc>
        <w:tc>
          <w:tcPr>
            <w:tcW w:w="7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right w:val="single" w:sz="8" w:color="auto"/>
            </w:tcBorders>
            <w:shd w:val="clear" w:color="auto" w:fill="9ADAF6"/>
          </w:tcPr>
          <w:p>
            <w:pPr>
              <w:jc w:val="center"/>
              <w:spacing w:after="0" w:line="165" w:lineRule="exact"/>
              <w:rPr>
                <w:sz w:val="20"/>
                <w:szCs w:val="20"/>
                <w:color w:val="auto"/>
              </w:rPr>
            </w:pPr>
            <w:r>
              <w:rPr>
                <w:rFonts w:ascii="Arial" w:cs="Arial" w:eastAsia="Arial" w:hAnsi="Arial"/>
                <w:sz w:val="16"/>
                <w:szCs w:val="16"/>
                <w:b w:val="1"/>
                <w:bCs w:val="1"/>
                <w:color w:val="auto"/>
              </w:rPr>
              <w:t>Unsold</w:t>
            </w: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Title</w:t>
            </w:r>
          </w:p>
        </w:tc>
        <w:tc>
          <w:tcPr>
            <w:tcW w:w="20" w:type="dxa"/>
            <w:vAlign w:val="bottom"/>
          </w:tcPr>
          <w:p>
            <w:pPr>
              <w:spacing w:after="0"/>
              <w:rPr>
                <w:sz w:val="16"/>
                <w:szCs w:val="16"/>
                <w:color w:val="auto"/>
              </w:rPr>
            </w:pPr>
          </w:p>
        </w:tc>
        <w:tc>
          <w:tcPr>
            <w:tcW w:w="800" w:type="dxa"/>
            <w:vAlign w:val="bottom"/>
            <w:shd w:val="clear" w:color="auto" w:fill="9ADAF6"/>
          </w:tcPr>
          <w:p>
            <w:pPr>
              <w:jc w:val="center"/>
              <w:ind w:left="38"/>
              <w:spacing w:after="0"/>
              <w:rPr>
                <w:sz w:val="20"/>
                <w:szCs w:val="20"/>
                <w:color w:val="auto"/>
              </w:rPr>
            </w:pPr>
            <w:r>
              <w:rPr>
                <w:rFonts w:ascii="Arial" w:cs="Arial" w:eastAsia="Arial" w:hAnsi="Arial"/>
                <w:sz w:val="16"/>
                <w:szCs w:val="16"/>
                <w:b w:val="1"/>
                <w:bCs w:val="1"/>
                <w:color w:val="auto"/>
              </w:rPr>
              <w:t>Forward</w:t>
            </w: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Price Per</w:t>
            </w:r>
          </w:p>
        </w:tc>
        <w:tc>
          <w:tcPr>
            <w:tcW w:w="20" w:type="dxa"/>
            <w:vAlign w:val="bottom"/>
          </w:tcPr>
          <w:p>
            <w:pPr>
              <w:spacing w:after="0"/>
              <w:rPr>
                <w:sz w:val="16"/>
                <w:szCs w:val="16"/>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Offering Price</w:t>
            </w: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Number</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Effective</w:t>
            </w:r>
          </w:p>
        </w:tc>
        <w:tc>
          <w:tcPr>
            <w:tcW w:w="20" w:type="dxa"/>
            <w:vAlign w:val="bottom"/>
          </w:tcPr>
          <w:p>
            <w:pPr>
              <w:spacing w:after="0"/>
              <w:rPr>
                <w:sz w:val="16"/>
                <w:szCs w:val="16"/>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Securities</w:t>
            </w: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ind w:left="38"/>
              <w:spacing w:after="0"/>
              <w:rPr>
                <w:sz w:val="20"/>
                <w:szCs w:val="20"/>
                <w:color w:val="auto"/>
              </w:rPr>
            </w:pPr>
            <w:r>
              <w:rPr>
                <w:rFonts w:ascii="Arial" w:cs="Arial" w:eastAsia="Arial" w:hAnsi="Arial"/>
                <w:sz w:val="16"/>
                <w:szCs w:val="16"/>
                <w:b w:val="1"/>
                <w:bCs w:val="1"/>
                <w:color w:val="auto"/>
              </w:rPr>
              <w:t>Rule</w:t>
            </w: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Unit</w:t>
            </w:r>
          </w:p>
        </w:tc>
        <w:tc>
          <w:tcPr>
            <w:tcW w:w="20" w:type="dxa"/>
            <w:vAlign w:val="bottom"/>
          </w:tcPr>
          <w:p>
            <w:pPr>
              <w:spacing w:after="0"/>
              <w:rPr>
                <w:sz w:val="16"/>
                <w:szCs w:val="16"/>
                <w:color w:val="auto"/>
              </w:rPr>
            </w:pPr>
          </w:p>
        </w:tc>
        <w:tc>
          <w:tcPr>
            <w:tcW w:w="11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Date</w:t>
            </w:r>
          </w:p>
        </w:tc>
        <w:tc>
          <w:tcPr>
            <w:tcW w:w="20" w:type="dxa"/>
            <w:vAlign w:val="bottom"/>
          </w:tcPr>
          <w:p>
            <w:pPr>
              <w:spacing w:after="0"/>
              <w:rPr>
                <w:sz w:val="16"/>
                <w:szCs w:val="16"/>
                <w:color w:val="auto"/>
              </w:rPr>
            </w:pPr>
          </w:p>
        </w:tc>
        <w:tc>
          <w:tcPr>
            <w:tcW w:w="94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to be</w:t>
            </w: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7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1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vMerge w:val="continue"/>
            <w:shd w:val="clear" w:color="auto" w:fill="9ADA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Carried</w:t>
            </w:r>
          </w:p>
        </w:tc>
        <w:tc>
          <w:tcPr>
            <w:tcW w:w="0" w:type="dxa"/>
            <w:vAlign w:val="bottom"/>
          </w:tcPr>
          <w:p>
            <w:pPr>
              <w:spacing w:after="0"/>
              <w:rPr>
                <w:sz w:val="1"/>
                <w:szCs w:val="1"/>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7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9ADAF6"/>
          </w:tcPr>
          <w:p>
            <w:pPr>
              <w:spacing w:after="0"/>
              <w:rPr>
                <w:sz w:val="18"/>
                <w:szCs w:val="18"/>
                <w:color w:val="auto"/>
              </w:rPr>
            </w:pPr>
          </w:p>
        </w:tc>
        <w:tc>
          <w:tcPr>
            <w:tcW w:w="1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Forward</w:t>
            </w: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80" w:type="dxa"/>
            <w:vAlign w:val="bottom"/>
            <w:gridSpan w:val="5"/>
          </w:tcPr>
          <w:p>
            <w:pPr>
              <w:jc w:val="center"/>
              <w:ind w:right="298"/>
              <w:spacing w:after="0"/>
              <w:rPr>
                <w:sz w:val="20"/>
                <w:szCs w:val="20"/>
                <w:color w:val="auto"/>
              </w:rPr>
            </w:pPr>
            <w:r>
              <w:rPr>
                <w:rFonts w:ascii="Arial" w:cs="Arial" w:eastAsia="Arial" w:hAnsi="Arial"/>
                <w:sz w:val="16"/>
                <w:szCs w:val="16"/>
                <w:b w:val="1"/>
                <w:bCs w:val="1"/>
                <w:color w:val="auto"/>
              </w:rPr>
              <w:t>Newly Registered Securities</w:t>
            </w: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Equity</w:t>
            </w:r>
          </w:p>
        </w:tc>
        <w:tc>
          <w:tcPr>
            <w:tcW w:w="20" w:type="dxa"/>
            <w:vAlign w:val="bottom"/>
          </w:tcPr>
          <w:p>
            <w:pPr>
              <w:spacing w:after="0"/>
              <w:rPr>
                <w:sz w:val="15"/>
                <w:szCs w:val="15"/>
                <w:color w:val="auto"/>
              </w:rPr>
            </w:pPr>
          </w:p>
        </w:tc>
        <w:tc>
          <w:tcPr>
            <w:tcW w:w="740" w:type="dxa"/>
            <w:vAlign w:val="bottom"/>
            <w:shd w:val="clear" w:color="auto" w:fill="E7E7E2"/>
          </w:tcPr>
          <w:p>
            <w:pPr>
              <w:spacing w:after="0" w:line="180" w:lineRule="exact"/>
              <w:rPr>
                <w:sz w:val="20"/>
                <w:szCs w:val="20"/>
                <w:color w:val="auto"/>
              </w:rPr>
            </w:pPr>
            <w:r>
              <w:rPr>
                <w:rFonts w:ascii="Arial" w:cs="Arial" w:eastAsia="Arial" w:hAnsi="Arial"/>
                <w:sz w:val="16"/>
                <w:szCs w:val="16"/>
                <w:color w:val="auto"/>
              </w:rPr>
              <w:t>Common</w:t>
            </w:r>
          </w:p>
        </w:tc>
        <w:tc>
          <w:tcPr>
            <w:tcW w:w="20" w:type="dxa"/>
            <w:vAlign w:val="bottom"/>
          </w:tcPr>
          <w:p>
            <w:pPr>
              <w:spacing w:after="0"/>
              <w:rPr>
                <w:sz w:val="15"/>
                <w:szCs w:val="15"/>
                <w:color w:val="auto"/>
              </w:rPr>
            </w:pPr>
          </w:p>
        </w:tc>
        <w:tc>
          <w:tcPr>
            <w:tcW w:w="800" w:type="dxa"/>
            <w:vAlign w:val="bottom"/>
            <w:vMerge w:val="restart"/>
            <w:shd w:val="clear" w:color="auto" w:fill="E7E7E2"/>
          </w:tcPr>
          <w:p>
            <w:pPr>
              <w:jc w:val="center"/>
              <w:ind w:left="38"/>
              <w:spacing w:after="0"/>
              <w:rPr>
                <w:sz w:val="20"/>
                <w:szCs w:val="20"/>
                <w:color w:val="auto"/>
              </w:rPr>
            </w:pPr>
            <w:r>
              <w:rPr>
                <w:rFonts w:ascii="Arial" w:cs="Arial" w:eastAsia="Arial" w:hAnsi="Arial"/>
                <w:sz w:val="16"/>
                <w:szCs w:val="16"/>
                <w:color w:val="auto"/>
              </w:rPr>
              <w:t>457(o)</w:t>
            </w: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40" w:type="dxa"/>
            <w:vAlign w:val="bottom"/>
            <w:tcBorders>
              <w:left w:val="single" w:sz="8" w:color="auto"/>
            </w:tcBorders>
          </w:tcPr>
          <w:p>
            <w:pPr>
              <w:spacing w:after="0"/>
              <w:rPr>
                <w:sz w:val="10"/>
                <w:szCs w:val="10"/>
                <w:color w:val="auto"/>
              </w:rPr>
            </w:pPr>
          </w:p>
        </w:tc>
        <w:tc>
          <w:tcPr>
            <w:tcW w:w="7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Shares</w:t>
            </w:r>
          </w:p>
        </w:tc>
        <w:tc>
          <w:tcPr>
            <w:tcW w:w="20" w:type="dxa"/>
            <w:vAlign w:val="bottom"/>
          </w:tcPr>
          <w:p>
            <w:pPr>
              <w:spacing w:after="0"/>
              <w:rPr>
                <w:sz w:val="10"/>
                <w:szCs w:val="10"/>
                <w:color w:val="auto"/>
              </w:rPr>
            </w:pPr>
          </w:p>
        </w:tc>
        <w:tc>
          <w:tcPr>
            <w:tcW w:w="800" w:type="dxa"/>
            <w:vAlign w:val="bottom"/>
            <w:vMerge w:val="continue"/>
            <w:shd w:val="clear" w:color="auto" w:fill="E7E7E2"/>
          </w:tcPr>
          <w:p>
            <w:pPr>
              <w:spacing w:after="0"/>
              <w:rPr>
                <w:sz w:val="10"/>
                <w:szCs w:val="10"/>
                <w:color w:val="auto"/>
              </w:rPr>
            </w:pPr>
          </w:p>
        </w:tc>
        <w:tc>
          <w:tcPr>
            <w:tcW w:w="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shd w:val="clear" w:color="auto" w:fill="E7E7E2"/>
          </w:tcPr>
          <w:p>
            <w:pPr>
              <w:spacing w:after="0"/>
              <w:rPr>
                <w:sz w:val="7"/>
                <w:szCs w:val="7"/>
                <w:color w:val="auto"/>
              </w:rPr>
            </w:pPr>
          </w:p>
        </w:tc>
        <w:tc>
          <w:tcPr>
            <w:tcW w:w="1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0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Borders>
              <w:right w:val="single" w:sz="8" w:color="auto"/>
            </w:tcBorders>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Equity</w:t>
            </w:r>
          </w:p>
        </w:tc>
        <w:tc>
          <w:tcPr>
            <w:tcW w:w="20" w:type="dxa"/>
            <w:vAlign w:val="bottom"/>
          </w:tcPr>
          <w:p>
            <w:pPr>
              <w:spacing w:after="0"/>
              <w:rPr>
                <w:sz w:val="15"/>
                <w:szCs w:val="15"/>
                <w:color w:val="auto"/>
              </w:rPr>
            </w:pPr>
          </w:p>
        </w:tc>
        <w:tc>
          <w:tcPr>
            <w:tcW w:w="740" w:type="dxa"/>
            <w:vAlign w:val="bottom"/>
            <w:shd w:val="clear" w:color="auto" w:fill="E7E7E2"/>
          </w:tcPr>
          <w:p>
            <w:pPr>
              <w:spacing w:after="0" w:line="174" w:lineRule="exact"/>
              <w:rPr>
                <w:sz w:val="20"/>
                <w:szCs w:val="20"/>
                <w:color w:val="auto"/>
              </w:rPr>
            </w:pPr>
            <w:r>
              <w:rPr>
                <w:rFonts w:ascii="Arial" w:cs="Arial" w:eastAsia="Arial" w:hAnsi="Arial"/>
                <w:sz w:val="16"/>
                <w:szCs w:val="16"/>
                <w:color w:val="auto"/>
              </w:rPr>
              <w:t>Preferred</w:t>
            </w:r>
          </w:p>
        </w:tc>
        <w:tc>
          <w:tcPr>
            <w:tcW w:w="20" w:type="dxa"/>
            <w:vAlign w:val="bottom"/>
          </w:tcPr>
          <w:p>
            <w:pPr>
              <w:spacing w:after="0"/>
              <w:rPr>
                <w:sz w:val="15"/>
                <w:szCs w:val="15"/>
                <w:color w:val="auto"/>
              </w:rPr>
            </w:pPr>
          </w:p>
        </w:tc>
        <w:tc>
          <w:tcPr>
            <w:tcW w:w="800" w:type="dxa"/>
            <w:vAlign w:val="bottom"/>
            <w:vMerge w:val="restart"/>
            <w:shd w:val="clear" w:color="auto" w:fill="E7E7E2"/>
          </w:tcPr>
          <w:p>
            <w:pPr>
              <w:jc w:val="center"/>
              <w:ind w:left="38"/>
              <w:spacing w:after="0"/>
              <w:rPr>
                <w:sz w:val="20"/>
                <w:szCs w:val="20"/>
                <w:color w:val="auto"/>
              </w:rPr>
            </w:pPr>
            <w:r>
              <w:rPr>
                <w:rFonts w:ascii="Arial" w:cs="Arial" w:eastAsia="Arial" w:hAnsi="Arial"/>
                <w:sz w:val="16"/>
                <w:szCs w:val="16"/>
                <w:color w:val="auto"/>
              </w:rPr>
              <w:t>457(o)</w:t>
            </w: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40" w:type="dxa"/>
            <w:vAlign w:val="bottom"/>
            <w:tcBorders>
              <w:left w:val="single" w:sz="8" w:color="auto"/>
            </w:tcBorders>
          </w:tcPr>
          <w:p>
            <w:pPr>
              <w:spacing w:after="0"/>
              <w:rPr>
                <w:sz w:val="10"/>
                <w:szCs w:val="10"/>
                <w:color w:val="auto"/>
              </w:rPr>
            </w:pPr>
          </w:p>
        </w:tc>
        <w:tc>
          <w:tcPr>
            <w:tcW w:w="7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Shares</w:t>
            </w:r>
          </w:p>
        </w:tc>
        <w:tc>
          <w:tcPr>
            <w:tcW w:w="20" w:type="dxa"/>
            <w:vAlign w:val="bottom"/>
          </w:tcPr>
          <w:p>
            <w:pPr>
              <w:spacing w:after="0"/>
              <w:rPr>
                <w:sz w:val="10"/>
                <w:szCs w:val="10"/>
                <w:color w:val="auto"/>
              </w:rPr>
            </w:pPr>
          </w:p>
        </w:tc>
        <w:tc>
          <w:tcPr>
            <w:tcW w:w="800" w:type="dxa"/>
            <w:vAlign w:val="bottom"/>
            <w:vMerge w:val="continue"/>
            <w:shd w:val="clear" w:color="auto" w:fill="E7E7E2"/>
          </w:tcPr>
          <w:p>
            <w:pPr>
              <w:spacing w:after="0"/>
              <w:rPr>
                <w:sz w:val="10"/>
                <w:szCs w:val="10"/>
                <w:color w:val="auto"/>
              </w:rPr>
            </w:pPr>
          </w:p>
        </w:tc>
        <w:tc>
          <w:tcPr>
            <w:tcW w:w="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shd w:val="clear" w:color="auto" w:fill="E7E7E2"/>
          </w:tcPr>
          <w:p>
            <w:pPr>
              <w:spacing w:after="0"/>
              <w:rPr>
                <w:sz w:val="7"/>
                <w:szCs w:val="7"/>
                <w:color w:val="auto"/>
              </w:rPr>
            </w:pPr>
          </w:p>
        </w:tc>
        <w:tc>
          <w:tcPr>
            <w:tcW w:w="1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0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Borders>
              <w:right w:val="single" w:sz="8" w:color="auto"/>
            </w:tcBorders>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vMerge w:val="restart"/>
            <w:shd w:val="clear" w:color="auto" w:fill="E7E7E2"/>
          </w:tcPr>
          <w:p>
            <w:pPr>
              <w:ind w:left="220"/>
              <w:spacing w:after="0"/>
              <w:rPr>
                <w:sz w:val="20"/>
                <w:szCs w:val="20"/>
                <w:color w:val="auto"/>
              </w:rPr>
            </w:pPr>
            <w:r>
              <w:rPr>
                <w:rFonts w:ascii="Arial" w:cs="Arial" w:eastAsia="Arial" w:hAnsi="Arial"/>
                <w:sz w:val="16"/>
                <w:szCs w:val="16"/>
                <w:color w:val="auto"/>
              </w:rPr>
              <w:t>Debt</w:t>
            </w:r>
          </w:p>
        </w:tc>
        <w:tc>
          <w:tcPr>
            <w:tcW w:w="20" w:type="dxa"/>
            <w:vAlign w:val="bottom"/>
          </w:tcPr>
          <w:p>
            <w:pPr>
              <w:spacing w:after="0"/>
              <w:rPr>
                <w:sz w:val="15"/>
                <w:szCs w:val="15"/>
                <w:color w:val="auto"/>
              </w:rPr>
            </w:pPr>
          </w:p>
        </w:tc>
        <w:tc>
          <w:tcPr>
            <w:tcW w:w="740" w:type="dxa"/>
            <w:vAlign w:val="bottom"/>
            <w:shd w:val="clear" w:color="auto" w:fill="E7E7E2"/>
          </w:tcPr>
          <w:p>
            <w:pPr>
              <w:spacing w:after="0" w:line="174" w:lineRule="exact"/>
              <w:rPr>
                <w:sz w:val="20"/>
                <w:szCs w:val="20"/>
                <w:color w:val="auto"/>
              </w:rPr>
            </w:pPr>
            <w:r>
              <w:rPr>
                <w:rFonts w:ascii="Arial" w:cs="Arial" w:eastAsia="Arial" w:hAnsi="Arial"/>
                <w:sz w:val="16"/>
                <w:szCs w:val="16"/>
                <w:color w:val="auto"/>
              </w:rPr>
              <w:t>Debt</w:t>
            </w:r>
          </w:p>
        </w:tc>
        <w:tc>
          <w:tcPr>
            <w:tcW w:w="20" w:type="dxa"/>
            <w:vAlign w:val="bottom"/>
          </w:tcPr>
          <w:p>
            <w:pPr>
              <w:spacing w:after="0"/>
              <w:rPr>
                <w:sz w:val="15"/>
                <w:szCs w:val="15"/>
                <w:color w:val="auto"/>
              </w:rPr>
            </w:pPr>
          </w:p>
        </w:tc>
        <w:tc>
          <w:tcPr>
            <w:tcW w:w="800" w:type="dxa"/>
            <w:vAlign w:val="bottom"/>
            <w:vMerge w:val="restart"/>
            <w:shd w:val="clear" w:color="auto" w:fill="E7E7E2"/>
          </w:tcPr>
          <w:p>
            <w:pPr>
              <w:jc w:val="center"/>
              <w:ind w:left="38"/>
              <w:spacing w:after="0"/>
              <w:rPr>
                <w:sz w:val="20"/>
                <w:szCs w:val="20"/>
                <w:color w:val="auto"/>
              </w:rPr>
            </w:pPr>
            <w:r>
              <w:rPr>
                <w:rFonts w:ascii="Arial" w:cs="Arial" w:eastAsia="Arial" w:hAnsi="Arial"/>
                <w:sz w:val="16"/>
                <w:szCs w:val="16"/>
                <w:color w:val="auto"/>
              </w:rPr>
              <w:t>457(o)</w:t>
            </w: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40" w:type="dxa"/>
            <w:vAlign w:val="bottom"/>
            <w:tcBorders>
              <w:left w:val="single" w:sz="8" w:color="auto"/>
            </w:tcBorders>
          </w:tcPr>
          <w:p>
            <w:pPr>
              <w:spacing w:after="0"/>
              <w:rPr>
                <w:sz w:val="10"/>
                <w:szCs w:val="10"/>
                <w:color w:val="auto"/>
              </w:rPr>
            </w:pPr>
          </w:p>
        </w:tc>
        <w:tc>
          <w:tcPr>
            <w:tcW w:w="7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0"/>
                <w:szCs w:val="10"/>
                <w:color w:val="auto"/>
              </w:rPr>
            </w:pPr>
          </w:p>
        </w:tc>
        <w:tc>
          <w:tcPr>
            <w:tcW w:w="800" w:type="dxa"/>
            <w:vAlign w:val="bottom"/>
            <w:vMerge w:val="continue"/>
            <w:shd w:val="clear" w:color="auto" w:fill="E7E7E2"/>
          </w:tcPr>
          <w:p>
            <w:pPr>
              <w:spacing w:after="0"/>
              <w:rPr>
                <w:sz w:val="10"/>
                <w:szCs w:val="10"/>
                <w:color w:val="auto"/>
              </w:rPr>
            </w:pPr>
          </w:p>
        </w:tc>
        <w:tc>
          <w:tcPr>
            <w:tcW w:w="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shd w:val="clear" w:color="auto" w:fill="E7E7E2"/>
          </w:tcPr>
          <w:p>
            <w:pPr>
              <w:spacing w:after="0"/>
              <w:rPr>
                <w:sz w:val="7"/>
                <w:szCs w:val="7"/>
                <w:color w:val="auto"/>
              </w:rPr>
            </w:pPr>
          </w:p>
        </w:tc>
        <w:tc>
          <w:tcPr>
            <w:tcW w:w="1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0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Borders>
              <w:right w:val="single" w:sz="8" w:color="auto"/>
            </w:tcBorders>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0" w:type="dxa"/>
            <w:vAlign w:val="bottom"/>
            <w:tcBorders>
              <w:left w:val="single" w:sz="8" w:color="auto"/>
            </w:tcBorders>
          </w:tcPr>
          <w:p>
            <w:pPr>
              <w:spacing w:after="0"/>
              <w:rPr>
                <w:sz w:val="17"/>
                <w:szCs w:val="17"/>
                <w:color w:val="auto"/>
              </w:rPr>
            </w:pPr>
          </w:p>
        </w:tc>
        <w:tc>
          <w:tcPr>
            <w:tcW w:w="7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shd w:val="clear" w:color="auto" w:fill="E7E7E2"/>
          </w:tcPr>
          <w:p>
            <w:pPr>
              <w:ind w:left="220"/>
              <w:spacing w:after="0"/>
              <w:rPr>
                <w:sz w:val="20"/>
                <w:szCs w:val="20"/>
                <w:color w:val="auto"/>
              </w:rPr>
            </w:pPr>
            <w:r>
              <w:rPr>
                <w:rFonts w:ascii="Arial" w:cs="Arial" w:eastAsia="Arial" w:hAnsi="Arial"/>
                <w:sz w:val="16"/>
                <w:szCs w:val="16"/>
                <w:color w:val="auto"/>
              </w:rPr>
              <w:t>Other</w:t>
            </w:r>
          </w:p>
        </w:tc>
        <w:tc>
          <w:tcPr>
            <w:tcW w:w="20" w:type="dxa"/>
            <w:vAlign w:val="bottom"/>
          </w:tcPr>
          <w:p>
            <w:pPr>
              <w:spacing w:after="0"/>
              <w:rPr>
                <w:sz w:val="17"/>
                <w:szCs w:val="17"/>
                <w:color w:val="auto"/>
              </w:rPr>
            </w:pPr>
          </w:p>
        </w:tc>
        <w:tc>
          <w:tcPr>
            <w:tcW w:w="740" w:type="dxa"/>
            <w:vAlign w:val="bottom"/>
            <w:shd w:val="clear" w:color="auto" w:fill="E7E7E2"/>
          </w:tcPr>
          <w:p>
            <w:pPr>
              <w:spacing w:after="0"/>
              <w:rPr>
                <w:sz w:val="20"/>
                <w:szCs w:val="20"/>
                <w:color w:val="auto"/>
              </w:rPr>
            </w:pPr>
            <w:r>
              <w:rPr>
                <w:rFonts w:ascii="Arial" w:cs="Arial" w:eastAsia="Arial" w:hAnsi="Arial"/>
                <w:sz w:val="16"/>
                <w:szCs w:val="16"/>
                <w:color w:val="auto"/>
              </w:rPr>
              <w:t>Warrants</w:t>
            </w:r>
          </w:p>
        </w:tc>
        <w:tc>
          <w:tcPr>
            <w:tcW w:w="20" w:type="dxa"/>
            <w:vAlign w:val="bottom"/>
          </w:tcPr>
          <w:p>
            <w:pPr>
              <w:spacing w:after="0"/>
              <w:rPr>
                <w:sz w:val="17"/>
                <w:szCs w:val="17"/>
                <w:color w:val="auto"/>
              </w:rPr>
            </w:pPr>
          </w:p>
        </w:tc>
        <w:tc>
          <w:tcPr>
            <w:tcW w:w="800" w:type="dxa"/>
            <w:vAlign w:val="bottom"/>
            <w:shd w:val="clear" w:color="auto" w:fill="E7E7E2"/>
          </w:tcPr>
          <w:p>
            <w:pPr>
              <w:jc w:val="center"/>
              <w:ind w:left="38"/>
              <w:spacing w:after="0"/>
              <w:rPr>
                <w:sz w:val="20"/>
                <w:szCs w:val="20"/>
                <w:color w:val="auto"/>
              </w:rPr>
            </w:pPr>
            <w:r>
              <w:rPr>
                <w:rFonts w:ascii="Arial" w:cs="Arial" w:eastAsia="Arial" w:hAnsi="Arial"/>
                <w:sz w:val="16"/>
                <w:szCs w:val="16"/>
                <w:color w:val="auto"/>
              </w:rPr>
              <w:t>457(o)</w:t>
            </w:r>
          </w:p>
        </w:tc>
        <w:tc>
          <w:tcPr>
            <w:tcW w:w="1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Borders>
              <w:right w:val="single" w:sz="8" w:color="auto"/>
            </w:tcBorders>
            <w:shd w:val="clear" w:color="auto" w:fill="E7E7E2"/>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0" w:type="dxa"/>
            <w:vAlign w:val="bottom"/>
            <w:tcBorders>
              <w:left w:val="single" w:sz="8" w:color="auto"/>
            </w:tcBorders>
          </w:tcPr>
          <w:p>
            <w:pPr>
              <w:spacing w:after="0"/>
              <w:rPr>
                <w:sz w:val="15"/>
                <w:szCs w:val="15"/>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Fees to</w:t>
            </w: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jc w:val="center"/>
              <w:spacing w:after="0" w:line="174" w:lineRule="exact"/>
              <w:rPr>
                <w:sz w:val="20"/>
                <w:szCs w:val="20"/>
                <w:color w:val="auto"/>
              </w:rPr>
            </w:pPr>
            <w:r>
              <w:rPr>
                <w:rFonts w:ascii="Arial" w:cs="Arial" w:eastAsia="Arial" w:hAnsi="Arial"/>
                <w:sz w:val="16"/>
                <w:szCs w:val="16"/>
                <w:color w:val="auto"/>
              </w:rPr>
              <w:t>Unallocated</w:t>
            </w: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40" w:type="dxa"/>
            <w:vAlign w:val="bottom"/>
            <w:tcBorders>
              <w:left w:val="single" w:sz="8" w:color="auto"/>
            </w:tcBorders>
          </w:tcPr>
          <w:p>
            <w:pPr>
              <w:spacing w:after="0"/>
              <w:rPr>
                <w:sz w:val="14"/>
                <w:szCs w:val="14"/>
                <w:color w:val="auto"/>
              </w:rPr>
            </w:pPr>
          </w:p>
        </w:tc>
        <w:tc>
          <w:tcPr>
            <w:tcW w:w="7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shd w:val="clear" w:color="auto" w:fill="E7E7E2"/>
          </w:tcPr>
          <w:p>
            <w:pPr>
              <w:jc w:val="right"/>
              <w:spacing w:after="0" w:line="165" w:lineRule="exact"/>
              <w:rPr>
                <w:sz w:val="20"/>
                <w:szCs w:val="20"/>
                <w:color w:val="auto"/>
              </w:rPr>
            </w:pPr>
            <w:r>
              <w:rPr>
                <w:rFonts w:ascii="Arial" w:cs="Arial" w:eastAsia="Arial" w:hAnsi="Arial"/>
                <w:sz w:val="16"/>
                <w:szCs w:val="16"/>
                <w:color w:val="auto"/>
                <w:w w:val="89"/>
              </w:rPr>
              <w:t>1</w:t>
            </w:r>
          </w:p>
        </w:tc>
        <w:tc>
          <w:tcPr>
            <w:tcW w:w="20" w:type="dxa"/>
            <w:vAlign w:val="bottom"/>
          </w:tcPr>
          <w:p>
            <w:pPr>
              <w:spacing w:after="0"/>
              <w:rPr>
                <w:sz w:val="14"/>
                <w:szCs w:val="14"/>
                <w:color w:val="auto"/>
              </w:rPr>
            </w:pPr>
          </w:p>
        </w:tc>
        <w:tc>
          <w:tcPr>
            <w:tcW w:w="900" w:type="dxa"/>
            <w:vAlign w:val="bottom"/>
            <w:shd w:val="clear" w:color="auto" w:fill="E7E7E2"/>
          </w:tcPr>
          <w:p>
            <w:pPr>
              <w:ind w:left="20"/>
              <w:spacing w:after="0" w:line="165" w:lineRule="exact"/>
              <w:rPr>
                <w:sz w:val="20"/>
                <w:szCs w:val="20"/>
                <w:color w:val="auto"/>
              </w:rPr>
            </w:pPr>
            <w:r>
              <w:rPr>
                <w:rFonts w:ascii="Arial" w:cs="Arial" w:eastAsia="Arial" w:hAnsi="Arial"/>
                <w:sz w:val="16"/>
                <w:szCs w:val="16"/>
                <w:color w:val="auto"/>
              </w:rPr>
              <w:t>(Universal)</w:t>
            </w:r>
          </w:p>
        </w:tc>
        <w:tc>
          <w:tcPr>
            <w:tcW w:w="20" w:type="dxa"/>
            <w:vAlign w:val="bottom"/>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jc w:val="center"/>
              <w:ind w:left="38"/>
              <w:spacing w:after="0" w:line="165" w:lineRule="exact"/>
              <w:rPr>
                <w:sz w:val="20"/>
                <w:szCs w:val="20"/>
                <w:color w:val="auto"/>
              </w:rPr>
            </w:pPr>
            <w:r>
              <w:rPr>
                <w:rFonts w:ascii="Arial" w:cs="Arial" w:eastAsia="Arial" w:hAnsi="Arial"/>
                <w:sz w:val="16"/>
                <w:szCs w:val="16"/>
                <w:color w:val="auto"/>
              </w:rPr>
              <w:t>457(o)</w:t>
            </w: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jc w:val="right"/>
              <w:spacing w:after="0" w:line="165" w:lineRule="exact"/>
              <w:rPr>
                <w:sz w:val="20"/>
                <w:szCs w:val="20"/>
                <w:color w:val="auto"/>
              </w:rPr>
            </w:pPr>
            <w:r>
              <w:rPr>
                <w:rFonts w:ascii="Arial" w:cs="Arial" w:eastAsia="Arial" w:hAnsi="Arial"/>
                <w:sz w:val="16"/>
                <w:szCs w:val="16"/>
                <w:color w:val="auto"/>
              </w:rPr>
              <w:t>0.0001381</w:t>
            </w:r>
          </w:p>
        </w:tc>
        <w:tc>
          <w:tcPr>
            <w:tcW w:w="20" w:type="dxa"/>
            <w:vAlign w:val="bottom"/>
          </w:tcPr>
          <w:p>
            <w:pPr>
              <w:spacing w:after="0"/>
              <w:rPr>
                <w:sz w:val="14"/>
                <w:szCs w:val="14"/>
                <w:color w:val="auto"/>
              </w:rPr>
            </w:pPr>
          </w:p>
        </w:tc>
        <w:tc>
          <w:tcPr>
            <w:tcW w:w="1000" w:type="dxa"/>
            <w:vAlign w:val="bottom"/>
            <w:shd w:val="clear" w:color="auto" w:fill="E7E7E2"/>
          </w:tcPr>
          <w:p>
            <w:pPr>
              <w:jc w:val="right"/>
              <w:spacing w:after="0" w:line="165" w:lineRule="exact"/>
              <w:rPr>
                <w:sz w:val="20"/>
                <w:szCs w:val="20"/>
                <w:color w:val="auto"/>
              </w:rPr>
            </w:pPr>
            <w:r>
              <w:rPr>
                <w:rFonts w:ascii="Arial" w:cs="Arial" w:eastAsia="Arial" w:hAnsi="Arial"/>
                <w:sz w:val="16"/>
                <w:szCs w:val="16"/>
                <w:color w:val="auto"/>
              </w:rPr>
              <w:t>$ 13,810.00</w:t>
            </w: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780" w:type="dxa"/>
            <w:vAlign w:val="bottom"/>
            <w:tcBorders>
              <w:bottom w:val="single" w:sz="8" w:color="E7E7E2"/>
            </w:tcBorders>
            <w:shd w:val="clear" w:color="auto" w:fill="E7E7E2"/>
          </w:tcPr>
          <w:p>
            <w:pPr>
              <w:spacing w:after="0"/>
              <w:rPr>
                <w:sz w:val="20"/>
                <w:szCs w:val="20"/>
                <w:color w:val="auto"/>
              </w:rPr>
            </w:pPr>
            <w:r>
              <w:rPr>
                <w:rFonts w:ascii="Arial" w:cs="Arial" w:eastAsia="Arial" w:hAnsi="Arial"/>
                <w:sz w:val="16"/>
                <w:szCs w:val="16"/>
                <w:color w:val="auto"/>
              </w:rPr>
              <w:t>be Paid</w:t>
            </w:r>
          </w:p>
        </w:tc>
        <w:tc>
          <w:tcPr>
            <w:tcW w:w="20" w:type="dxa"/>
            <w:vAlign w:val="bottom"/>
          </w:tcPr>
          <w:p>
            <w:pPr>
              <w:spacing w:after="0"/>
              <w:rPr>
                <w:sz w:val="18"/>
                <w:szCs w:val="18"/>
                <w:color w:val="auto"/>
              </w:rPr>
            </w:pPr>
          </w:p>
        </w:tc>
        <w:tc>
          <w:tcPr>
            <w:tcW w:w="100" w:type="dxa"/>
            <w:vAlign w:val="bottom"/>
            <w:tcBorders>
              <w:bottom w:val="single" w:sz="8" w:color="E7E7E2"/>
            </w:tcBorders>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Borders>
              <w:bottom w:val="single" w:sz="8" w:color="E7E7E2"/>
            </w:tcBorders>
            <w:shd w:val="clear" w:color="auto" w:fill="E7E7E2"/>
          </w:tcPr>
          <w:p>
            <w:pPr>
              <w:ind w:left="20"/>
              <w:spacing w:after="0"/>
              <w:rPr>
                <w:sz w:val="20"/>
                <w:szCs w:val="20"/>
                <w:color w:val="auto"/>
              </w:rPr>
            </w:pPr>
            <w:r>
              <w:rPr>
                <w:rFonts w:ascii="Arial" w:cs="Arial" w:eastAsia="Arial" w:hAnsi="Arial"/>
                <w:sz w:val="16"/>
                <w:szCs w:val="16"/>
                <w:color w:val="auto"/>
              </w:rPr>
              <w:t>Shelf</w:t>
            </w:r>
          </w:p>
        </w:tc>
        <w:tc>
          <w:tcPr>
            <w:tcW w:w="20" w:type="dxa"/>
            <w:vAlign w:val="bottom"/>
          </w:tcPr>
          <w:p>
            <w:pPr>
              <w:spacing w:after="0"/>
              <w:rPr>
                <w:sz w:val="18"/>
                <w:szCs w:val="18"/>
                <w:color w:val="auto"/>
              </w:rPr>
            </w:pPr>
          </w:p>
        </w:tc>
        <w:tc>
          <w:tcPr>
            <w:tcW w:w="740" w:type="dxa"/>
            <w:vAlign w:val="bottom"/>
            <w:tcBorders>
              <w:bottom w:val="single" w:sz="8" w:color="E7E7E2"/>
            </w:tcBorders>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Borders>
              <w:bottom w:val="single" w:sz="8" w:color="E7E7E2"/>
            </w:tcBorders>
            <w:shd w:val="clear" w:color="auto" w:fill="E7E7E2"/>
          </w:tcPr>
          <w:p>
            <w:pPr>
              <w:spacing w:after="0"/>
              <w:rPr>
                <w:sz w:val="18"/>
                <w:szCs w:val="18"/>
                <w:color w:val="auto"/>
              </w:rPr>
            </w:pPr>
          </w:p>
        </w:tc>
        <w:tc>
          <w:tcPr>
            <w:tcW w:w="120" w:type="dxa"/>
            <w:vAlign w:val="bottom"/>
            <w:tcBorders>
              <w:bottom w:val="single" w:sz="8" w:color="E7E7E2"/>
            </w:tcBorders>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Borders>
              <w:bottom w:val="single" w:sz="8" w:color="E7E7E2"/>
            </w:tcBorders>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Borders>
              <w:bottom w:val="single" w:sz="8" w:color="E7E7E2"/>
            </w:tcBorders>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tcBorders>
              <w:bottom w:val="single" w:sz="8" w:color="E7E7E2"/>
            </w:tcBorders>
            <w:shd w:val="clear" w:color="auto" w:fill="E7E7E2"/>
          </w:tcPr>
          <w:p>
            <w:pPr>
              <w:jc w:val="right"/>
              <w:spacing w:after="0"/>
              <w:rPr>
                <w:sz w:val="20"/>
                <w:szCs w:val="20"/>
                <w:color w:val="auto"/>
              </w:rPr>
            </w:pPr>
            <w:r>
              <w:rPr>
                <w:rFonts w:ascii="Arial" w:cs="Arial" w:eastAsia="Arial" w:hAnsi="Arial"/>
                <w:sz w:val="16"/>
                <w:szCs w:val="16"/>
                <w:color w:val="auto"/>
              </w:rPr>
              <w:t>100,000,000.00</w:t>
            </w:r>
          </w:p>
        </w:tc>
        <w:tc>
          <w:tcPr>
            <w:tcW w:w="20" w:type="dxa"/>
            <w:vAlign w:val="bottom"/>
          </w:tcPr>
          <w:p>
            <w:pPr>
              <w:spacing w:after="0"/>
              <w:rPr>
                <w:sz w:val="18"/>
                <w:szCs w:val="18"/>
                <w:color w:val="auto"/>
              </w:rPr>
            </w:pPr>
          </w:p>
        </w:tc>
        <w:tc>
          <w:tcPr>
            <w:tcW w:w="800" w:type="dxa"/>
            <w:vAlign w:val="bottom"/>
            <w:tcBorders>
              <w:bottom w:val="single" w:sz="8" w:color="E7E7E2"/>
            </w:tcBorders>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Borders>
              <w:bottom w:val="single" w:sz="8" w:color="E7E7E2"/>
            </w:tcBorders>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Borders>
              <w:bottom w:val="single" w:sz="8" w:color="E7E7E2"/>
            </w:tcBorders>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Borders>
              <w:bottom w:val="single" w:sz="8" w:color="E7E7E2"/>
            </w:tcBorders>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Borders>
              <w:bottom w:val="single" w:sz="8" w:color="E7E7E2"/>
            </w:tcBorders>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bottom w:val="single" w:sz="8" w:color="E7E7E2"/>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line="174" w:lineRule="exact"/>
              <w:rPr>
                <w:sz w:val="20"/>
                <w:szCs w:val="20"/>
                <w:color w:val="auto"/>
              </w:rPr>
            </w:pPr>
            <w:r>
              <w:rPr>
                <w:rFonts w:ascii="Arial" w:cs="Arial" w:eastAsia="Arial" w:hAnsi="Arial"/>
                <w:sz w:val="16"/>
                <w:szCs w:val="16"/>
                <w:color w:val="auto"/>
              </w:rPr>
              <w:t>Fees</w:t>
            </w: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6"/>
                <w:szCs w:val="16"/>
                <w:color w:val="auto"/>
              </w:rPr>
              <w:t>Previously</w:t>
            </w: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6"/>
                <w:szCs w:val="16"/>
                <w:color w:val="auto"/>
              </w:rPr>
              <w:t>Paid</w:t>
            </w:r>
          </w:p>
        </w:tc>
        <w:tc>
          <w:tcPr>
            <w:tcW w:w="20" w:type="dxa"/>
            <w:vAlign w:val="bottom"/>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80" w:type="dxa"/>
            <w:vAlign w:val="bottom"/>
            <w:gridSpan w:val="5"/>
          </w:tcPr>
          <w:p>
            <w:pPr>
              <w:jc w:val="center"/>
              <w:ind w:right="298"/>
              <w:spacing w:after="0"/>
              <w:rPr>
                <w:sz w:val="20"/>
                <w:szCs w:val="20"/>
                <w:color w:val="auto"/>
              </w:rPr>
            </w:pPr>
            <w:r>
              <w:rPr>
                <w:rFonts w:ascii="Arial" w:cs="Arial" w:eastAsia="Arial" w:hAnsi="Arial"/>
                <w:sz w:val="16"/>
                <w:szCs w:val="16"/>
                <w:b w:val="1"/>
                <w:bCs w:val="1"/>
                <w:color w:val="auto"/>
              </w:rPr>
              <w:t>Carry Forward Securities</w:t>
            </w: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line="180" w:lineRule="exact"/>
              <w:rPr>
                <w:sz w:val="20"/>
                <w:szCs w:val="20"/>
                <w:color w:val="auto"/>
              </w:rPr>
            </w:pPr>
            <w:r>
              <w:rPr>
                <w:rFonts w:ascii="Arial" w:cs="Arial" w:eastAsia="Arial" w:hAnsi="Arial"/>
                <w:sz w:val="16"/>
                <w:szCs w:val="16"/>
                <w:color w:val="auto"/>
              </w:rPr>
              <w:t>Carry</w:t>
            </w: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6"/>
                <w:szCs w:val="16"/>
                <w:color w:val="auto"/>
              </w:rPr>
              <w:t>Forward</w:t>
            </w: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20" w:type="dxa"/>
            <w:vAlign w:val="bottom"/>
            <w:gridSpan w:val="4"/>
          </w:tcPr>
          <w:p>
            <w:pPr>
              <w:jc w:val="right"/>
              <w:spacing w:after="0"/>
              <w:rPr>
                <w:sz w:val="20"/>
                <w:szCs w:val="20"/>
                <w:color w:val="auto"/>
              </w:rPr>
            </w:pPr>
            <w:r>
              <w:rPr>
                <w:rFonts w:ascii="Arial" w:cs="Arial" w:eastAsia="Arial" w:hAnsi="Arial"/>
                <w:sz w:val="16"/>
                <w:szCs w:val="16"/>
                <w:color w:val="auto"/>
              </w:rPr>
              <w:t>Total Offering Amounts:</w:t>
            </w: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$ 13,810.00</w:t>
            </w: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 w:type="dxa"/>
            <w:vAlign w:val="bottom"/>
            <w:tcBorders>
              <w:lef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100,000,000.00</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0" w:type="dxa"/>
            <w:vAlign w:val="bottom"/>
            <w:tcBorders>
              <w:lef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80" w:type="dxa"/>
            <w:vAlign w:val="bottom"/>
            <w:gridSpan w:val="6"/>
          </w:tcPr>
          <w:p>
            <w:pPr>
              <w:jc w:val="right"/>
              <w:spacing w:after="0"/>
              <w:rPr>
                <w:sz w:val="20"/>
                <w:szCs w:val="20"/>
                <w:color w:val="auto"/>
              </w:rPr>
            </w:pPr>
            <w:r>
              <w:rPr>
                <w:rFonts w:ascii="Arial" w:cs="Arial" w:eastAsia="Arial" w:hAnsi="Arial"/>
                <w:sz w:val="16"/>
                <w:szCs w:val="16"/>
                <w:color w:val="auto"/>
              </w:rPr>
              <w:t>Total Fees Previously Paid:</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$ 0.00</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0" w:type="dxa"/>
            <w:vAlign w:val="bottom"/>
            <w:tcBorders>
              <w:lef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20" w:type="dxa"/>
            <w:vAlign w:val="bottom"/>
            <w:gridSpan w:val="4"/>
          </w:tcPr>
          <w:p>
            <w:pPr>
              <w:jc w:val="right"/>
              <w:spacing w:after="0"/>
              <w:rPr>
                <w:sz w:val="20"/>
                <w:szCs w:val="20"/>
                <w:color w:val="auto"/>
              </w:rPr>
            </w:pPr>
            <w:r>
              <w:rPr>
                <w:rFonts w:ascii="Arial" w:cs="Arial" w:eastAsia="Arial" w:hAnsi="Arial"/>
                <w:sz w:val="16"/>
                <w:szCs w:val="16"/>
                <w:color w:val="auto"/>
              </w:rPr>
              <w:t>Total Fee Offsets:</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$ 0.00</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 w:type="dxa"/>
            <w:vAlign w:val="bottom"/>
            <w:tcBorders>
              <w:left w:val="single" w:sz="8" w:color="auto"/>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Net Fee Due:</w:t>
            </w:r>
          </w:p>
        </w:tc>
        <w:tc>
          <w:tcPr>
            <w:tcW w:w="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$ 13,810.00</w:t>
            </w:r>
          </w:p>
        </w:tc>
        <w:tc>
          <w:tcPr>
            <w:tcW w:w="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Offering Note</w:t>
      </w:r>
    </w:p>
    <w:p>
      <w:pPr>
        <w:spacing w:after="0" w:line="124" w:lineRule="exact"/>
        <w:rPr>
          <w:sz w:val="20"/>
          <w:szCs w:val="20"/>
          <w:color w:val="auto"/>
        </w:rPr>
      </w:pPr>
    </w:p>
    <w:p>
      <w:pPr>
        <w:ind w:left="40"/>
        <w:spacing w:after="0"/>
        <w:rPr>
          <w:sz w:val="20"/>
          <w:szCs w:val="20"/>
          <w:color w:val="auto"/>
        </w:rPr>
      </w:pPr>
      <w:r>
        <w:rPr>
          <w:rFonts w:ascii="Arial" w:cs="Arial" w:eastAsia="Arial" w:hAnsi="Arial"/>
          <w:sz w:val="10"/>
          <w:szCs w:val="10"/>
          <w:color w:val="auto"/>
        </w:rPr>
        <w:t>1</w:t>
      </w:r>
    </w:p>
    <w:p>
      <w:pPr>
        <w:spacing w:after="0" w:line="59" w:lineRule="exact"/>
        <w:rPr>
          <w:sz w:val="20"/>
          <w:szCs w:val="20"/>
          <w:color w:val="auto"/>
        </w:rPr>
      </w:pPr>
    </w:p>
    <w:p>
      <w:pPr>
        <w:ind w:left="200" w:right="200"/>
        <w:spacing w:after="0" w:line="242" w:lineRule="auto"/>
        <w:rPr>
          <w:sz w:val="20"/>
          <w:szCs w:val="20"/>
          <w:color w:val="auto"/>
        </w:rPr>
      </w:pPr>
      <w:r>
        <w:rPr>
          <w:rFonts w:ascii="Arial" w:cs="Arial" w:eastAsia="Arial" w:hAnsi="Arial"/>
          <w:sz w:val="16"/>
          <w:szCs w:val="16"/>
          <w:color w:val="auto"/>
        </w:rPr>
        <w:t>(1)There are being registered hereunder such indeterminate number of common shares, such indeterminate number of preferred shares, such indeterminate principal amount of debt securities and such indeterminate number of warrants to purchase common shares, preferred shares or debt securities as shall have an aggregate initial offering price not to exceed $100,000,000. If any debt securities are issued at an original issue discount, then the principal amount of such debt securities shall be in such greater amount as shall result in an aggregate initial offering price not to exceed $100,000,000, less the aggregate dollar amount of all securities previously issued hereunder. Any securities registered hereunder may be sold separately or in combination with other securities registered hereunder. The securities registered also include such indeterminate number of common shares and preferred shares and principal amount of debt securities as may be issued upon conversion of or exchange for preferred shares or debt securities that provide for conversion or exchange, upon exercise of warrants or pursuant to the antidilution provisions of any such securities. In addition, pursuant to Rule 416 under the Securities Act of 1933, as amended (the "Securities Act"), the shares being registered hereunder include such indeterminate number of common shares and preferred shares as may be issuable with respect to the shares being registered hereunder as a result of stock splits, stock dividends or similar transactions.</w:t>
      </w:r>
    </w:p>
    <w:p>
      <w:pPr>
        <w:spacing w:after="0" w:line="6" w:lineRule="exact"/>
        <w:rPr>
          <w:sz w:val="20"/>
          <w:szCs w:val="20"/>
          <w:color w:val="auto"/>
        </w:rPr>
      </w:pPr>
    </w:p>
    <w:p>
      <w:pPr>
        <w:ind w:left="200" w:right="260"/>
        <w:spacing w:after="0" w:line="251" w:lineRule="auto"/>
        <w:rPr>
          <w:sz w:val="20"/>
          <w:szCs w:val="20"/>
          <w:color w:val="auto"/>
        </w:rPr>
      </w:pPr>
      <w:r>
        <w:rPr>
          <w:rFonts w:ascii="Arial" w:cs="Arial" w:eastAsia="Arial" w:hAnsi="Arial"/>
          <w:sz w:val="16"/>
          <w:szCs w:val="16"/>
          <w:color w:val="auto"/>
        </w:rPr>
        <w:t>(2)The proposed maximum aggregate offering price per class of security will be determined from time to time by the registrant in connection with the issuance by the registrant of the securities registered hereunder and is not specified as to each class of security pursuant to General Instruction II.F. of Form S-3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170815</wp:posOffset>
            </wp:positionV>
            <wp:extent cx="715137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1">
                      <a:extLst>
                        <a:ext uri="{28A0092B-C50C-407E-A947-70E740481C1C}"/>
                      </a:extLst>
                    </a:blip>
                    <a:srcRect/>
                    <a:stretch>
                      <a:fillRect/>
                    </a:stretch>
                  </pic:blipFill>
                  <pic:spPr bwMode="auto">
                    <a:xfrm>
                      <a:off x="0" y="0"/>
                      <a:ext cx="7151370" cy="3873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tbl>
      <w:tblPr>
        <w:tblLayout w:type="fixed"/>
        <w:tblInd w:w="10" w:type="dxa"/>
        <w:tblCellMar>
          <w:top w:w="0" w:type="dxa"/>
          <w:left w:w="0" w:type="dxa"/>
          <w:bottom w:w="0" w:type="dxa"/>
          <w:right w:w="0" w:type="dxa"/>
        </w:tblCellMar>
      </w:tblPr>
      <w:tr>
        <w:trPr>
          <w:trHeight w:val="267"/>
        </w:trPr>
        <w:tc>
          <w:tcPr>
            <w:tcW w:w="3420" w:type="dxa"/>
            <w:vAlign w:val="bottom"/>
            <w:tcBorders>
              <w:bottom w:val="single" w:sz="8" w:color="auto"/>
            </w:tcBorders>
            <w:gridSpan w:val="6"/>
          </w:tcPr>
          <w:p>
            <w:pPr>
              <w:ind w:left="40"/>
              <w:spacing w:after="0"/>
              <w:rPr>
                <w:sz w:val="20"/>
                <w:szCs w:val="20"/>
                <w:color w:val="auto"/>
              </w:rPr>
            </w:pPr>
            <w:r>
              <w:rPr>
                <w:rFonts w:ascii="Arial" w:cs="Arial" w:eastAsia="Arial" w:hAnsi="Arial"/>
                <w:sz w:val="16"/>
                <w:szCs w:val="16"/>
                <w:b w:val="1"/>
                <w:bCs w:val="1"/>
                <w:color w:val="auto"/>
              </w:rPr>
              <w:t>Table 2: Fee Offset Claims and Sources</w:t>
            </w: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4"/>
          </w:tcPr>
          <w:p>
            <w:pPr>
              <w:ind w:left="360"/>
              <w:spacing w:after="0" w:line="184"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Not Applicable</w:t>
            </w:r>
          </w:p>
        </w:tc>
        <w:tc>
          <w:tcPr>
            <w:tcW w:w="0" w:type="dxa"/>
            <w:vAlign w:val="bottom"/>
          </w:tcPr>
          <w:p>
            <w:pPr>
              <w:spacing w:after="0"/>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Unsold</w:t>
            </w: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Security</w:t>
            </w:r>
          </w:p>
        </w:tc>
        <w:tc>
          <w:tcPr>
            <w:tcW w:w="40" w:type="dxa"/>
            <w:vAlign w:val="bottom"/>
          </w:tcPr>
          <w:p>
            <w:pPr>
              <w:spacing w:after="0"/>
              <w:rPr>
                <w:sz w:val="16"/>
                <w:szCs w:val="16"/>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Unsold</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Aggregate</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Form</w:t>
            </w: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Initial</w:t>
            </w:r>
          </w:p>
        </w:tc>
        <w:tc>
          <w:tcPr>
            <w:tcW w:w="4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vMerge w:val="restart"/>
            <w:shd w:val="clear" w:color="auto" w:fill="9ADAF6"/>
          </w:tcPr>
          <w:p>
            <w:pPr>
              <w:jc w:val="right"/>
              <w:ind w:right="98"/>
              <w:spacing w:after="0"/>
              <w:rPr>
                <w:sz w:val="20"/>
                <w:szCs w:val="20"/>
                <w:color w:val="auto"/>
              </w:rPr>
            </w:pPr>
            <w:r>
              <w:rPr>
                <w:rFonts w:ascii="Arial" w:cs="Arial" w:eastAsia="Arial" w:hAnsi="Arial"/>
                <w:sz w:val="16"/>
                <w:szCs w:val="16"/>
                <w:b w:val="1"/>
                <w:bCs w:val="1"/>
                <w:color w:val="auto"/>
              </w:rPr>
              <w:t>Fee</w:t>
            </w: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7"/>
              </w:rPr>
              <w:t>Title</w:t>
            </w:r>
          </w:p>
        </w:tc>
        <w:tc>
          <w:tcPr>
            <w:tcW w:w="40" w:type="dxa"/>
            <w:vAlign w:val="bottom"/>
          </w:tcPr>
          <w:p>
            <w:pPr>
              <w:spacing w:after="0"/>
              <w:rPr>
                <w:sz w:val="16"/>
                <w:szCs w:val="16"/>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Securities</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Offering</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Paid</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8"/>
                <w:szCs w:val="8"/>
                <w:color w:val="auto"/>
              </w:rPr>
            </w:pPr>
          </w:p>
        </w:tc>
        <w:tc>
          <w:tcPr>
            <w:tcW w:w="9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shd w:val="clear" w:color="auto" w:fill="9ADAF6"/>
          </w:tcPr>
          <w:p>
            <w:pPr>
              <w:ind w:left="80"/>
              <w:spacing w:after="0"/>
              <w:rPr>
                <w:sz w:val="20"/>
                <w:szCs w:val="20"/>
                <w:color w:val="auto"/>
              </w:rPr>
            </w:pPr>
            <w:r>
              <w:rPr>
                <w:rFonts w:ascii="Arial" w:cs="Arial" w:eastAsia="Arial" w:hAnsi="Arial"/>
                <w:sz w:val="16"/>
                <w:szCs w:val="16"/>
                <w:b w:val="1"/>
                <w:bCs w:val="1"/>
                <w:color w:val="auto"/>
              </w:rPr>
              <w:t>Registrant or Filer</w:t>
            </w: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or</w:t>
            </w:r>
          </w:p>
        </w:tc>
        <w:tc>
          <w:tcPr>
            <w:tcW w:w="20" w:type="dxa"/>
            <w:vAlign w:val="bottom"/>
          </w:tcPr>
          <w:p>
            <w:pPr>
              <w:spacing w:after="0"/>
              <w:rPr>
                <w:sz w:val="8"/>
                <w:szCs w:val="8"/>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File</w:t>
            </w:r>
          </w:p>
        </w:tc>
        <w:tc>
          <w:tcPr>
            <w:tcW w:w="20" w:type="dxa"/>
            <w:vAlign w:val="bottom"/>
          </w:tcPr>
          <w:p>
            <w:pPr>
              <w:spacing w:after="0"/>
              <w:rPr>
                <w:sz w:val="8"/>
                <w:szCs w:val="8"/>
                <w:color w:val="auto"/>
              </w:rPr>
            </w:pPr>
          </w:p>
        </w:tc>
        <w:tc>
          <w:tcPr>
            <w:tcW w:w="620" w:type="dxa"/>
            <w:vAlign w:val="bottom"/>
            <w:vMerge w:val="continue"/>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Filing</w:t>
            </w:r>
          </w:p>
        </w:tc>
        <w:tc>
          <w:tcPr>
            <w:tcW w:w="20" w:type="dxa"/>
            <w:vAlign w:val="bottom"/>
          </w:tcPr>
          <w:p>
            <w:pPr>
              <w:spacing w:after="0"/>
              <w:rPr>
                <w:sz w:val="8"/>
                <w:szCs w:val="8"/>
                <w:color w:val="auto"/>
              </w:rPr>
            </w:pPr>
          </w:p>
        </w:tc>
        <w:tc>
          <w:tcPr>
            <w:tcW w:w="6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8"/>
                <w:szCs w:val="8"/>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40" w:type="dxa"/>
            <w:vAlign w:val="bottom"/>
          </w:tcPr>
          <w:p>
            <w:pPr>
              <w:spacing w:after="0"/>
              <w:rPr>
                <w:sz w:val="8"/>
                <w:szCs w:val="8"/>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8"/>
                <w:szCs w:val="8"/>
                <w:color w:val="auto"/>
              </w:rPr>
            </w:pPr>
          </w:p>
        </w:tc>
        <w:tc>
          <w:tcPr>
            <w:tcW w:w="9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Amount</w:t>
            </w:r>
          </w:p>
        </w:tc>
        <w:tc>
          <w:tcPr>
            <w:tcW w:w="20" w:type="dxa"/>
            <w:vAlign w:val="bottom"/>
          </w:tcPr>
          <w:p>
            <w:pPr>
              <w:spacing w:after="0"/>
              <w:rPr>
                <w:sz w:val="8"/>
                <w:szCs w:val="8"/>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with</w:t>
            </w:r>
          </w:p>
        </w:tc>
        <w:tc>
          <w:tcPr>
            <w:tcW w:w="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40" w:type="dxa"/>
            <w:vAlign w:val="bottom"/>
            <w:tcBorders>
              <w:left w:val="single" w:sz="8" w:color="auto"/>
            </w:tcBorders>
          </w:tcPr>
          <w:p>
            <w:pPr>
              <w:spacing w:after="0"/>
              <w:rPr>
                <w:sz w:val="14"/>
                <w:szCs w:val="14"/>
                <w:color w:val="auto"/>
              </w:rPr>
            </w:pPr>
          </w:p>
        </w:tc>
        <w:tc>
          <w:tcPr>
            <w:tcW w:w="9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5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shd w:val="clear" w:color="auto" w:fill="9ADAF6"/>
          </w:tcPr>
          <w:p>
            <w:pPr>
              <w:jc w:val="center"/>
              <w:spacing w:after="0" w:line="165" w:lineRule="exact"/>
              <w:rPr>
                <w:sz w:val="20"/>
                <w:szCs w:val="20"/>
                <w:color w:val="auto"/>
              </w:rPr>
            </w:pPr>
            <w:r>
              <w:rPr>
                <w:rFonts w:ascii="Arial" w:cs="Arial" w:eastAsia="Arial" w:hAnsi="Arial"/>
                <w:sz w:val="16"/>
                <w:szCs w:val="16"/>
                <w:b w:val="1"/>
                <w:bCs w:val="1"/>
                <w:color w:val="auto"/>
              </w:rPr>
              <w:t>Filing</w:t>
            </w:r>
          </w:p>
        </w:tc>
        <w:tc>
          <w:tcPr>
            <w:tcW w:w="4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9ADAF6"/>
          </w:tcPr>
          <w:p>
            <w:pPr>
              <w:jc w:val="right"/>
              <w:ind w:right="18"/>
              <w:spacing w:after="0" w:line="165"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4"/>
                <w:szCs w:val="14"/>
                <w:color w:val="auto"/>
              </w:rPr>
            </w:pPr>
          </w:p>
        </w:tc>
        <w:tc>
          <w:tcPr>
            <w:tcW w:w="9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vMerge w:val="continue"/>
            <w:shd w:val="clear" w:color="auto" w:fill="9ADAF6"/>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shd w:val="clear" w:color="auto" w:fill="9ADAF6"/>
          </w:tcPr>
          <w:p>
            <w:pPr>
              <w:ind w:left="560"/>
              <w:spacing w:after="0"/>
              <w:rPr>
                <w:sz w:val="20"/>
                <w:szCs w:val="20"/>
                <w:color w:val="auto"/>
              </w:rPr>
            </w:pPr>
            <w:r>
              <w:rPr>
                <w:rFonts w:ascii="Arial" w:cs="Arial" w:eastAsia="Arial" w:hAnsi="Arial"/>
                <w:sz w:val="16"/>
                <w:szCs w:val="16"/>
                <w:b w:val="1"/>
                <w:bCs w:val="1"/>
                <w:color w:val="auto"/>
              </w:rPr>
              <w:t>Name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Filing</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Number</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Date</w:t>
            </w:r>
          </w:p>
        </w:tc>
        <w:tc>
          <w:tcPr>
            <w:tcW w:w="40" w:type="dxa"/>
            <w:vAlign w:val="bottom"/>
          </w:tcPr>
          <w:p>
            <w:pPr>
              <w:spacing w:after="0"/>
              <w:rPr>
                <w:sz w:val="16"/>
                <w:szCs w:val="16"/>
                <w:color w:val="auto"/>
              </w:rPr>
            </w:pPr>
          </w:p>
        </w:tc>
        <w:tc>
          <w:tcPr>
            <w:tcW w:w="6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Date</w:t>
            </w:r>
          </w:p>
        </w:tc>
        <w:tc>
          <w:tcPr>
            <w:tcW w:w="20" w:type="dxa"/>
            <w:vAlign w:val="bottom"/>
          </w:tcPr>
          <w:p>
            <w:pPr>
              <w:spacing w:after="0"/>
              <w:rPr>
                <w:sz w:val="16"/>
                <w:szCs w:val="16"/>
                <w:color w:val="auto"/>
              </w:rPr>
            </w:pPr>
          </w:p>
        </w:tc>
        <w:tc>
          <w:tcPr>
            <w:tcW w:w="660" w:type="dxa"/>
            <w:vAlign w:val="bottom"/>
            <w:shd w:val="clear" w:color="auto" w:fill="9ADAF6"/>
          </w:tcPr>
          <w:p>
            <w:pPr>
              <w:jc w:val="right"/>
              <w:spacing w:after="0"/>
              <w:rPr>
                <w:sz w:val="20"/>
                <w:szCs w:val="20"/>
                <w:color w:val="auto"/>
              </w:rPr>
            </w:pPr>
            <w:r>
              <w:rPr>
                <w:rFonts w:ascii="Arial" w:cs="Arial" w:eastAsia="Arial" w:hAnsi="Arial"/>
                <w:sz w:val="16"/>
                <w:szCs w:val="16"/>
                <w:b w:val="1"/>
                <w:bCs w:val="1"/>
                <w:color w:val="auto"/>
                <w:w w:val="99"/>
              </w:rPr>
              <w:t>Claimed</w:t>
            </w: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with Fee</w:t>
            </w:r>
          </w:p>
        </w:tc>
        <w:tc>
          <w:tcPr>
            <w:tcW w:w="40" w:type="dxa"/>
            <w:vAlign w:val="bottom"/>
          </w:tcPr>
          <w:p>
            <w:pPr>
              <w:spacing w:after="0"/>
              <w:rPr>
                <w:sz w:val="16"/>
                <w:szCs w:val="16"/>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2"/>
        </w:trPr>
        <w:tc>
          <w:tcPr>
            <w:tcW w:w="40" w:type="dxa"/>
            <w:vAlign w:val="bottom"/>
            <w:tcBorders>
              <w:left w:val="single" w:sz="8" w:color="auto"/>
            </w:tcBorders>
          </w:tcPr>
          <w:p>
            <w:pPr>
              <w:spacing w:after="0"/>
              <w:rPr>
                <w:sz w:val="9"/>
                <w:szCs w:val="9"/>
                <w:color w:val="auto"/>
              </w:rPr>
            </w:pPr>
          </w:p>
        </w:tc>
        <w:tc>
          <w:tcPr>
            <w:tcW w:w="9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5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shd w:val="clear" w:color="auto" w:fill="9ADAF6"/>
          </w:tcPr>
          <w:p>
            <w:pPr>
              <w:jc w:val="center"/>
              <w:spacing w:after="0" w:line="113"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9"/>
                <w:szCs w:val="9"/>
                <w:color w:val="auto"/>
              </w:rPr>
            </w:pPr>
          </w:p>
        </w:tc>
        <w:tc>
          <w:tcPr>
            <w:tcW w:w="7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shd w:val="clear" w:color="auto" w:fill="9ADAF6"/>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shd w:val="clear" w:color="auto" w:fill="9ADAF6"/>
          </w:tcPr>
          <w:p>
            <w:pPr>
              <w:jc w:val="center"/>
              <w:spacing w:after="0" w:line="113"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9"/>
                <w:szCs w:val="9"/>
                <w:color w:val="auto"/>
              </w:rPr>
            </w:pPr>
          </w:p>
        </w:tc>
        <w:tc>
          <w:tcPr>
            <w:tcW w:w="900" w:type="dxa"/>
            <w:vAlign w:val="bottom"/>
            <w:shd w:val="clear" w:color="auto" w:fill="9ADAF6"/>
          </w:tcPr>
          <w:p>
            <w:pPr>
              <w:jc w:val="center"/>
              <w:spacing w:after="0" w:line="113" w:lineRule="exact"/>
              <w:rPr>
                <w:sz w:val="20"/>
                <w:szCs w:val="20"/>
                <w:color w:val="auto"/>
              </w:rPr>
            </w:pPr>
            <w:r>
              <w:rPr>
                <w:rFonts w:ascii="Arial" w:cs="Arial" w:eastAsia="Arial" w:hAnsi="Arial"/>
                <w:sz w:val="13"/>
                <w:szCs w:val="13"/>
                <w:b w:val="1"/>
                <w:bCs w:val="1"/>
                <w:color w:val="auto"/>
              </w:rPr>
              <w:t>Offset</w:t>
            </w:r>
          </w:p>
        </w:tc>
        <w:tc>
          <w:tcPr>
            <w:tcW w:w="40" w:type="dxa"/>
            <w:vAlign w:val="bottom"/>
          </w:tcPr>
          <w:p>
            <w:pPr>
              <w:spacing w:after="0"/>
              <w:rPr>
                <w:sz w:val="9"/>
                <w:szCs w:val="9"/>
                <w:color w:val="auto"/>
              </w:rPr>
            </w:pPr>
          </w:p>
        </w:tc>
        <w:tc>
          <w:tcPr>
            <w:tcW w:w="900" w:type="dxa"/>
            <w:vAlign w:val="bottom"/>
            <w:shd w:val="clear" w:color="auto" w:fill="9ADAF6"/>
          </w:tcPr>
          <w:p>
            <w:pPr>
              <w:jc w:val="center"/>
              <w:spacing w:after="0" w:line="113"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9"/>
                <w:szCs w:val="9"/>
                <w:color w:val="auto"/>
              </w:rPr>
            </w:pPr>
          </w:p>
        </w:tc>
        <w:tc>
          <w:tcPr>
            <w:tcW w:w="960" w:type="dxa"/>
            <w:vAlign w:val="bottom"/>
            <w:shd w:val="clear" w:color="auto" w:fill="9ADAF6"/>
          </w:tcPr>
          <w:p>
            <w:pPr>
              <w:jc w:val="center"/>
              <w:spacing w:after="0" w:line="113" w:lineRule="exact"/>
              <w:rPr>
                <w:sz w:val="20"/>
                <w:szCs w:val="20"/>
                <w:color w:val="auto"/>
              </w:rPr>
            </w:pPr>
            <w:r>
              <w:rPr>
                <w:rFonts w:ascii="Arial" w:cs="Arial" w:eastAsia="Arial" w:hAnsi="Arial"/>
                <w:sz w:val="13"/>
                <w:szCs w:val="13"/>
                <w:b w:val="1"/>
                <w:bCs w:val="1"/>
                <w:color w:val="auto"/>
              </w:rPr>
              <w:t>with Fee</w:t>
            </w:r>
          </w:p>
        </w:tc>
        <w:tc>
          <w:tcPr>
            <w:tcW w:w="20" w:type="dxa"/>
            <w:vAlign w:val="bottom"/>
          </w:tcPr>
          <w:p>
            <w:pPr>
              <w:spacing w:after="0"/>
              <w:rPr>
                <w:sz w:val="9"/>
                <w:szCs w:val="9"/>
                <w:color w:val="auto"/>
              </w:rPr>
            </w:pPr>
          </w:p>
        </w:tc>
        <w:tc>
          <w:tcPr>
            <w:tcW w:w="660" w:type="dxa"/>
            <w:vAlign w:val="bottom"/>
            <w:shd w:val="clear" w:color="auto" w:fill="9ADAF6"/>
          </w:tcPr>
          <w:p>
            <w:pPr>
              <w:jc w:val="center"/>
              <w:spacing w:after="0" w:line="113" w:lineRule="exact"/>
              <w:rPr>
                <w:sz w:val="20"/>
                <w:szCs w:val="20"/>
                <w:color w:val="auto"/>
              </w:rPr>
            </w:pPr>
            <w:r>
              <w:rPr>
                <w:rFonts w:ascii="Arial" w:cs="Arial" w:eastAsia="Arial" w:hAnsi="Arial"/>
                <w:sz w:val="13"/>
                <w:szCs w:val="13"/>
                <w:b w:val="1"/>
                <w:bCs w:val="1"/>
                <w:color w:val="auto"/>
              </w:rPr>
              <w:t>Offset</w:t>
            </w:r>
          </w:p>
        </w:tc>
        <w:tc>
          <w:tcPr>
            <w:tcW w:w="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Claimed</w:t>
            </w:r>
          </w:p>
        </w:tc>
        <w:tc>
          <w:tcPr>
            <w:tcW w:w="40" w:type="dxa"/>
            <w:vAlign w:val="bottom"/>
          </w:tcPr>
          <w:p>
            <w:pPr>
              <w:spacing w:after="0"/>
              <w:rPr>
                <w:sz w:val="16"/>
                <w:szCs w:val="16"/>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Source</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9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18"/>
                <w:szCs w:val="18"/>
                <w:color w:val="auto"/>
              </w:rPr>
            </w:pPr>
          </w:p>
        </w:tc>
        <w:tc>
          <w:tcPr>
            <w:tcW w:w="660" w:type="dxa"/>
            <w:vAlign w:val="bottom"/>
            <w:shd w:val="clear" w:color="auto" w:fill="9ADAF6"/>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20" w:type="dxa"/>
            <w:vAlign w:val="bottom"/>
            <w:gridSpan w:val="7"/>
          </w:tcPr>
          <w:p>
            <w:pPr>
              <w:jc w:val="center"/>
              <w:ind w:left="318"/>
              <w:spacing w:after="0"/>
              <w:rPr>
                <w:sz w:val="20"/>
                <w:szCs w:val="20"/>
                <w:color w:val="auto"/>
              </w:rPr>
            </w:pPr>
            <w:r>
              <w:rPr>
                <w:rFonts w:ascii="Arial" w:cs="Arial" w:eastAsia="Arial" w:hAnsi="Arial"/>
                <w:sz w:val="16"/>
                <w:szCs w:val="16"/>
                <w:b w:val="1"/>
                <w:bCs w:val="1"/>
                <w:color w:val="auto"/>
              </w:rPr>
              <w:t>Rules 457(b) and 0-11(a)(2)</w:t>
            </w: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40" w:type="dxa"/>
            <w:vAlign w:val="bottom"/>
            <w:tcBorders>
              <w:left w:val="single" w:sz="8" w:color="auto"/>
            </w:tcBorders>
          </w:tcPr>
          <w:p>
            <w:pPr>
              <w:spacing w:after="0"/>
              <w:rPr>
                <w:sz w:val="15"/>
                <w:szCs w:val="15"/>
                <w:color w:val="auto"/>
              </w:rPr>
            </w:pPr>
          </w:p>
        </w:tc>
        <w:tc>
          <w:tcPr>
            <w:tcW w:w="980" w:type="dxa"/>
            <w:vAlign w:val="bottom"/>
            <w:shd w:val="clear" w:color="auto" w:fill="E7E7E2"/>
          </w:tcPr>
          <w:p>
            <w:pPr>
              <w:spacing w:after="0" w:line="180" w:lineRule="exact"/>
              <w:rPr>
                <w:sz w:val="20"/>
                <w:szCs w:val="20"/>
                <w:color w:val="auto"/>
              </w:rPr>
            </w:pPr>
            <w:r>
              <w:rPr>
                <w:rFonts w:ascii="Arial" w:cs="Arial" w:eastAsia="Arial" w:hAnsi="Arial"/>
                <w:sz w:val="16"/>
                <w:szCs w:val="16"/>
                <w:color w:val="auto"/>
              </w:rPr>
              <w:t>Fee Offset</w:t>
            </w:r>
          </w:p>
        </w:tc>
        <w:tc>
          <w:tcPr>
            <w:tcW w:w="20" w:type="dxa"/>
            <w:vAlign w:val="bottom"/>
          </w:tcPr>
          <w:p>
            <w:pPr>
              <w:spacing w:after="0"/>
              <w:rPr>
                <w:sz w:val="15"/>
                <w:szCs w:val="15"/>
                <w:color w:val="auto"/>
              </w:rPr>
            </w:pPr>
          </w:p>
        </w:tc>
        <w:tc>
          <w:tcPr>
            <w:tcW w:w="780" w:type="dxa"/>
            <w:vAlign w:val="bottom"/>
            <w:vMerge w:val="restart"/>
            <w:shd w:val="clear" w:color="auto" w:fill="E7E7E2"/>
          </w:tcPr>
          <w:p>
            <w:pPr>
              <w:ind w:left="26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15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5"/>
                <w:szCs w:val="15"/>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N/A</w:t>
            </w:r>
          </w:p>
        </w:tc>
        <w:tc>
          <w:tcPr>
            <w:tcW w:w="4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66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90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90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N/A</w:t>
            </w:r>
          </w:p>
        </w:tc>
        <w:tc>
          <w:tcPr>
            <w:tcW w:w="40" w:type="dxa"/>
            <w:vAlign w:val="bottom"/>
          </w:tcPr>
          <w:p>
            <w:pPr>
              <w:spacing w:after="0"/>
              <w:rPr>
                <w:sz w:val="15"/>
                <w:szCs w:val="15"/>
                <w:color w:val="auto"/>
              </w:rPr>
            </w:pPr>
          </w:p>
        </w:tc>
        <w:tc>
          <w:tcPr>
            <w:tcW w:w="900" w:type="dxa"/>
            <w:vAlign w:val="bottom"/>
            <w:vMerge w:val="restart"/>
            <w:shd w:val="clear" w:color="auto" w:fill="E7E7E2"/>
          </w:tcPr>
          <w:p>
            <w:pPr>
              <w:ind w:left="60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960" w:type="dxa"/>
            <w:vAlign w:val="bottom"/>
            <w:vMerge w:val="restart"/>
            <w:shd w:val="clear" w:color="auto" w:fill="E7E7E2"/>
          </w:tcPr>
          <w:p>
            <w:pPr>
              <w:ind w:left="680"/>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5"/>
                <w:szCs w:val="15"/>
                <w:color w:val="auto"/>
              </w:rPr>
            </w:pPr>
          </w:p>
        </w:tc>
        <w:tc>
          <w:tcPr>
            <w:tcW w:w="660" w:type="dxa"/>
            <w:vAlign w:val="bottom"/>
            <w:vMerge w:val="restart"/>
            <w:shd w:val="clear" w:color="auto" w:fill="E7E7E2"/>
          </w:tcPr>
          <w:p>
            <w:pPr>
              <w:ind w:left="380"/>
              <w:spacing w:after="0"/>
              <w:rPr>
                <w:sz w:val="20"/>
                <w:szCs w:val="20"/>
                <w:color w:val="auto"/>
              </w:rPr>
            </w:pPr>
            <w:r>
              <w:rPr>
                <w:rFonts w:ascii="Arial" w:cs="Arial" w:eastAsia="Arial" w:hAnsi="Arial"/>
                <w:sz w:val="16"/>
                <w:szCs w:val="16"/>
                <w:color w:val="auto"/>
                <w:w w:val="97"/>
              </w:rPr>
              <w:t>N/A</w:t>
            </w: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40" w:type="dxa"/>
            <w:vAlign w:val="bottom"/>
            <w:tcBorders>
              <w:left w:val="single" w:sz="8" w:color="auto"/>
            </w:tcBorders>
          </w:tcPr>
          <w:p>
            <w:pPr>
              <w:spacing w:after="0"/>
              <w:rPr>
                <w:sz w:val="10"/>
                <w:szCs w:val="10"/>
                <w:color w:val="auto"/>
              </w:rPr>
            </w:pPr>
          </w:p>
        </w:tc>
        <w:tc>
          <w:tcPr>
            <w:tcW w:w="9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Claims</w:t>
            </w:r>
          </w:p>
        </w:tc>
        <w:tc>
          <w:tcPr>
            <w:tcW w:w="20" w:type="dxa"/>
            <w:vAlign w:val="bottom"/>
          </w:tcPr>
          <w:p>
            <w:pPr>
              <w:spacing w:after="0"/>
              <w:rPr>
                <w:sz w:val="10"/>
                <w:szCs w:val="10"/>
                <w:color w:val="auto"/>
              </w:rPr>
            </w:pPr>
          </w:p>
        </w:tc>
        <w:tc>
          <w:tcPr>
            <w:tcW w:w="7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5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continue"/>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9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vMerge w:val="continue"/>
            <w:shd w:val="clear" w:color="auto" w:fill="E7E7E2"/>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98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shd w:val="clear" w:color="auto" w:fill="E7E7E2"/>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E7E7E2"/>
          </w:tcPr>
          <w:p>
            <w:pPr>
              <w:spacing w:after="0"/>
              <w:rPr>
                <w:sz w:val="7"/>
                <w:szCs w:val="7"/>
                <w:color w:val="auto"/>
              </w:rPr>
            </w:pPr>
          </w:p>
        </w:tc>
        <w:tc>
          <w:tcPr>
            <w:tcW w:w="40" w:type="dxa"/>
            <w:vAlign w:val="bottom"/>
          </w:tcPr>
          <w:p>
            <w:pPr>
              <w:spacing w:after="0"/>
              <w:rPr>
                <w:sz w:val="7"/>
                <w:szCs w:val="7"/>
                <w:color w:val="auto"/>
              </w:rPr>
            </w:pPr>
          </w:p>
        </w:tc>
        <w:tc>
          <w:tcPr>
            <w:tcW w:w="9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0" w:type="dxa"/>
            <w:vAlign w:val="bottom"/>
            <w:tcBorders>
              <w:left w:val="single" w:sz="8" w:color="auto"/>
            </w:tcBorders>
          </w:tcPr>
          <w:p>
            <w:pPr>
              <w:spacing w:after="0"/>
              <w:rPr>
                <w:sz w:val="15"/>
                <w:szCs w:val="15"/>
                <w:color w:val="auto"/>
              </w:rPr>
            </w:pPr>
          </w:p>
        </w:tc>
        <w:tc>
          <w:tcPr>
            <w:tcW w:w="980" w:type="dxa"/>
            <w:vAlign w:val="bottom"/>
            <w:shd w:val="clear" w:color="auto" w:fill="E7E7E2"/>
          </w:tcPr>
          <w:p>
            <w:pPr>
              <w:spacing w:after="0" w:line="174" w:lineRule="exact"/>
              <w:rPr>
                <w:sz w:val="20"/>
                <w:szCs w:val="20"/>
                <w:color w:val="auto"/>
              </w:rPr>
            </w:pPr>
            <w:r>
              <w:rPr>
                <w:rFonts w:ascii="Arial" w:cs="Arial" w:eastAsia="Arial" w:hAnsi="Arial"/>
                <w:sz w:val="16"/>
                <w:szCs w:val="16"/>
                <w:color w:val="auto"/>
              </w:rPr>
              <w:t>Fee Offset</w:t>
            </w:r>
          </w:p>
        </w:tc>
        <w:tc>
          <w:tcPr>
            <w:tcW w:w="20" w:type="dxa"/>
            <w:vAlign w:val="bottom"/>
          </w:tcPr>
          <w:p>
            <w:pPr>
              <w:spacing w:after="0"/>
              <w:rPr>
                <w:sz w:val="15"/>
                <w:szCs w:val="15"/>
                <w:color w:val="auto"/>
              </w:rPr>
            </w:pPr>
          </w:p>
        </w:tc>
        <w:tc>
          <w:tcPr>
            <w:tcW w:w="780" w:type="dxa"/>
            <w:vAlign w:val="bottom"/>
            <w:vMerge w:val="restart"/>
            <w:shd w:val="clear" w:color="auto" w:fill="E7E7E2"/>
          </w:tcPr>
          <w:p>
            <w:pPr>
              <w:ind w:left="26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15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5"/>
                <w:szCs w:val="15"/>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N/A</w:t>
            </w:r>
          </w:p>
        </w:tc>
        <w:tc>
          <w:tcPr>
            <w:tcW w:w="4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66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90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90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N/A</w:t>
            </w:r>
          </w:p>
        </w:tc>
        <w:tc>
          <w:tcPr>
            <w:tcW w:w="40" w:type="dxa"/>
            <w:vAlign w:val="bottom"/>
          </w:tcPr>
          <w:p>
            <w:pPr>
              <w:spacing w:after="0"/>
              <w:rPr>
                <w:sz w:val="15"/>
                <w:szCs w:val="15"/>
                <w:color w:val="auto"/>
              </w:rPr>
            </w:pPr>
          </w:p>
        </w:tc>
        <w:tc>
          <w:tcPr>
            <w:tcW w:w="900" w:type="dxa"/>
            <w:vAlign w:val="bottom"/>
            <w:vMerge w:val="restart"/>
            <w:shd w:val="clear" w:color="auto" w:fill="E7E7E2"/>
          </w:tcPr>
          <w:p>
            <w:pPr>
              <w:ind w:left="60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960" w:type="dxa"/>
            <w:vAlign w:val="bottom"/>
            <w:vMerge w:val="restart"/>
            <w:shd w:val="clear" w:color="auto" w:fill="E7E7E2"/>
          </w:tcPr>
          <w:p>
            <w:pPr>
              <w:ind w:left="680"/>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5"/>
                <w:szCs w:val="15"/>
                <w:color w:val="auto"/>
              </w:rPr>
            </w:pPr>
          </w:p>
        </w:tc>
        <w:tc>
          <w:tcPr>
            <w:tcW w:w="660" w:type="dxa"/>
            <w:vAlign w:val="bottom"/>
            <w:vMerge w:val="restart"/>
            <w:shd w:val="clear" w:color="auto" w:fill="E7E7E2"/>
          </w:tcPr>
          <w:p>
            <w:pPr>
              <w:ind w:left="380"/>
              <w:spacing w:after="0"/>
              <w:rPr>
                <w:sz w:val="20"/>
                <w:szCs w:val="20"/>
                <w:color w:val="auto"/>
              </w:rPr>
            </w:pPr>
            <w:r>
              <w:rPr>
                <w:rFonts w:ascii="Arial" w:cs="Arial" w:eastAsia="Arial" w:hAnsi="Arial"/>
                <w:sz w:val="16"/>
                <w:szCs w:val="16"/>
                <w:color w:val="auto"/>
                <w:w w:val="97"/>
              </w:rPr>
              <w:t>N/A</w:t>
            </w: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40" w:type="dxa"/>
            <w:vAlign w:val="bottom"/>
            <w:tcBorders>
              <w:left w:val="single" w:sz="8" w:color="auto"/>
            </w:tcBorders>
          </w:tcPr>
          <w:p>
            <w:pPr>
              <w:spacing w:after="0"/>
              <w:rPr>
                <w:sz w:val="10"/>
                <w:szCs w:val="10"/>
                <w:color w:val="auto"/>
              </w:rPr>
            </w:pPr>
          </w:p>
        </w:tc>
        <w:tc>
          <w:tcPr>
            <w:tcW w:w="9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Sources</w:t>
            </w:r>
          </w:p>
        </w:tc>
        <w:tc>
          <w:tcPr>
            <w:tcW w:w="20" w:type="dxa"/>
            <w:vAlign w:val="bottom"/>
          </w:tcPr>
          <w:p>
            <w:pPr>
              <w:spacing w:after="0"/>
              <w:rPr>
                <w:sz w:val="10"/>
                <w:szCs w:val="10"/>
                <w:color w:val="auto"/>
              </w:rPr>
            </w:pPr>
          </w:p>
        </w:tc>
        <w:tc>
          <w:tcPr>
            <w:tcW w:w="7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5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continue"/>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9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vMerge w:val="continue"/>
            <w:shd w:val="clear" w:color="auto" w:fill="E7E7E2"/>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98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shd w:val="clear" w:color="auto" w:fill="E7E7E2"/>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E7E7E2"/>
          </w:tcPr>
          <w:p>
            <w:pPr>
              <w:spacing w:after="0"/>
              <w:rPr>
                <w:sz w:val="7"/>
                <w:szCs w:val="7"/>
                <w:color w:val="auto"/>
              </w:rPr>
            </w:pPr>
          </w:p>
        </w:tc>
        <w:tc>
          <w:tcPr>
            <w:tcW w:w="40" w:type="dxa"/>
            <w:vAlign w:val="bottom"/>
          </w:tcPr>
          <w:p>
            <w:pPr>
              <w:spacing w:after="0"/>
              <w:rPr>
                <w:sz w:val="7"/>
                <w:szCs w:val="7"/>
                <w:color w:val="auto"/>
              </w:rPr>
            </w:pPr>
          </w:p>
        </w:tc>
        <w:tc>
          <w:tcPr>
            <w:tcW w:w="9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gridSpan w:val="3"/>
          </w:tcPr>
          <w:p>
            <w:pPr>
              <w:jc w:val="center"/>
              <w:ind w:left="238"/>
              <w:spacing w:after="0"/>
              <w:rPr>
                <w:sz w:val="20"/>
                <w:szCs w:val="20"/>
                <w:color w:val="auto"/>
              </w:rPr>
            </w:pPr>
            <w:r>
              <w:rPr>
                <w:rFonts w:ascii="Arial" w:cs="Arial" w:eastAsia="Arial" w:hAnsi="Arial"/>
                <w:sz w:val="16"/>
                <w:szCs w:val="16"/>
                <w:b w:val="1"/>
                <w:bCs w:val="1"/>
                <w:color w:val="auto"/>
              </w:rPr>
              <w:t>Rule 457(p)</w:t>
            </w: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40" w:type="dxa"/>
            <w:vAlign w:val="bottom"/>
            <w:tcBorders>
              <w:left w:val="single" w:sz="8" w:color="auto"/>
            </w:tcBorders>
          </w:tcPr>
          <w:p>
            <w:pPr>
              <w:spacing w:after="0"/>
              <w:rPr>
                <w:sz w:val="15"/>
                <w:szCs w:val="15"/>
                <w:color w:val="auto"/>
              </w:rPr>
            </w:pPr>
          </w:p>
        </w:tc>
        <w:tc>
          <w:tcPr>
            <w:tcW w:w="980" w:type="dxa"/>
            <w:vAlign w:val="bottom"/>
            <w:shd w:val="clear" w:color="auto" w:fill="E7E7E2"/>
          </w:tcPr>
          <w:p>
            <w:pPr>
              <w:spacing w:after="0" w:line="180" w:lineRule="exact"/>
              <w:rPr>
                <w:sz w:val="20"/>
                <w:szCs w:val="20"/>
                <w:color w:val="auto"/>
              </w:rPr>
            </w:pPr>
            <w:r>
              <w:rPr>
                <w:rFonts w:ascii="Arial" w:cs="Arial" w:eastAsia="Arial" w:hAnsi="Arial"/>
                <w:sz w:val="16"/>
                <w:szCs w:val="16"/>
                <w:color w:val="auto"/>
              </w:rPr>
              <w:t>Fee Offset</w:t>
            </w:r>
          </w:p>
        </w:tc>
        <w:tc>
          <w:tcPr>
            <w:tcW w:w="20" w:type="dxa"/>
            <w:vAlign w:val="bottom"/>
          </w:tcPr>
          <w:p>
            <w:pPr>
              <w:spacing w:after="0"/>
              <w:rPr>
                <w:sz w:val="15"/>
                <w:szCs w:val="15"/>
                <w:color w:val="auto"/>
              </w:rPr>
            </w:pPr>
          </w:p>
        </w:tc>
        <w:tc>
          <w:tcPr>
            <w:tcW w:w="780" w:type="dxa"/>
            <w:vAlign w:val="bottom"/>
            <w:vMerge w:val="restart"/>
            <w:shd w:val="clear" w:color="auto" w:fill="E7E7E2"/>
          </w:tcPr>
          <w:p>
            <w:pPr>
              <w:ind w:left="26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15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5"/>
                <w:szCs w:val="15"/>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N/A</w:t>
            </w:r>
          </w:p>
        </w:tc>
        <w:tc>
          <w:tcPr>
            <w:tcW w:w="4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66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90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90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N/A</w:t>
            </w:r>
          </w:p>
        </w:tc>
        <w:tc>
          <w:tcPr>
            <w:tcW w:w="40" w:type="dxa"/>
            <w:vAlign w:val="bottom"/>
          </w:tcPr>
          <w:p>
            <w:pPr>
              <w:spacing w:after="0"/>
              <w:rPr>
                <w:sz w:val="15"/>
                <w:szCs w:val="15"/>
                <w:color w:val="auto"/>
              </w:rPr>
            </w:pPr>
          </w:p>
        </w:tc>
        <w:tc>
          <w:tcPr>
            <w:tcW w:w="900" w:type="dxa"/>
            <w:vAlign w:val="bottom"/>
            <w:vMerge w:val="restart"/>
            <w:shd w:val="clear" w:color="auto" w:fill="E7E7E2"/>
          </w:tcPr>
          <w:p>
            <w:pPr>
              <w:ind w:left="60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960" w:type="dxa"/>
            <w:vAlign w:val="bottom"/>
            <w:vMerge w:val="restart"/>
            <w:shd w:val="clear" w:color="auto" w:fill="E7E7E2"/>
          </w:tcPr>
          <w:p>
            <w:pPr>
              <w:ind w:left="680"/>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5"/>
                <w:szCs w:val="15"/>
                <w:color w:val="auto"/>
              </w:rPr>
            </w:pPr>
          </w:p>
        </w:tc>
        <w:tc>
          <w:tcPr>
            <w:tcW w:w="660" w:type="dxa"/>
            <w:vAlign w:val="bottom"/>
            <w:vMerge w:val="restart"/>
            <w:shd w:val="clear" w:color="auto" w:fill="E7E7E2"/>
          </w:tcPr>
          <w:p>
            <w:pPr>
              <w:ind w:left="380"/>
              <w:spacing w:after="0"/>
              <w:rPr>
                <w:sz w:val="20"/>
                <w:szCs w:val="20"/>
                <w:color w:val="auto"/>
              </w:rPr>
            </w:pPr>
            <w:r>
              <w:rPr>
                <w:rFonts w:ascii="Arial" w:cs="Arial" w:eastAsia="Arial" w:hAnsi="Arial"/>
                <w:sz w:val="16"/>
                <w:szCs w:val="16"/>
                <w:color w:val="auto"/>
                <w:w w:val="97"/>
              </w:rPr>
              <w:t>N/A</w:t>
            </w: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40" w:type="dxa"/>
            <w:vAlign w:val="bottom"/>
            <w:tcBorders>
              <w:left w:val="single" w:sz="8" w:color="auto"/>
            </w:tcBorders>
          </w:tcPr>
          <w:p>
            <w:pPr>
              <w:spacing w:after="0"/>
              <w:rPr>
                <w:sz w:val="10"/>
                <w:szCs w:val="10"/>
                <w:color w:val="auto"/>
              </w:rPr>
            </w:pPr>
          </w:p>
        </w:tc>
        <w:tc>
          <w:tcPr>
            <w:tcW w:w="9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Claims</w:t>
            </w:r>
          </w:p>
        </w:tc>
        <w:tc>
          <w:tcPr>
            <w:tcW w:w="20" w:type="dxa"/>
            <w:vAlign w:val="bottom"/>
          </w:tcPr>
          <w:p>
            <w:pPr>
              <w:spacing w:after="0"/>
              <w:rPr>
                <w:sz w:val="10"/>
                <w:szCs w:val="10"/>
                <w:color w:val="auto"/>
              </w:rPr>
            </w:pPr>
          </w:p>
        </w:tc>
        <w:tc>
          <w:tcPr>
            <w:tcW w:w="7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5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continue"/>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9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vMerge w:val="continue"/>
            <w:shd w:val="clear" w:color="auto" w:fill="E7E7E2"/>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98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shd w:val="clear" w:color="auto" w:fill="E7E7E2"/>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E7E7E2"/>
          </w:tcPr>
          <w:p>
            <w:pPr>
              <w:spacing w:after="0"/>
              <w:rPr>
                <w:sz w:val="7"/>
                <w:szCs w:val="7"/>
                <w:color w:val="auto"/>
              </w:rPr>
            </w:pPr>
          </w:p>
        </w:tc>
        <w:tc>
          <w:tcPr>
            <w:tcW w:w="40" w:type="dxa"/>
            <w:vAlign w:val="bottom"/>
          </w:tcPr>
          <w:p>
            <w:pPr>
              <w:spacing w:after="0"/>
              <w:rPr>
                <w:sz w:val="7"/>
                <w:szCs w:val="7"/>
                <w:color w:val="auto"/>
              </w:rPr>
            </w:pPr>
          </w:p>
        </w:tc>
        <w:tc>
          <w:tcPr>
            <w:tcW w:w="9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0" w:type="dxa"/>
            <w:vAlign w:val="bottom"/>
            <w:tcBorders>
              <w:left w:val="single" w:sz="8" w:color="auto"/>
            </w:tcBorders>
          </w:tcPr>
          <w:p>
            <w:pPr>
              <w:spacing w:after="0"/>
              <w:rPr>
                <w:sz w:val="15"/>
                <w:szCs w:val="15"/>
                <w:color w:val="auto"/>
              </w:rPr>
            </w:pPr>
          </w:p>
        </w:tc>
        <w:tc>
          <w:tcPr>
            <w:tcW w:w="980" w:type="dxa"/>
            <w:vAlign w:val="bottom"/>
            <w:shd w:val="clear" w:color="auto" w:fill="E7E7E2"/>
          </w:tcPr>
          <w:p>
            <w:pPr>
              <w:spacing w:after="0" w:line="174" w:lineRule="exact"/>
              <w:rPr>
                <w:sz w:val="20"/>
                <w:szCs w:val="20"/>
                <w:color w:val="auto"/>
              </w:rPr>
            </w:pPr>
            <w:r>
              <w:rPr>
                <w:rFonts w:ascii="Arial" w:cs="Arial" w:eastAsia="Arial" w:hAnsi="Arial"/>
                <w:sz w:val="16"/>
                <w:szCs w:val="16"/>
                <w:color w:val="auto"/>
              </w:rPr>
              <w:t>Fee Offset</w:t>
            </w:r>
          </w:p>
        </w:tc>
        <w:tc>
          <w:tcPr>
            <w:tcW w:w="20" w:type="dxa"/>
            <w:vAlign w:val="bottom"/>
          </w:tcPr>
          <w:p>
            <w:pPr>
              <w:spacing w:after="0"/>
              <w:rPr>
                <w:sz w:val="15"/>
                <w:szCs w:val="15"/>
                <w:color w:val="auto"/>
              </w:rPr>
            </w:pPr>
          </w:p>
        </w:tc>
        <w:tc>
          <w:tcPr>
            <w:tcW w:w="780" w:type="dxa"/>
            <w:vAlign w:val="bottom"/>
            <w:vMerge w:val="restart"/>
            <w:shd w:val="clear" w:color="auto" w:fill="E7E7E2"/>
          </w:tcPr>
          <w:p>
            <w:pPr>
              <w:ind w:left="26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15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5"/>
                <w:szCs w:val="15"/>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N/A</w:t>
            </w:r>
          </w:p>
        </w:tc>
        <w:tc>
          <w:tcPr>
            <w:tcW w:w="4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66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90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90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N/A</w:t>
            </w:r>
          </w:p>
        </w:tc>
        <w:tc>
          <w:tcPr>
            <w:tcW w:w="40" w:type="dxa"/>
            <w:vAlign w:val="bottom"/>
          </w:tcPr>
          <w:p>
            <w:pPr>
              <w:spacing w:after="0"/>
              <w:rPr>
                <w:sz w:val="15"/>
                <w:szCs w:val="15"/>
                <w:color w:val="auto"/>
              </w:rPr>
            </w:pPr>
          </w:p>
        </w:tc>
        <w:tc>
          <w:tcPr>
            <w:tcW w:w="900" w:type="dxa"/>
            <w:vAlign w:val="bottom"/>
            <w:vMerge w:val="restart"/>
            <w:shd w:val="clear" w:color="auto" w:fill="E7E7E2"/>
          </w:tcPr>
          <w:p>
            <w:pPr>
              <w:ind w:left="60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960" w:type="dxa"/>
            <w:vAlign w:val="bottom"/>
            <w:vMerge w:val="restart"/>
            <w:shd w:val="clear" w:color="auto" w:fill="E7E7E2"/>
          </w:tcPr>
          <w:p>
            <w:pPr>
              <w:ind w:left="680"/>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5"/>
                <w:szCs w:val="15"/>
                <w:color w:val="auto"/>
              </w:rPr>
            </w:pPr>
          </w:p>
        </w:tc>
        <w:tc>
          <w:tcPr>
            <w:tcW w:w="660" w:type="dxa"/>
            <w:vAlign w:val="bottom"/>
            <w:vMerge w:val="restart"/>
            <w:shd w:val="clear" w:color="auto" w:fill="E7E7E2"/>
          </w:tcPr>
          <w:p>
            <w:pPr>
              <w:ind w:left="380"/>
              <w:spacing w:after="0"/>
              <w:rPr>
                <w:sz w:val="20"/>
                <w:szCs w:val="20"/>
                <w:color w:val="auto"/>
              </w:rPr>
            </w:pPr>
            <w:r>
              <w:rPr>
                <w:rFonts w:ascii="Arial" w:cs="Arial" w:eastAsia="Arial" w:hAnsi="Arial"/>
                <w:sz w:val="16"/>
                <w:szCs w:val="16"/>
                <w:color w:val="auto"/>
                <w:w w:val="97"/>
              </w:rPr>
              <w:t>N/A</w:t>
            </w: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40" w:type="dxa"/>
            <w:vAlign w:val="bottom"/>
            <w:tcBorders>
              <w:left w:val="single" w:sz="8" w:color="auto"/>
            </w:tcBorders>
          </w:tcPr>
          <w:p>
            <w:pPr>
              <w:spacing w:after="0"/>
              <w:rPr>
                <w:sz w:val="10"/>
                <w:szCs w:val="10"/>
                <w:color w:val="auto"/>
              </w:rPr>
            </w:pPr>
          </w:p>
        </w:tc>
        <w:tc>
          <w:tcPr>
            <w:tcW w:w="9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Sources</w:t>
            </w:r>
          </w:p>
        </w:tc>
        <w:tc>
          <w:tcPr>
            <w:tcW w:w="20" w:type="dxa"/>
            <w:vAlign w:val="bottom"/>
          </w:tcPr>
          <w:p>
            <w:pPr>
              <w:spacing w:after="0"/>
              <w:rPr>
                <w:sz w:val="10"/>
                <w:szCs w:val="10"/>
                <w:color w:val="auto"/>
              </w:rPr>
            </w:pPr>
          </w:p>
        </w:tc>
        <w:tc>
          <w:tcPr>
            <w:tcW w:w="7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5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continue"/>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9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vMerge w:val="continue"/>
            <w:shd w:val="clear" w:color="auto" w:fill="E7E7E2"/>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98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shd w:val="clear" w:color="auto" w:fill="E7E7E2"/>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E7E7E2"/>
          </w:tcPr>
          <w:p>
            <w:pPr>
              <w:spacing w:after="0"/>
              <w:rPr>
                <w:sz w:val="7"/>
                <w:szCs w:val="7"/>
                <w:color w:val="auto"/>
              </w:rPr>
            </w:pPr>
          </w:p>
        </w:tc>
        <w:tc>
          <w:tcPr>
            <w:tcW w:w="40" w:type="dxa"/>
            <w:vAlign w:val="bottom"/>
          </w:tcPr>
          <w:p>
            <w:pPr>
              <w:spacing w:after="0"/>
              <w:rPr>
                <w:sz w:val="7"/>
                <w:szCs w:val="7"/>
                <w:color w:val="auto"/>
              </w:rPr>
            </w:pPr>
          </w:p>
        </w:tc>
        <w:tc>
          <w:tcPr>
            <w:tcW w:w="9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sectPr>
          <w:pgSz w:w="11900" w:h="16860" w:orient="portrait"/>
          <w:cols w:equalWidth="0" w:num="1">
            <w:col w:w="11360"/>
          </w:cols>
          <w:pgMar w:left="300" w:top="141" w:right="239" w:bottom="0" w:gutter="0" w:footer="0" w:header="0"/>
        </w:sectPr>
      </w:pPr>
    </w:p>
    <w:p>
      <w:pPr>
        <w:ind w:left="40"/>
        <w:spacing w:after="0" w:line="184" w:lineRule="exact"/>
        <w:tabs>
          <w:tab w:leader="none" w:pos="9940" w:val="left"/>
        </w:tabs>
        <w:rPr>
          <w:sz w:val="20"/>
          <w:szCs w:val="20"/>
          <w:color w:val="auto"/>
        </w:rPr>
      </w:pPr>
      <w:r>
        <w:rPr>
          <w:rFonts w:ascii="Arial" w:cs="Arial" w:eastAsia="Arial" w:hAnsi="Arial"/>
          <w:sz w:val="16"/>
          <w:szCs w:val="16"/>
          <w:b w:val="1"/>
          <w:bCs w:val="1"/>
          <w:color w:val="auto"/>
        </w:rPr>
        <w:t>Table 3: Combined Prospectuses</w:t>
      </w:r>
      <w:r>
        <w:rPr>
          <w:sz w:val="20"/>
          <w:szCs w:val="20"/>
          <w:color w:val="auto"/>
        </w:rPr>
        <w:tab/>
      </w: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Not Applicable</w:t>
      </w:r>
    </w:p>
    <w:p>
      <w:pPr>
        <w:sectPr>
          <w:pgSz w:w="11900" w:h="16860" w:orient="portrait"/>
          <w:cols w:equalWidth="0" w:num="1">
            <w:col w:w="11360"/>
          </w:cols>
          <w:pgMar w:left="300" w:top="141" w:right="239" w:bottom="0" w:gutter="0" w:footer="0" w:header="0"/>
          <w:type w:val="continuous"/>
        </w:sectPr>
      </w:pPr>
    </w:p>
    <w:bookmarkStart w:id="74" w:name="page75"/>
    <w:bookmarkEnd w:id="74"/>
    <w:tbl>
      <w:tblPr>
        <w:tblLayout w:type="fixed"/>
        <w:tblInd w:w="1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4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8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240" w:type="dxa"/>
            <w:vAlign w:val="bottom"/>
            <w:tcBorders>
              <w:top w:val="single" w:sz="8" w:color="auto"/>
            </w:tcBorders>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0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6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0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0"/>
        </w:trPr>
        <w:tc>
          <w:tcPr>
            <w:tcW w:w="40" w:type="dxa"/>
            <w:vAlign w:val="bottom"/>
            <w:tcBorders>
              <w:left w:val="single" w:sz="8" w:color="auto"/>
            </w:tcBorders>
          </w:tcPr>
          <w:p>
            <w:pPr>
              <w:spacing w:after="0"/>
              <w:rPr>
                <w:sz w:val="14"/>
                <w:szCs w:val="14"/>
                <w:color w:val="auto"/>
              </w:rPr>
            </w:pPr>
          </w:p>
        </w:tc>
        <w:tc>
          <w:tcPr>
            <w:tcW w:w="4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2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shd w:val="clear" w:color="auto" w:fill="9ADAF6"/>
          </w:tcPr>
          <w:p>
            <w:pPr>
              <w:ind w:left="360"/>
              <w:spacing w:after="0" w:line="170" w:lineRule="exact"/>
              <w:rPr>
                <w:sz w:val="20"/>
                <w:szCs w:val="20"/>
                <w:color w:val="auto"/>
              </w:rPr>
            </w:pPr>
            <w:r>
              <w:rPr>
                <w:rFonts w:ascii="Arial" w:cs="Arial" w:eastAsia="Arial" w:hAnsi="Arial"/>
                <w:sz w:val="16"/>
                <w:szCs w:val="16"/>
                <w:b w:val="1"/>
                <w:bCs w:val="1"/>
                <w:color w:val="auto"/>
              </w:rPr>
              <w:t>Amount of</w:t>
            </w:r>
          </w:p>
        </w:tc>
        <w:tc>
          <w:tcPr>
            <w:tcW w:w="3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2020" w:type="dxa"/>
            <w:vAlign w:val="bottom"/>
            <w:shd w:val="clear" w:color="auto" w:fill="9ADAF6"/>
          </w:tcPr>
          <w:p>
            <w:pPr>
              <w:jc w:val="center"/>
              <w:spacing w:after="0" w:line="170" w:lineRule="exact"/>
              <w:rPr>
                <w:sz w:val="20"/>
                <w:szCs w:val="20"/>
                <w:color w:val="auto"/>
              </w:rPr>
            </w:pPr>
            <w:r>
              <w:rPr>
                <w:rFonts w:ascii="Arial" w:cs="Arial" w:eastAsia="Arial" w:hAnsi="Arial"/>
                <w:sz w:val="16"/>
                <w:szCs w:val="16"/>
                <w:b w:val="1"/>
                <w:bCs w:val="1"/>
                <w:color w:val="auto"/>
              </w:rPr>
              <w:t>Maximum Aggregate</w:t>
            </w:r>
          </w:p>
        </w:tc>
        <w:tc>
          <w:tcPr>
            <w:tcW w:w="20" w:type="dxa"/>
            <w:vAlign w:val="bottom"/>
          </w:tcPr>
          <w:p>
            <w:pPr>
              <w:spacing w:after="0"/>
              <w:rPr>
                <w:sz w:val="14"/>
                <w:szCs w:val="14"/>
                <w:color w:val="auto"/>
              </w:rPr>
            </w:pPr>
          </w:p>
        </w:tc>
        <w:tc>
          <w:tcPr>
            <w:tcW w:w="6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Initial</w:t>
            </w: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8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vMerge w:val="restart"/>
            <w:shd w:val="clear" w:color="auto" w:fill="9ADAF6"/>
          </w:tcPr>
          <w:p>
            <w:pPr>
              <w:ind w:left="380"/>
              <w:spacing w:after="0"/>
              <w:rPr>
                <w:sz w:val="20"/>
                <w:szCs w:val="20"/>
                <w:color w:val="auto"/>
              </w:rPr>
            </w:pPr>
            <w:r>
              <w:rPr>
                <w:rFonts w:ascii="Arial" w:cs="Arial" w:eastAsia="Arial" w:hAnsi="Arial"/>
                <w:sz w:val="16"/>
                <w:szCs w:val="16"/>
                <w:b w:val="1"/>
                <w:bCs w:val="1"/>
                <w:color w:val="auto"/>
              </w:rPr>
              <w:t>Securities</w:t>
            </w: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Offering Price of</w:t>
            </w:r>
          </w:p>
        </w:tc>
        <w:tc>
          <w:tcPr>
            <w:tcW w:w="20" w:type="dxa"/>
            <w:vAlign w:val="bottom"/>
          </w:tcPr>
          <w:p>
            <w:pPr>
              <w:spacing w:after="0"/>
              <w:rPr>
                <w:sz w:val="8"/>
                <w:szCs w:val="8"/>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Form</w:t>
            </w:r>
          </w:p>
        </w:tc>
        <w:tc>
          <w:tcPr>
            <w:tcW w:w="20" w:type="dxa"/>
            <w:vAlign w:val="bottom"/>
          </w:tcPr>
          <w:p>
            <w:pPr>
              <w:spacing w:after="0"/>
              <w:rPr>
                <w:sz w:val="8"/>
                <w:szCs w:val="8"/>
                <w:color w:val="auto"/>
              </w:rPr>
            </w:pPr>
          </w:p>
        </w:tc>
        <w:tc>
          <w:tcPr>
            <w:tcW w:w="1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vMerge w:val="continue"/>
            <w:shd w:val="clear" w:color="auto" w:fill="9ADAF6"/>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vMerge w:val="restart"/>
            <w:shd w:val="clear" w:color="auto" w:fill="9ADAF6"/>
          </w:tcPr>
          <w:p>
            <w:pPr>
              <w:ind w:left="240"/>
              <w:spacing w:after="0"/>
              <w:rPr>
                <w:sz w:val="20"/>
                <w:szCs w:val="20"/>
                <w:color w:val="auto"/>
              </w:rPr>
            </w:pPr>
            <w:r>
              <w:rPr>
                <w:rFonts w:ascii="Arial" w:cs="Arial" w:eastAsia="Arial" w:hAnsi="Arial"/>
                <w:sz w:val="16"/>
                <w:szCs w:val="16"/>
                <w:b w:val="1"/>
                <w:bCs w:val="1"/>
                <w:color w:val="auto"/>
              </w:rPr>
              <w:t>Security Type</w:t>
            </w:r>
          </w:p>
        </w:tc>
        <w:tc>
          <w:tcPr>
            <w:tcW w:w="20" w:type="dxa"/>
            <w:vAlign w:val="bottom"/>
          </w:tcPr>
          <w:p>
            <w:pPr>
              <w:spacing w:after="0"/>
              <w:rPr>
                <w:sz w:val="8"/>
                <w:szCs w:val="8"/>
                <w:color w:val="auto"/>
              </w:rPr>
            </w:pPr>
          </w:p>
        </w:tc>
        <w:tc>
          <w:tcPr>
            <w:tcW w:w="2800" w:type="dxa"/>
            <w:vAlign w:val="bottom"/>
            <w:vMerge w:val="restart"/>
            <w:shd w:val="clear" w:color="auto" w:fill="9ADAF6"/>
          </w:tcPr>
          <w:p>
            <w:pPr>
              <w:ind w:left="640"/>
              <w:spacing w:after="0"/>
              <w:rPr>
                <w:sz w:val="20"/>
                <w:szCs w:val="20"/>
                <w:color w:val="auto"/>
              </w:rPr>
            </w:pPr>
            <w:r>
              <w:rPr>
                <w:rFonts w:ascii="Arial" w:cs="Arial" w:eastAsia="Arial" w:hAnsi="Arial"/>
                <w:sz w:val="16"/>
                <w:szCs w:val="16"/>
                <w:b w:val="1"/>
                <w:bCs w:val="1"/>
                <w:color w:val="auto"/>
              </w:rPr>
              <w:t>Security Class Title</w:t>
            </w:r>
          </w:p>
        </w:tc>
        <w:tc>
          <w:tcPr>
            <w:tcW w:w="20" w:type="dxa"/>
            <w:vAlign w:val="bottom"/>
          </w:tcPr>
          <w:p>
            <w:pPr>
              <w:spacing w:after="0"/>
              <w:rPr>
                <w:sz w:val="8"/>
                <w:szCs w:val="8"/>
                <w:color w:val="auto"/>
              </w:rPr>
            </w:pPr>
          </w:p>
        </w:tc>
        <w:tc>
          <w:tcPr>
            <w:tcW w:w="1240" w:type="dxa"/>
            <w:vAlign w:val="bottom"/>
            <w:vMerge w:val="continue"/>
            <w:shd w:val="clear" w:color="auto" w:fill="9ADAF6"/>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File Number</w:t>
            </w:r>
          </w:p>
        </w:tc>
        <w:tc>
          <w:tcPr>
            <w:tcW w:w="20" w:type="dxa"/>
            <w:vAlign w:val="bottom"/>
          </w:tcPr>
          <w:p>
            <w:pPr>
              <w:spacing w:after="0"/>
              <w:rPr>
                <w:sz w:val="8"/>
                <w:szCs w:val="8"/>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Effective</w:t>
            </w: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8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vMerge w:val="restart"/>
            <w:shd w:val="clear" w:color="auto" w:fill="9ADAF6"/>
          </w:tcPr>
          <w:p>
            <w:pPr>
              <w:ind w:left="360"/>
              <w:spacing w:after="0"/>
              <w:rPr>
                <w:sz w:val="20"/>
                <w:szCs w:val="20"/>
                <w:color w:val="auto"/>
              </w:rPr>
            </w:pPr>
            <w:r>
              <w:rPr>
                <w:rFonts w:ascii="Arial" w:cs="Arial" w:eastAsia="Arial" w:hAnsi="Arial"/>
                <w:sz w:val="16"/>
                <w:szCs w:val="16"/>
                <w:b w:val="1"/>
                <w:bCs w:val="1"/>
                <w:color w:val="auto"/>
              </w:rPr>
              <w:t>Previously</w:t>
            </w: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Securities Previously</w:t>
            </w:r>
          </w:p>
        </w:tc>
        <w:tc>
          <w:tcPr>
            <w:tcW w:w="20" w:type="dxa"/>
            <w:vAlign w:val="bottom"/>
          </w:tcPr>
          <w:p>
            <w:pPr>
              <w:spacing w:after="0"/>
              <w:rPr>
                <w:sz w:val="8"/>
                <w:szCs w:val="8"/>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6"/>
              </w:rPr>
              <w:t>Type</w:t>
            </w:r>
          </w:p>
        </w:tc>
        <w:tc>
          <w:tcPr>
            <w:tcW w:w="20" w:type="dxa"/>
            <w:vAlign w:val="bottom"/>
          </w:tcPr>
          <w:p>
            <w:pPr>
              <w:spacing w:after="0"/>
              <w:rPr>
                <w:sz w:val="8"/>
                <w:szCs w:val="8"/>
                <w:color w:val="auto"/>
              </w:rPr>
            </w:pPr>
          </w:p>
        </w:tc>
        <w:tc>
          <w:tcPr>
            <w:tcW w:w="11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vMerge w:val="continue"/>
            <w:shd w:val="clear" w:color="auto" w:fill="9ADAF6"/>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8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vMerge w:val="continue"/>
            <w:shd w:val="clear" w:color="auto" w:fill="9ADAF6"/>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Date</w:t>
            </w: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8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vMerge w:val="restart"/>
            <w:shd w:val="clear" w:color="auto" w:fill="9ADAF6"/>
          </w:tcPr>
          <w:p>
            <w:pPr>
              <w:ind w:left="360"/>
              <w:spacing w:after="0"/>
              <w:rPr>
                <w:sz w:val="20"/>
                <w:szCs w:val="20"/>
                <w:color w:val="auto"/>
              </w:rPr>
            </w:pPr>
            <w:r>
              <w:rPr>
                <w:rFonts w:ascii="Arial" w:cs="Arial" w:eastAsia="Arial" w:hAnsi="Arial"/>
                <w:sz w:val="16"/>
                <w:szCs w:val="16"/>
                <w:b w:val="1"/>
                <w:bCs w:val="1"/>
                <w:color w:val="auto"/>
              </w:rPr>
              <w:t>Registered</w:t>
            </w:r>
          </w:p>
        </w:tc>
        <w:tc>
          <w:tcPr>
            <w:tcW w:w="3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0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Registered</w:t>
            </w:r>
          </w:p>
        </w:tc>
        <w:tc>
          <w:tcPr>
            <w:tcW w:w="20" w:type="dxa"/>
            <w:vAlign w:val="bottom"/>
          </w:tcPr>
          <w:p>
            <w:pPr>
              <w:spacing w:after="0"/>
              <w:rPr>
                <w:sz w:val="11"/>
                <w:szCs w:val="11"/>
                <w:color w:val="auto"/>
              </w:rPr>
            </w:pPr>
          </w:p>
        </w:tc>
        <w:tc>
          <w:tcPr>
            <w:tcW w:w="6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vMerge w:val="continue"/>
            <w:shd w:val="clear" w:color="auto" w:fill="9ADAF6"/>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8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vMerge w:val="continue"/>
            <w:shd w:val="clear" w:color="auto" w:fill="9ADAF6"/>
          </w:tcPr>
          <w:p>
            <w:pPr>
              <w:spacing w:after="0"/>
              <w:rPr>
                <w:sz w:val="7"/>
                <w:szCs w:val="7"/>
                <w:color w:val="auto"/>
              </w:rPr>
            </w:pPr>
          </w:p>
        </w:tc>
        <w:tc>
          <w:tcPr>
            <w:tcW w:w="3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2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1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9ADAF6"/>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Borders>
              <w:right w:val="single" w:sz="8" w:color="auto"/>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E7E7E2"/>
          </w:tcPr>
          <w:p>
            <w:pPr>
              <w:ind w:left="80"/>
              <w:spacing w:after="0"/>
              <w:rPr>
                <w:sz w:val="20"/>
                <w:szCs w:val="20"/>
                <w:color w:val="auto"/>
              </w:rPr>
            </w:pPr>
            <w:r>
              <w:rPr>
                <w:rFonts w:ascii="Arial" w:cs="Arial" w:eastAsia="Arial" w:hAnsi="Arial"/>
                <w:sz w:val="16"/>
                <w:szCs w:val="16"/>
                <w:color w:val="auto"/>
              </w:rPr>
              <w:t>N/A</w:t>
            </w:r>
          </w:p>
        </w:tc>
        <w:tc>
          <w:tcPr>
            <w:tcW w:w="20" w:type="dxa"/>
            <w:vAlign w:val="bottom"/>
            <w:vMerge w:val="continue"/>
          </w:tcPr>
          <w:p>
            <w:pPr>
              <w:spacing w:after="0"/>
              <w:rPr>
                <w:sz w:val="17"/>
                <w:szCs w:val="17"/>
                <w:color w:val="auto"/>
              </w:rPr>
            </w:pPr>
          </w:p>
        </w:tc>
        <w:tc>
          <w:tcPr>
            <w:tcW w:w="1560" w:type="dxa"/>
            <w:vAlign w:val="bottom"/>
            <w:shd w:val="clear" w:color="auto" w:fill="E7E7E2"/>
          </w:tcPr>
          <w:p>
            <w:pP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7"/>
                <w:szCs w:val="17"/>
                <w:color w:val="auto"/>
              </w:rPr>
            </w:pPr>
          </w:p>
        </w:tc>
        <w:tc>
          <w:tcPr>
            <w:tcW w:w="2800" w:type="dxa"/>
            <w:vAlign w:val="bottom"/>
            <w:shd w:val="clear" w:color="auto" w:fill="E7E7E2"/>
          </w:tcPr>
          <w:p>
            <w:pP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7"/>
                <w:szCs w:val="17"/>
                <w:color w:val="auto"/>
              </w:rPr>
            </w:pPr>
          </w:p>
        </w:tc>
        <w:tc>
          <w:tcPr>
            <w:tcW w:w="1240" w:type="dxa"/>
            <w:vAlign w:val="bottom"/>
            <w:shd w:val="clear" w:color="auto" w:fill="E7E7E2"/>
          </w:tcPr>
          <w:p>
            <w:pPr>
              <w:spacing w:after="0"/>
              <w:rPr>
                <w:sz w:val="17"/>
                <w:szCs w:val="17"/>
                <w:color w:val="auto"/>
              </w:rPr>
            </w:pPr>
          </w:p>
        </w:tc>
        <w:tc>
          <w:tcPr>
            <w:tcW w:w="320" w:type="dxa"/>
            <w:vAlign w:val="bottom"/>
            <w:shd w:val="clear" w:color="auto" w:fill="E7E7E2"/>
          </w:tcPr>
          <w:p>
            <w:pPr>
              <w:ind w:left="40"/>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7"/>
                <w:szCs w:val="17"/>
                <w:color w:val="auto"/>
              </w:rPr>
            </w:pPr>
          </w:p>
        </w:tc>
        <w:tc>
          <w:tcPr>
            <w:tcW w:w="2020" w:type="dxa"/>
            <w:vAlign w:val="bottom"/>
            <w:shd w:val="clear" w:color="auto" w:fill="E7E7E2"/>
          </w:tcPr>
          <w:p>
            <w:pPr>
              <w:ind w:left="1740"/>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7"/>
                <w:szCs w:val="17"/>
                <w:color w:val="auto"/>
              </w:rPr>
            </w:pPr>
          </w:p>
        </w:tc>
        <w:tc>
          <w:tcPr>
            <w:tcW w:w="680" w:type="dxa"/>
            <w:vAlign w:val="bottom"/>
            <w:shd w:val="clear" w:color="auto" w:fill="E7E7E2"/>
          </w:tcPr>
          <w:p>
            <w:pPr>
              <w:jc w:val="cente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7"/>
                <w:szCs w:val="17"/>
                <w:color w:val="auto"/>
              </w:rPr>
            </w:pPr>
          </w:p>
        </w:tc>
        <w:tc>
          <w:tcPr>
            <w:tcW w:w="1120" w:type="dxa"/>
            <w:vAlign w:val="bottom"/>
            <w:shd w:val="clear" w:color="auto" w:fill="E7E7E2"/>
          </w:tcPr>
          <w:p>
            <w:pPr>
              <w:jc w:val="center"/>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7"/>
                <w:szCs w:val="17"/>
                <w:color w:val="auto"/>
              </w:rPr>
            </w:pPr>
          </w:p>
        </w:tc>
        <w:tc>
          <w:tcPr>
            <w:tcW w:w="900" w:type="dxa"/>
            <w:vAlign w:val="bottom"/>
            <w:shd w:val="clear" w:color="auto" w:fill="E7E7E2"/>
          </w:tcPr>
          <w:p>
            <w:pPr>
              <w:jc w:val="center"/>
              <w:spacing w:after="0"/>
              <w:rPr>
                <w:sz w:val="20"/>
                <w:szCs w:val="20"/>
                <w:color w:val="auto"/>
              </w:rPr>
            </w:pPr>
            <w:r>
              <w:rPr>
                <w:rFonts w:ascii="Arial" w:cs="Arial" w:eastAsia="Arial" w:hAnsi="Arial"/>
                <w:sz w:val="16"/>
                <w:szCs w:val="16"/>
                <w:color w:val="auto"/>
              </w:rPr>
              <w:t>N/A</w:t>
            </w:r>
          </w:p>
        </w:tc>
        <w:tc>
          <w:tcPr>
            <w:tcW w:w="4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300"/>
      </w:cols>
      <w:pgMar w:left="300" w:top="145"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3804823E"/>
    <w:multiLevelType w:val="hybridMultilevel"/>
    <w:lvl w:ilvl="0">
      <w:lvlJc w:val="left"/>
      <w:lvlText w:val="●"/>
      <w:numFmt w:val="bullet"/>
      <w:start w:val="1"/>
    </w:lvl>
  </w:abstractNum>
  <w:abstractNum w:abstractNumId="1">
    <w:nsid w:val="77465F01"/>
    <w:multiLevelType w:val="hybridMultilevel"/>
    <w:lvl w:ilvl="0">
      <w:lvlJc w:val="left"/>
      <w:lvlText w:val="●"/>
      <w:numFmt w:val="bullet"/>
      <w:start w:val="1"/>
    </w:lvl>
  </w:abstractNum>
  <w:abstractNum w:abstractNumId="2">
    <w:nsid w:val="7724C67E"/>
    <w:multiLevelType w:val="hybridMultilevel"/>
    <w:lvl w:ilvl="0">
      <w:lvlJc w:val="left"/>
      <w:lvlText w:val="•"/>
      <w:numFmt w:val="bullet"/>
      <w:start w:val="1"/>
    </w:lvl>
  </w:abstractNum>
  <w:abstractNum w:abstractNumId="3">
    <w:nsid w:val="5C482A97"/>
    <w:multiLevelType w:val="hybridMultilevel"/>
    <w:lvl w:ilvl="0">
      <w:lvlJc w:val="left"/>
      <w:lvlText w:val="●"/>
      <w:numFmt w:val="bullet"/>
      <w:start w:val="1"/>
    </w:lvl>
  </w:abstractNum>
  <w:abstractNum w:abstractNumId="4">
    <w:nsid w:val="2463B9EA"/>
    <w:multiLevelType w:val="hybridMultilevel"/>
    <w:lvl w:ilvl="0">
      <w:lvlJc w:val="left"/>
      <w:lvlText w:val="●"/>
      <w:numFmt w:val="bullet"/>
      <w:start w:val="1"/>
    </w:lvl>
  </w:abstractNum>
  <w:abstractNum w:abstractNumId="5">
    <w:nsid w:val="5E884ADC"/>
    <w:multiLevelType w:val="hybridMultilevel"/>
    <w:lvl w:ilvl="0">
      <w:lvlJc w:val="left"/>
      <w:lvlText w:val="●"/>
      <w:numFmt w:val="bullet"/>
      <w:start w:val="1"/>
    </w:lvl>
  </w:abstractNum>
  <w:abstractNum w:abstractNumId="6">
    <w:nsid w:val="51EAD36B"/>
    <w:multiLevelType w:val="hybridMultilevel"/>
    <w:lvl w:ilvl="0">
      <w:lvlJc w:val="left"/>
      <w:lvlText w:val="●"/>
      <w:numFmt w:val="bullet"/>
      <w:start w:val="1"/>
    </w:lvl>
  </w:abstractNum>
  <w:abstractNum w:abstractNumId="7">
    <w:nsid w:val="2D517796"/>
    <w:multiLevelType w:val="hybridMultilevel"/>
    <w:lvl w:ilvl="0">
      <w:lvlJc w:val="left"/>
      <w:lvlText w:val="●"/>
      <w:numFmt w:val="bullet"/>
      <w:start w:val="1"/>
    </w:lvl>
  </w:abstractNum>
  <w:abstractNum w:abstractNumId="8">
    <w:nsid w:val="580BD78F"/>
    <w:multiLevelType w:val="hybridMultilevel"/>
    <w:lvl w:ilvl="0">
      <w:lvlJc w:val="left"/>
      <w:lvlText w:val="●"/>
      <w:numFmt w:val="bullet"/>
      <w:start w:val="1"/>
    </w:lvl>
  </w:abstractNum>
  <w:abstractNum w:abstractNumId="9">
    <w:nsid w:val="153EA438"/>
    <w:multiLevelType w:val="hybridMultilevel"/>
    <w:lvl w:ilvl="0">
      <w:lvlJc w:val="left"/>
      <w:lvlText w:val="●"/>
      <w:numFmt w:val="bullet"/>
      <w:start w:val="1"/>
    </w:lvl>
  </w:abstractNum>
  <w:abstractNum w:abstractNumId="10">
    <w:nsid w:val="3855585C"/>
    <w:multiLevelType w:val="hybridMultilevel"/>
    <w:lvl w:ilvl="0">
      <w:lvlJc w:val="left"/>
      <w:lvlText w:val="●"/>
      <w:numFmt w:val="bullet"/>
      <w:start w:val="1"/>
    </w:lvl>
  </w:abstractNum>
  <w:abstractNum w:abstractNumId="11">
    <w:nsid w:val="70A64E2A"/>
    <w:multiLevelType w:val="hybridMultilevel"/>
    <w:lvl w:ilvl="0">
      <w:lvlJc w:val="left"/>
      <w:lvlText w:val="●"/>
      <w:numFmt w:val="bullet"/>
      <w:start w:val="1"/>
    </w:lvl>
  </w:abstractNum>
  <w:abstractNum w:abstractNumId="12">
    <w:nsid w:val="6A2342EC"/>
    <w:multiLevelType w:val="hybridMultilevel"/>
    <w:lvl w:ilvl="0">
      <w:lvlJc w:val="left"/>
      <w:lvlText w:val="●"/>
      <w:numFmt w:val="bullet"/>
      <w:start w:val="1"/>
    </w:lvl>
  </w:abstractNum>
  <w:abstractNum w:abstractNumId="13">
    <w:nsid w:val="2A487CB0"/>
    <w:multiLevelType w:val="hybridMultilevel"/>
    <w:lvl w:ilvl="0">
      <w:lvlJc w:val="left"/>
      <w:lvlText w:val="●"/>
      <w:numFmt w:val="bullet"/>
      <w:start w:val="1"/>
    </w:lvl>
  </w:abstractNum>
  <w:abstractNum w:abstractNumId="14">
    <w:nsid w:val="1D4ED43B"/>
    <w:multiLevelType w:val="hybridMultilevel"/>
    <w:lvl w:ilvl="0">
      <w:lvlJc w:val="left"/>
      <w:lvlText w:val="●"/>
      <w:numFmt w:val="bullet"/>
      <w:start w:val="1"/>
    </w:lvl>
  </w:abstractNum>
  <w:abstractNum w:abstractNumId="15">
    <w:nsid w:val="725A06FB"/>
    <w:multiLevelType w:val="hybridMultilevel"/>
    <w:lvl w:ilvl="0">
      <w:lvlJc w:val="left"/>
      <w:lvlText w:val="●"/>
      <w:numFmt w:val="bullet"/>
      <w:start w:val="1"/>
    </w:lvl>
  </w:abstractNum>
  <w:abstractNum w:abstractNumId="16">
    <w:nsid w:val="2CD89A32"/>
    <w:multiLevelType w:val="hybridMultilevel"/>
    <w:lvl w:ilvl="0">
      <w:lvlJc w:val="left"/>
      <w:lvlText w:val="●"/>
      <w:numFmt w:val="bullet"/>
      <w:start w:val="1"/>
    </w:lvl>
  </w:abstractNum>
  <w:abstractNum w:abstractNumId="17">
    <w:nsid w:val="57E4CCAF"/>
    <w:multiLevelType w:val="hybridMultilevel"/>
    <w:lvl w:ilvl="0">
      <w:lvlJc w:val="left"/>
      <w:lvlText w:val="●"/>
      <w:numFmt w:val="bullet"/>
      <w:start w:val="1"/>
    </w:lvl>
  </w:abstractNum>
  <w:abstractNum w:abstractNumId="18">
    <w:nsid w:val="7A6D8D3C"/>
    <w:multiLevelType w:val="hybridMultilevel"/>
    <w:lvl w:ilvl="0">
      <w:lvlJc w:val="left"/>
      <w:lvlText w:val="●"/>
      <w:numFmt w:val="bullet"/>
      <w:start w:val="1"/>
    </w:lvl>
  </w:abstractNum>
  <w:abstractNum w:abstractNumId="19">
    <w:nsid w:val="4B588F54"/>
    <w:multiLevelType w:val="hybridMultilevel"/>
    <w:lvl w:ilvl="0">
      <w:lvlJc w:val="left"/>
      <w:lvlText w:val="●"/>
      <w:numFmt w:val="bullet"/>
      <w:start w:val="1"/>
    </w:lvl>
  </w:abstractNum>
  <w:abstractNum w:abstractNumId="20">
    <w:nsid w:val="542289EC"/>
    <w:multiLevelType w:val="hybridMultilevel"/>
    <w:lvl w:ilvl="0">
      <w:lvlJc w:val="left"/>
      <w:lvlText w:val="●"/>
      <w:numFmt w:val="bullet"/>
      <w:start w:val="1"/>
    </w:lvl>
  </w:abstractNum>
  <w:abstractNum w:abstractNumId="21">
    <w:nsid w:val="6DE91B18"/>
    <w:multiLevelType w:val="hybridMultilevel"/>
    <w:lvl w:ilvl="0">
      <w:lvlJc w:val="left"/>
      <w:lvlText w:val="●"/>
      <w:numFmt w:val="bullet"/>
      <w:start w:val="1"/>
    </w:lvl>
  </w:abstractNum>
  <w:abstractNum w:abstractNumId="22">
    <w:nsid w:val="38437FDB"/>
    <w:multiLevelType w:val="hybridMultilevel"/>
    <w:lvl w:ilvl="0">
      <w:lvlJc w:val="left"/>
      <w:lvlText w:val="●"/>
      <w:numFmt w:val="bullet"/>
      <w:start w:val="1"/>
    </w:lvl>
  </w:abstractNum>
  <w:abstractNum w:abstractNumId="23">
    <w:nsid w:val="7644A45C"/>
    <w:multiLevelType w:val="hybridMultilevel"/>
    <w:lvl w:ilvl="0">
      <w:lvlJc w:val="left"/>
      <w:lvlText w:val="●"/>
      <w:numFmt w:val="bullet"/>
      <w:start w:val="1"/>
    </w:lvl>
  </w:abstractNum>
  <w:abstractNum w:abstractNumId="24">
    <w:nsid w:val="32FFF902"/>
    <w:multiLevelType w:val="hybridMultilevel"/>
    <w:lvl w:ilvl="0">
      <w:lvlJc w:val="left"/>
      <w:lvlText w:val="%1"/>
      <w:numFmt w:val="decimal"/>
      <w:start w:val="107"/>
    </w:lvl>
  </w:abstractNum>
  <w:abstractNum w:abstractNumId="25">
    <w:nsid w:val="684A481A"/>
    <w:multiLevelType w:val="hybridMultilevel"/>
    <w:lvl w:ilvl="0">
      <w:lvlJc w:val="left"/>
      <w:lvlText w:val="(%1)"/>
      <w:numFmt w:val="decimal"/>
      <w:start w:val="1"/>
    </w:lvl>
    <w:lvl w:ilvl="1">
      <w:lvlJc w:val="left"/>
      <w:lvlText w:val="(%2)"/>
      <w:numFmt w:val="lowerRoman"/>
      <w:start w:val="1"/>
    </w:lvl>
  </w:abstractNum>
  <w:abstractNum w:abstractNumId="26">
    <w:nsid w:val="579478FE"/>
    <w:multiLevelType w:val="hybridMultilevel"/>
    <w:lvl w:ilvl="0">
      <w:lvlJc w:val="left"/>
      <w:lvlText w:val="(%1)"/>
      <w:numFmt w:val="decimal"/>
      <w:start w:val="2"/>
    </w:lvl>
    <w:lvl w:ilvl="1">
      <w:lvlJc w:val="left"/>
      <w:lvlText w:val="(%2)"/>
      <w:numFmt w:val="lowerRoman"/>
      <w:start w:val="1"/>
    </w:lvl>
  </w:abstractNum>
  <w:abstractNum w:abstractNumId="27">
    <w:nsid w:val="749ABB43"/>
    <w:multiLevelType w:val="hybridMultilevel"/>
    <w:lvl w:ilvl="0">
      <w:lvlJc w:val="left"/>
      <w:lvlText w:val="(%1)"/>
      <w:numFmt w:val="decimal"/>
      <w:start w:val="5"/>
    </w:lvl>
    <w:lvl w:ilvl="1">
      <w:lvlJc w:val="left"/>
      <w:lvlText w:val="(%2)"/>
      <w:numFmt w:val="lowerRoman"/>
      <w:start w:val="1"/>
    </w:lvl>
  </w:abstractNum>
  <w:abstractNum w:abstractNumId="28">
    <w:nsid w:val="3DC240FB"/>
    <w:multiLevelType w:val="hybridMultilevel"/>
    <w:lvl w:ilvl="0">
      <w:lvlJc w:val="left"/>
      <w:lvlText w:val="(%1)"/>
      <w:numFmt w:val="lowerLetter"/>
      <w:start w:val="1"/>
    </w:lvl>
    <w:lvl w:ilvl="1">
      <w:lvlJc w:val="left"/>
      <w:lvlText w:val="(%2)"/>
      <w:numFmt w:val="decimal"/>
      <w:start w:val="1"/>
    </w:lvl>
  </w:abstractNum>
  <w:abstractNum w:abstractNumId="29">
    <w:nsid w:val="1BA026FA"/>
    <w:multiLevelType w:val="hybridMultilevel"/>
    <w:lvl w:ilvl="0">
      <w:lvlJc w:val="left"/>
      <w:lvlText w:val="(%1)"/>
      <w:numFmt w:val="decimal"/>
      <w:start w:val="9"/>
    </w:lvl>
  </w:abstractNum>
  <w:abstractNum w:abstractNumId="30">
    <w:nsid w:val="79A1DEAA"/>
    <w:multiLevelType w:val="hybridMultilevel"/>
    <w:lvl w:ilvl="0">
      <w:lvlJc w:val="left"/>
      <w:lvlText w:val="(%1)"/>
      <w:numFmt w:val="decimal"/>
      <w:start w:val="23"/>
    </w:lvl>
  </w:abstractNum>
  <w:abstractNum w:abstractNumId="31">
    <w:nsid w:val="75C6C33A"/>
    <w:multiLevelType w:val="hybridMultilevel"/>
    <w:lvl w:ilvl="0">
      <w:lvlJc w:val="left"/>
      <w:lvlText w:val="(%1)"/>
      <w:numFmt w:val="decimal"/>
      <w:start w:val="25"/>
    </w:lvl>
  </w:abstractNum>
  <w:abstractNum w:abstractNumId="32">
    <w:nsid w:val="12E685FB"/>
    <w:multiLevelType w:val="hybridMultilevel"/>
    <w:lvl w:ilvl="0">
      <w:lvlJc w:val="left"/>
      <w:lvlText w:val="(%1)"/>
      <w:numFmt w:val="decimal"/>
      <w:start w:val="1"/>
    </w:lvl>
  </w:abstractNum>
  <w:abstractNum w:abstractNumId="33">
    <w:nsid w:val="70C6A529"/>
    <w:multiLevelType w:val="hybridMultilevel"/>
    <w:lvl w:ilvl="0">
      <w:lvlJc w:val="left"/>
      <w:lvlText w:val="(%1)"/>
      <w:numFmt w:val="lowerLetter"/>
      <w:start w:val="1"/>
    </w:lvl>
  </w:abstractNum>
  <w:abstractNum w:abstractNumId="34">
    <w:nsid w:val="520EEDD1"/>
    <w:multiLevelType w:val="hybridMultilevel"/>
    <w:lvl w:ilvl="0">
      <w:lvlJc w:val="left"/>
      <w:lvlText w:val="(%1)"/>
      <w:numFmt w:val="lowerLetter"/>
      <w:start w:val="3"/>
    </w:lvl>
  </w:abstractNum>
  <w:abstractNum w:abstractNumId="35">
    <w:nsid w:val="374A3FE6"/>
    <w:multiLevelType w:val="hybridMultilevel"/>
    <w:lvl w:ilvl="0">
      <w:lvlJc w:val="left"/>
      <w:lvlText w:val="(%1)"/>
      <w:numFmt w:val="lowerLetter"/>
      <w:start w:val="1"/>
    </w:lvl>
  </w:abstractNum>
  <w:abstractNum w:abstractNumId="36">
    <w:nsid w:val="4F4EF005"/>
    <w:multiLevelType w:val="hybridMultilevel"/>
    <w:lvl w:ilvl="0">
      <w:lvlJc w:val="left"/>
      <w:lvlText w:val="(%1)"/>
      <w:numFmt w:val="lowerLetter"/>
      <w:start w:val="2"/>
    </w:lvl>
  </w:abstractNum>
  <w:abstractNum w:abstractNumId="37">
    <w:nsid w:val="23F9C13C"/>
    <w:multiLevelType w:val="hybridMultilevel"/>
    <w:lvl w:ilvl="0">
      <w:lvlJc w:val="left"/>
      <w:lvlText w:val="(%1)"/>
      <w:numFmt w:val="lowerLetter"/>
      <w:start w:val="1"/>
    </w:lvl>
  </w:abstractNum>
  <w:abstractNum w:abstractNumId="38">
    <w:nsid w:val="649BB77C"/>
    <w:multiLevelType w:val="hybridMultilevel"/>
    <w:lvl w:ilvl="0">
      <w:lvlJc w:val="left"/>
      <w:lvlText w:val="(%1)"/>
      <w:numFmt w:val="lowerLetter"/>
      <w:start w:val="2"/>
    </w:lvl>
  </w:abstractNum>
  <w:abstractNum w:abstractNumId="39">
    <w:nsid w:val="275AC794"/>
    <w:multiLevelType w:val="hybridMultilevel"/>
    <w:lvl w:ilvl="0">
      <w:lvlJc w:val="left"/>
      <w:lvlText w:val="(%1)"/>
      <w:numFmt w:val="lowerLetter"/>
      <w:start w:val="1"/>
    </w:lvl>
  </w:abstractNum>
  <w:abstractNum w:abstractNumId="40">
    <w:nsid w:val="39386575"/>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41">
    <w:nsid w:val="1CF10FD8"/>
    <w:multiLevelType w:val="hybridMultilevel"/>
    <w:lvl w:ilvl="0">
      <w:lvlJc w:val="left"/>
      <w:lvlText w:val="(%1)"/>
      <w:numFmt w:val="lowerLetter"/>
      <w:start w:val="35"/>
    </w:lvl>
    <w:lvl w:ilvl="1">
      <w:lvlJc w:val="left"/>
      <w:lvlText w:val="%2"/>
      <w:numFmt w:val="lowerLetter"/>
      <w:start w:val="1"/>
    </w:lvl>
    <w:lvl w:ilvl="2">
      <w:lvlJc w:val="left"/>
      <w:lvlText w:val="%3"/>
      <w:numFmt w:val="decimal"/>
      <w:start w:val="1"/>
    </w:lvl>
  </w:abstractNum>
  <w:abstractNum w:abstractNumId="42">
    <w:nsid w:val="180115BE"/>
    <w:multiLevelType w:val="hybridMultilevel"/>
    <w:lvl w:ilvl="0">
      <w:lvlJc w:val="left"/>
      <w:lvlText w:val="(%1)"/>
      <w:numFmt w:val="lowerLetter"/>
      <w:start w:val="1"/>
    </w:lvl>
  </w:abstractNum>
  <w:abstractNum w:abstractNumId="43">
    <w:nsid w:val="235BA861"/>
    <w:multiLevelType w:val="hybridMultilevel"/>
    <w:lvl w:ilvl="0">
      <w:lvlJc w:val="left"/>
      <w:lvlText w:val="(%1)"/>
      <w:numFmt w:val="lowerLetter"/>
      <w:start w:val="1"/>
    </w:lvl>
  </w:abstractNum>
  <w:abstractNum w:abstractNumId="44">
    <w:nsid w:val="47398C89"/>
    <w:multiLevelType w:val="hybridMultilevel"/>
    <w:lvl w:ilvl="0">
      <w:lvlJc w:val="left"/>
      <w:lvlText w:val="(%1)"/>
      <w:numFmt w:val="lowerLetter"/>
      <w:start w:val="1"/>
    </w:lvl>
  </w:abstractNum>
  <w:abstractNum w:abstractNumId="45">
    <w:nsid w:val="354FE9F9"/>
    <w:multiLevelType w:val="hybridMultilevel"/>
    <w:lvl w:ilvl="0">
      <w:lvlJc w:val="left"/>
      <w:lvlText w:val="(%1)"/>
      <w:numFmt w:val="lowerLetter"/>
      <w:start w:val="1"/>
    </w:lvl>
    <w:lvl w:ilvl="1">
      <w:lvlJc w:val="left"/>
      <w:lvlText w:val="(%2)"/>
      <w:numFmt w:val="decimal"/>
      <w:start w:val="1"/>
    </w:lvl>
  </w:abstractNum>
  <w:abstractNum w:abstractNumId="46">
    <w:nsid w:val="15B5AF5C"/>
    <w:multiLevelType w:val="hybridMultilevel"/>
    <w:lvl w:ilvl="0">
      <w:lvlJc w:val="left"/>
      <w:lvlText w:val="(%1)"/>
      <w:numFmt w:val="lowerLetter"/>
      <w:start w:val="2"/>
    </w:lvl>
  </w:abstractNum>
  <w:abstractNum w:abstractNumId="47">
    <w:nsid w:val="741226BB"/>
    <w:multiLevelType w:val="hybridMultilevel"/>
    <w:lvl w:ilvl="0">
      <w:lvlJc w:val="left"/>
      <w:lvlText w:val="(%1)"/>
      <w:numFmt w:val="lowerLetter"/>
      <w:start w:val="4"/>
    </w:lvl>
  </w:abstractNum>
  <w:abstractNum w:abstractNumId="48">
    <w:nsid w:val="D34B6A8"/>
    <w:multiLevelType w:val="hybridMultilevel"/>
    <w:lvl w:ilvl="0">
      <w:lvlJc w:val="left"/>
      <w:lvlText w:val="(%1)"/>
      <w:numFmt w:val="lowerLetter"/>
      <w:start w:val="1"/>
    </w:lvl>
  </w:abstractNum>
  <w:abstractNum w:abstractNumId="49">
    <w:nsid w:val="10233C99"/>
    <w:multiLevelType w:val="hybridMultilevel"/>
    <w:lvl w:ilvl="0">
      <w:lvlJc w:val="left"/>
      <w:lvlText w:val="(%1)"/>
      <w:numFmt w:val="lowerLetter"/>
      <w:start w:val="3"/>
    </w:lvl>
  </w:abstractNum>
  <w:abstractNum w:abstractNumId="50">
    <w:nsid w:val="3F6AB60F"/>
    <w:multiLevelType w:val="hybridMultilevel"/>
    <w:lvl w:ilvl="0">
      <w:lvlJc w:val="left"/>
      <w:lvlText w:val="(%1)"/>
      <w:numFmt w:val="lowerRoman"/>
      <w:start w:val="4"/>
    </w:lvl>
  </w:abstractNum>
  <w:abstractNum w:abstractNumId="51">
    <w:nsid w:val="61574095"/>
    <w:multiLevelType w:val="hybridMultilevel"/>
    <w:lvl w:ilvl="0">
      <w:lvlJc w:val="left"/>
      <w:lvlText w:val="(%1)"/>
      <w:numFmt w:val="lowerLetter"/>
      <w:start w:val="1"/>
    </w:lvl>
  </w:abstractNum>
  <w:abstractNum w:abstractNumId="52">
    <w:nsid w:val="7E0C57B1"/>
    <w:multiLevelType w:val="hybridMultilevel"/>
    <w:lvl w:ilvl="0">
      <w:lvlJc w:val="left"/>
      <w:lvlText w:val="(%1)"/>
      <w:numFmt w:val="lowerLetter"/>
      <w:start w:val="1"/>
    </w:lvl>
  </w:abstractNum>
  <w:abstractNum w:abstractNumId="53">
    <w:nsid w:val="77AE35EB"/>
    <w:multiLevelType w:val="hybridMultilevel"/>
    <w:lvl w:ilvl="0">
      <w:lvlJc w:val="left"/>
      <w:lvlText w:val="(%1)"/>
      <w:numFmt w:val="lowerRoman"/>
      <w:start w:val="1"/>
    </w:lvl>
  </w:abstractNum>
  <w:abstractNum w:abstractNumId="54">
    <w:nsid w:val="579BE4F1"/>
    <w:multiLevelType w:val="hybridMultilevel"/>
    <w:lvl w:ilvl="0">
      <w:lvlJc w:val="left"/>
      <w:lvlText w:val="(%1)"/>
      <w:numFmt w:val="upperLetter"/>
      <w:start w:val="1"/>
    </w:lvl>
  </w:abstractNum>
  <w:abstractNum w:abstractNumId="55">
    <w:nsid w:val="310C50B3"/>
    <w:multiLevelType w:val="hybridMultilevel"/>
    <w:lvl w:ilvl="0">
      <w:lvlJc w:val="left"/>
      <w:lvlText w:val="(%1)"/>
      <w:numFmt w:val="lowerRoman"/>
      <w:start w:val="2"/>
    </w:lvl>
  </w:abstractNum>
  <w:abstractNum w:abstractNumId="56">
    <w:nsid w:val="5FF87E05"/>
    <w:multiLevelType w:val="hybridMultilevel"/>
    <w:lvl w:ilvl="0">
      <w:lvlJc w:val="left"/>
      <w:lvlText w:val="(%1)"/>
      <w:numFmt w:val="lowerLetter"/>
      <w:start w:val="1"/>
    </w:lvl>
  </w:abstractNum>
  <w:abstractNum w:abstractNumId="57">
    <w:nsid w:val="2F305DEF"/>
    <w:multiLevelType w:val="hybridMultilevel"/>
    <w:lvl w:ilvl="0">
      <w:lvlJc w:val="left"/>
      <w:lvlText w:val="(%1)"/>
      <w:numFmt w:val="lowerLetter"/>
      <w:start w:val="7"/>
    </w:lvl>
  </w:abstractNum>
  <w:abstractNum w:abstractNumId="58">
    <w:nsid w:val="25A70BF7"/>
    <w:multiLevelType w:val="hybridMultilevel"/>
    <w:lvl w:ilvl="0">
      <w:lvlJc w:val="left"/>
      <w:lvlText w:val="(%1)"/>
      <w:numFmt w:val="lowerLetter"/>
      <w:start w:val="1"/>
    </w:lvl>
  </w:abstractNum>
  <w:abstractNum w:abstractNumId="59">
    <w:nsid w:val="1DBABF00"/>
    <w:multiLevelType w:val="hybridMultilevel"/>
    <w:lvl w:ilvl="0">
      <w:lvlJc w:val="left"/>
      <w:lvlText w:val="(%1)"/>
      <w:numFmt w:val="lowerLetter"/>
      <w:start w:val="2"/>
    </w:lvl>
  </w:abstractNum>
  <w:abstractNum w:abstractNumId="60">
    <w:nsid w:val="4AD084E9"/>
    <w:multiLevelType w:val="hybridMultilevel"/>
    <w:lvl w:ilvl="0">
      <w:lvlJc w:val="left"/>
      <w:lvlText w:val="(%1)"/>
      <w:numFmt w:val="lowerLetter"/>
      <w:start w:val="1"/>
    </w:lvl>
  </w:abstractNum>
  <w:abstractNum w:abstractNumId="61">
    <w:nsid w:val="1F48EAA1"/>
    <w:multiLevelType w:val="hybridMultilevel"/>
    <w:lvl w:ilvl="0">
      <w:lvlJc w:val="left"/>
      <w:lvlText w:val="(%1)"/>
      <w:numFmt w:val="lowerLetter"/>
      <w:start w:val="1"/>
    </w:lvl>
    <w:lvl w:ilvl="1">
      <w:lvlJc w:val="left"/>
      <w:lvlText w:val="(%2)"/>
      <w:numFmt w:val="lowerRoman"/>
      <w:start w:val="1"/>
    </w:lvl>
  </w:abstractNum>
  <w:abstractNum w:abstractNumId="62">
    <w:nsid w:val="1381823A"/>
    <w:multiLevelType w:val="hybridMultilevel"/>
    <w:lvl w:ilvl="0">
      <w:lvlJc w:val="left"/>
      <w:lvlText w:val="(%1)"/>
      <w:numFmt w:val="lowerLetter"/>
      <w:start w:val="3"/>
    </w:lvl>
  </w:abstractNum>
  <w:abstractNum w:abstractNumId="63">
    <w:nsid w:val="5DB70AE5"/>
    <w:multiLevelType w:val="hybridMultilevel"/>
    <w:lvl w:ilvl="0">
      <w:lvlJc w:val="left"/>
      <w:lvlText w:val="(%1)"/>
      <w:numFmt w:val="lowerLetter"/>
      <w:start w:val="1"/>
    </w:lvl>
  </w:abstractNum>
  <w:abstractNum w:abstractNumId="64">
    <w:nsid w:val="100F8FCA"/>
    <w:multiLevelType w:val="hybridMultilevel"/>
    <w:lvl w:ilvl="0">
      <w:lvlJc w:val="left"/>
      <w:lvlText w:val="(%1)"/>
      <w:numFmt w:val="lowerLetter"/>
      <w:start w:val="3"/>
    </w:lvl>
  </w:abstractNum>
  <w:abstractNum w:abstractNumId="65">
    <w:nsid w:val="6590700B"/>
    <w:multiLevelType w:val="hybridMultilevel"/>
    <w:lvl w:ilvl="0">
      <w:lvlJc w:val="left"/>
      <w:lvlText w:val="(%1)"/>
      <w:numFmt w:val="lowerLetter"/>
      <w:start w:val="1"/>
    </w:lvl>
  </w:abstractNum>
  <w:abstractNum w:abstractNumId="66">
    <w:nsid w:val="15014ACB"/>
    <w:multiLevelType w:val="hybridMultilevel"/>
    <w:lvl w:ilvl="0">
      <w:lvlJc w:val="left"/>
      <w:lvlText w:val="(%1)"/>
      <w:numFmt w:val="lowerLetter"/>
      <w:start w:val="1"/>
    </w:lvl>
  </w:abstractNum>
  <w:abstractNum w:abstractNumId="67">
    <w:nsid w:val="5F5E7FD0"/>
    <w:multiLevelType w:val="hybridMultilevel"/>
    <w:lvl w:ilvl="0">
      <w:lvlJc w:val="left"/>
      <w:lvlText w:val="(%1)"/>
      <w:numFmt w:val="lowerLetter"/>
      <w:start w:val="1"/>
    </w:lvl>
  </w:abstractNum>
  <w:abstractNum w:abstractNumId="68">
    <w:nsid w:val="98A3148"/>
    <w:multiLevelType w:val="hybridMultilevel"/>
    <w:lvl w:ilvl="0">
      <w:lvlJc w:val="left"/>
      <w:lvlText w:val="(%1)"/>
      <w:numFmt w:val="lowerLetter"/>
      <w:start w:val="1"/>
    </w:lvl>
  </w:abstractNum>
  <w:abstractNum w:abstractNumId="69">
    <w:nsid w:val="799D0247"/>
    <w:multiLevelType w:val="hybridMultilevel"/>
    <w:lvl w:ilvl="0">
      <w:lvlJc w:val="left"/>
      <w:lvlText w:val="●"/>
      <w:numFmt w:val="bullet"/>
      <w:start w:val="1"/>
    </w:lvl>
  </w:abstractNum>
  <w:abstractNum w:abstractNumId="70">
    <w:nsid w:val="6B94764"/>
    <w:multiLevelType w:val="hybridMultilevel"/>
    <w:lvl w:ilvl="0">
      <w:lvlJc w:val="left"/>
      <w:lvlText w:val="%1."/>
      <w:numFmt w:val="decimal"/>
      <w:start w:val="1"/>
    </w:lvl>
  </w:abstractNum>
  <w:abstractNum w:abstractNumId="71">
    <w:nsid w:val="42C296BD"/>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5"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 Id="rId51" Type="http://schemas.openxmlformats.org/officeDocument/2006/relationships/image" Target="media/image39.png"/><Relationship Id="rId52"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png"/><Relationship Id="rId86" Type="http://schemas.openxmlformats.org/officeDocument/2006/relationships/image" Target="media/image74.png"/><Relationship Id="rId87" Type="http://schemas.openxmlformats.org/officeDocument/2006/relationships/image" Target="media/image75.png"/><Relationship Id="rId88" Type="http://schemas.openxmlformats.org/officeDocument/2006/relationships/image" Target="media/image76.png"/><Relationship Id="rId89" Type="http://schemas.openxmlformats.org/officeDocument/2006/relationships/image" Target="media/image77.png"/><Relationship Id="rId90" Type="http://schemas.openxmlformats.org/officeDocument/2006/relationships/image" Target="media/image78.png"/><Relationship Id="rId91" Type="http://schemas.openxmlformats.org/officeDocument/2006/relationships/image" Target="media/image79.png"/><Relationship Id="rId92" Type="http://schemas.openxmlformats.org/officeDocument/2006/relationships/image" Target="media/image80.png"/><Relationship Id="rId93" Type="http://schemas.openxmlformats.org/officeDocument/2006/relationships/image" Target="media/image81.png"/><Relationship Id="rId94" Type="http://schemas.openxmlformats.org/officeDocument/2006/relationships/image" Target="media/image82.png"/><Relationship Id="rId95" Type="http://schemas.openxmlformats.org/officeDocument/2006/relationships/image" Target="media/image83.jpeg"/><Relationship Id="rId96" Type="http://schemas.openxmlformats.org/officeDocument/2006/relationships/image" Target="media/image84.png"/><Relationship Id="rId97" Type="http://schemas.openxmlformats.org/officeDocument/2006/relationships/image" Target="media/image85.png"/><Relationship Id="rId98" Type="http://schemas.openxmlformats.org/officeDocument/2006/relationships/image" Target="media/image86.png"/><Relationship Id="rId99" Type="http://schemas.openxmlformats.org/officeDocument/2006/relationships/image" Target="media/image87.png"/><Relationship Id="rId100" Type="http://schemas.openxmlformats.org/officeDocument/2006/relationships/image" Target="media/image88.png"/><Relationship Id="rId101" Type="http://schemas.openxmlformats.org/officeDocument/2006/relationships/image" Target="media/image89.png"/><Relationship Id="rId33" Type="http://schemas.openxmlformats.org/officeDocument/2006/relationships/hyperlink" Target="https://www.sec.gov/Archives/edgar/data/876343/000119312526093992/lctx-20251231.htm" TargetMode="External"/><Relationship Id="rId34" Type="http://schemas.openxmlformats.org/officeDocument/2006/relationships/hyperlink" Target="https://www.sec.gov/Archives/edgar/data/876343/000087634309000070/form8a12b_oct232009.htm" TargetMode="External"/><Relationship Id="rId36" Type="http://schemas.openxmlformats.org/officeDocument/2006/relationships/hyperlink" Target="https://www.sec.gov/Archives/edgar/data/876343/000149315223040058/ex3-1.htm" TargetMode="External"/><Relationship Id="rId37" Type="http://schemas.openxmlformats.org/officeDocument/2006/relationships/hyperlink" Target="https://www.sec.gov/Archives/edgar/data/876343/000149315219012036/ex3-1.htm" TargetMode="External"/><Relationship Id="rId38" Type="http://schemas.openxmlformats.org/officeDocument/2006/relationships/hyperlink" Target="https://www.sec.gov/Archives/edgar/data/876343/000095017024073072/lctx-ex3_1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2026-03-11T08:04:33Z</dcterms:created>
  <dcterms:modified xsi:type="dcterms:W3CDTF">2026-03-11T08:04:33Z</dcterms:modified>
</cp:coreProperties>
</file>